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28BBEF" w14:textId="735E304D" w:rsidR="004E1F44" w:rsidRPr="00724288" w:rsidRDefault="004E1F44" w:rsidP="004C5E98">
      <w:pPr>
        <w:rPr>
          <w:rFonts w:ascii="Arial Narrow" w:hAnsi="Arial Narrow"/>
          <w:b/>
        </w:rPr>
      </w:pPr>
      <w:r w:rsidRPr="00724288">
        <w:rPr>
          <w:rFonts w:ascii="Arial Narrow" w:hAnsi="Arial Narrow"/>
          <w:b/>
        </w:rPr>
        <w:t>RF</w:t>
      </w:r>
      <w:r w:rsidR="00BD1606" w:rsidRPr="00724288">
        <w:rPr>
          <w:rFonts w:ascii="Arial Narrow" w:hAnsi="Arial Narrow"/>
          <w:b/>
        </w:rPr>
        <w:t xml:space="preserve">P </w:t>
      </w:r>
      <w:r w:rsidR="00CD50B1" w:rsidRPr="00724288">
        <w:rPr>
          <w:rFonts w:ascii="Arial Narrow" w:hAnsi="Arial Narrow"/>
          <w:b/>
        </w:rPr>
        <w:t xml:space="preserve"> </w:t>
      </w:r>
      <w:r w:rsidR="00BD1606" w:rsidRPr="00724288">
        <w:rPr>
          <w:rFonts w:ascii="Arial Narrow" w:hAnsi="Arial Narrow"/>
          <w:b/>
        </w:rPr>
        <w:t>24</w:t>
      </w:r>
      <w:r w:rsidR="00350496" w:rsidRPr="00724288">
        <w:rPr>
          <w:rFonts w:ascii="Arial Narrow" w:hAnsi="Arial Narrow"/>
          <w:b/>
        </w:rPr>
        <w:t>/202</w:t>
      </w:r>
      <w:r w:rsidR="00CD50B1" w:rsidRPr="00724288">
        <w:rPr>
          <w:rFonts w:ascii="Arial Narrow" w:hAnsi="Arial Narrow"/>
          <w:b/>
        </w:rPr>
        <w:t>4</w:t>
      </w:r>
    </w:p>
    <w:p w14:paraId="33A269BD" w14:textId="77777777" w:rsidR="004E1F44" w:rsidRPr="00724288" w:rsidRDefault="004E1F44" w:rsidP="004E1F44">
      <w:pPr>
        <w:pStyle w:val="Default"/>
        <w:rPr>
          <w:rFonts w:ascii="Arial Narrow" w:hAnsi="Arial Narrow"/>
          <w:sz w:val="22"/>
          <w:szCs w:val="22"/>
        </w:rPr>
      </w:pPr>
    </w:p>
    <w:p w14:paraId="368FC1F4" w14:textId="60C95557" w:rsidR="00043DF1" w:rsidRPr="00724288" w:rsidRDefault="00205D50" w:rsidP="004E1F44">
      <w:pPr>
        <w:ind w:right="-1039"/>
        <w:rPr>
          <w:rFonts w:ascii="Arial Narrow" w:hAnsi="Arial Narrow"/>
          <w:b/>
        </w:rPr>
      </w:pPr>
      <w:r w:rsidRPr="00724288">
        <w:rPr>
          <w:rFonts w:ascii="Arial Narrow" w:hAnsi="Arial Narrow"/>
          <w:b/>
          <w:bCs/>
        </w:rPr>
        <w:t>RF</w:t>
      </w:r>
      <w:r w:rsidR="00BD1606" w:rsidRPr="00724288">
        <w:rPr>
          <w:rFonts w:ascii="Arial Narrow" w:hAnsi="Arial Narrow"/>
          <w:b/>
          <w:bCs/>
        </w:rPr>
        <w:t>P</w:t>
      </w:r>
      <w:r w:rsidRPr="00724288">
        <w:rPr>
          <w:rFonts w:ascii="Arial Narrow" w:hAnsi="Arial Narrow"/>
          <w:b/>
          <w:bCs/>
        </w:rPr>
        <w:t xml:space="preserve"> </w:t>
      </w:r>
      <w:r w:rsidR="00BD1606" w:rsidRPr="00724288">
        <w:rPr>
          <w:rFonts w:ascii="Arial Narrow" w:hAnsi="Arial Narrow"/>
          <w:b/>
          <w:bCs/>
        </w:rPr>
        <w:t>24</w:t>
      </w:r>
      <w:r w:rsidRPr="00724288">
        <w:rPr>
          <w:rFonts w:ascii="Arial Narrow" w:hAnsi="Arial Narrow"/>
          <w:b/>
          <w:bCs/>
        </w:rPr>
        <w:t xml:space="preserve"> /2024: </w:t>
      </w:r>
      <w:r w:rsidR="00BD1606" w:rsidRPr="00724288">
        <w:rPr>
          <w:rFonts w:ascii="Arial Narrow" w:hAnsi="Arial Narrow"/>
          <w:b/>
          <w:bCs/>
        </w:rPr>
        <w:t>APPOINTMENT OF ADVISORY FIRM FOR PROVISION OF CASE MANAGEMENT MODERNISATION PLANNING FOR A PERIOD OF EIGHT MONTHS</w:t>
      </w:r>
    </w:p>
    <w:p w14:paraId="44107054" w14:textId="7FF2C832" w:rsidR="004C5E98" w:rsidRPr="00724288" w:rsidRDefault="00A75CED" w:rsidP="004C5E98">
      <w:pPr>
        <w:rPr>
          <w:rFonts w:ascii="Arial Narrow" w:hAnsi="Arial Narrow"/>
          <w:b/>
        </w:rPr>
      </w:pPr>
      <w:r w:rsidRPr="00724288">
        <w:rPr>
          <w:rFonts w:ascii="Arial Narrow" w:hAnsi="Arial Narrow"/>
          <w:b/>
        </w:rPr>
        <w:t xml:space="preserve">Non - </w:t>
      </w:r>
      <w:r w:rsidR="00D01317" w:rsidRPr="00724288">
        <w:rPr>
          <w:rFonts w:ascii="Arial Narrow" w:hAnsi="Arial Narrow"/>
          <w:b/>
        </w:rPr>
        <w:t xml:space="preserve">Compulsory </w:t>
      </w:r>
      <w:r w:rsidR="00EF45D7" w:rsidRPr="00724288">
        <w:rPr>
          <w:rFonts w:ascii="Arial Narrow" w:hAnsi="Arial Narrow"/>
          <w:b/>
        </w:rPr>
        <w:t xml:space="preserve">Briefing Session </w:t>
      </w:r>
      <w:r w:rsidR="004C5E98" w:rsidRPr="00724288">
        <w:rPr>
          <w:rFonts w:ascii="Arial Narrow" w:hAnsi="Arial Narrow"/>
          <w:b/>
        </w:rPr>
        <w:t>Question &amp; Answers</w:t>
      </w:r>
    </w:p>
    <w:p w14:paraId="45B21351" w14:textId="1CA5A0FE" w:rsidR="00EF45D7" w:rsidRPr="00724288" w:rsidRDefault="0052451C" w:rsidP="004C5E98">
      <w:pPr>
        <w:rPr>
          <w:rFonts w:ascii="Arial Narrow" w:hAnsi="Arial Narrow"/>
        </w:rPr>
      </w:pPr>
      <w:r w:rsidRPr="00724288">
        <w:rPr>
          <w:rFonts w:ascii="Arial Narrow" w:hAnsi="Arial Narrow"/>
          <w:b/>
        </w:rPr>
        <w:t xml:space="preserve">Last updated: </w:t>
      </w:r>
      <w:r w:rsidR="00512138" w:rsidRPr="00724288">
        <w:rPr>
          <w:rFonts w:ascii="Arial Narrow" w:hAnsi="Arial Narrow"/>
          <w:b/>
        </w:rPr>
        <w:t>03</w:t>
      </w:r>
      <w:r w:rsidRPr="00724288">
        <w:rPr>
          <w:rFonts w:ascii="Arial Narrow" w:hAnsi="Arial Narrow"/>
          <w:b/>
        </w:rPr>
        <w:t>/</w:t>
      </w:r>
      <w:r w:rsidR="00BD1606" w:rsidRPr="00724288">
        <w:rPr>
          <w:rFonts w:ascii="Arial Narrow" w:hAnsi="Arial Narrow"/>
          <w:b/>
        </w:rPr>
        <w:t>1</w:t>
      </w:r>
      <w:r w:rsidR="00512138" w:rsidRPr="00724288">
        <w:rPr>
          <w:rFonts w:ascii="Arial Narrow" w:hAnsi="Arial Narrow"/>
          <w:b/>
        </w:rPr>
        <w:t>2</w:t>
      </w:r>
      <w:r w:rsidRPr="00724288">
        <w:rPr>
          <w:rFonts w:ascii="Arial Narrow" w:hAnsi="Arial Narrow"/>
          <w:b/>
        </w:rPr>
        <w:t>/202</w:t>
      </w:r>
      <w:r w:rsidR="00A21A42" w:rsidRPr="00724288">
        <w:rPr>
          <w:rFonts w:ascii="Arial Narrow" w:hAnsi="Arial Narrow"/>
          <w:b/>
        </w:rPr>
        <w:t>4</w:t>
      </w:r>
    </w:p>
    <w:tbl>
      <w:tblPr>
        <w:tblStyle w:val="TableGrid"/>
        <w:tblW w:w="10035" w:type="dxa"/>
        <w:tblLook w:val="04A0" w:firstRow="1" w:lastRow="0" w:firstColumn="1" w:lastColumn="0" w:noHBand="0" w:noVBand="1"/>
      </w:tblPr>
      <w:tblGrid>
        <w:gridCol w:w="440"/>
        <w:gridCol w:w="4209"/>
        <w:gridCol w:w="5386"/>
      </w:tblGrid>
      <w:tr w:rsidR="00970995" w:rsidRPr="00724288" w14:paraId="45616140" w14:textId="77777777" w:rsidTr="00EF40FD">
        <w:tc>
          <w:tcPr>
            <w:tcW w:w="440" w:type="dxa"/>
            <w:shd w:val="clear" w:color="auto" w:fill="1F497D" w:themeFill="text2"/>
          </w:tcPr>
          <w:p w14:paraId="079C2A5A" w14:textId="77777777" w:rsidR="004C5E98" w:rsidRPr="00724288" w:rsidRDefault="00EF45D7" w:rsidP="004C5E98">
            <w:pPr>
              <w:rPr>
                <w:rFonts w:ascii="Arial Narrow" w:hAnsi="Arial Narrow"/>
                <w:b/>
                <w:color w:val="FFFFFF" w:themeColor="background1"/>
              </w:rPr>
            </w:pPr>
            <w:r w:rsidRPr="00724288">
              <w:rPr>
                <w:rFonts w:ascii="Arial Narrow" w:hAnsi="Arial Narrow"/>
                <w:b/>
                <w:color w:val="FFFFFF" w:themeColor="background1"/>
              </w:rPr>
              <w:t>#</w:t>
            </w:r>
          </w:p>
        </w:tc>
        <w:tc>
          <w:tcPr>
            <w:tcW w:w="4209" w:type="dxa"/>
            <w:shd w:val="clear" w:color="auto" w:fill="1F497D" w:themeFill="text2"/>
          </w:tcPr>
          <w:p w14:paraId="0D117219" w14:textId="77777777" w:rsidR="004C5E98" w:rsidRPr="00724288" w:rsidRDefault="004C5E98" w:rsidP="004C5E98">
            <w:pPr>
              <w:rPr>
                <w:rFonts w:ascii="Arial Narrow" w:hAnsi="Arial Narrow"/>
                <w:color w:val="FFFFFF" w:themeColor="background1"/>
              </w:rPr>
            </w:pPr>
            <w:r w:rsidRPr="00724288">
              <w:rPr>
                <w:rFonts w:ascii="Arial Narrow" w:hAnsi="Arial Narrow"/>
                <w:b/>
                <w:bCs/>
                <w:color w:val="FFFFFF" w:themeColor="background1"/>
              </w:rPr>
              <w:t xml:space="preserve">Question </w:t>
            </w:r>
          </w:p>
          <w:p w14:paraId="7152F3C8" w14:textId="77777777" w:rsidR="004C5E98" w:rsidRPr="00724288" w:rsidRDefault="004C5E98" w:rsidP="004C5E98">
            <w:pPr>
              <w:rPr>
                <w:rFonts w:ascii="Arial Narrow" w:hAnsi="Arial Narrow"/>
                <w:color w:val="FFFFFF" w:themeColor="background1"/>
              </w:rPr>
            </w:pPr>
          </w:p>
        </w:tc>
        <w:tc>
          <w:tcPr>
            <w:tcW w:w="5386" w:type="dxa"/>
            <w:shd w:val="clear" w:color="auto" w:fill="1F497D" w:themeFill="text2"/>
          </w:tcPr>
          <w:p w14:paraId="165F4388" w14:textId="77777777" w:rsidR="004C5E98" w:rsidRPr="00724288" w:rsidRDefault="004C5E98" w:rsidP="004C5E98">
            <w:pPr>
              <w:rPr>
                <w:rFonts w:ascii="Arial Narrow" w:hAnsi="Arial Narrow"/>
                <w:color w:val="FFFFFF" w:themeColor="background1"/>
              </w:rPr>
            </w:pPr>
            <w:r w:rsidRPr="00724288">
              <w:rPr>
                <w:rFonts w:ascii="Arial Narrow" w:hAnsi="Arial Narrow"/>
                <w:b/>
                <w:bCs/>
                <w:color w:val="FFFFFF" w:themeColor="background1"/>
              </w:rPr>
              <w:t>Answer</w:t>
            </w:r>
          </w:p>
          <w:p w14:paraId="5FAE8641" w14:textId="77777777" w:rsidR="004C5E98" w:rsidRPr="00724288" w:rsidRDefault="004C5E98" w:rsidP="004C5E98">
            <w:pPr>
              <w:rPr>
                <w:rFonts w:ascii="Arial Narrow" w:hAnsi="Arial Narrow"/>
                <w:color w:val="FFFFFF" w:themeColor="background1"/>
              </w:rPr>
            </w:pPr>
          </w:p>
        </w:tc>
      </w:tr>
      <w:tr w:rsidR="00482AFC" w:rsidRPr="00724288" w14:paraId="258A7218" w14:textId="77777777" w:rsidTr="00724288">
        <w:trPr>
          <w:trHeight w:val="507"/>
        </w:trPr>
        <w:tc>
          <w:tcPr>
            <w:tcW w:w="440" w:type="dxa"/>
            <w:shd w:val="clear" w:color="auto" w:fill="1F497D" w:themeFill="text2"/>
          </w:tcPr>
          <w:p w14:paraId="43DCB4D5" w14:textId="77777777" w:rsidR="00482AFC" w:rsidRPr="00724288" w:rsidRDefault="00482AFC" w:rsidP="004C5E98">
            <w:pPr>
              <w:rPr>
                <w:rFonts w:ascii="Arial Narrow" w:hAnsi="Arial Narrow"/>
                <w:b/>
                <w:color w:val="FFFFFF" w:themeColor="background1"/>
              </w:rPr>
            </w:pPr>
          </w:p>
        </w:tc>
        <w:tc>
          <w:tcPr>
            <w:tcW w:w="9595" w:type="dxa"/>
            <w:gridSpan w:val="2"/>
            <w:shd w:val="clear" w:color="auto" w:fill="1F497D" w:themeFill="text2"/>
          </w:tcPr>
          <w:p w14:paraId="05122E64" w14:textId="77777777" w:rsidR="00482AFC" w:rsidRPr="00724288" w:rsidRDefault="00482AFC" w:rsidP="00482AFC">
            <w:pPr>
              <w:jc w:val="center"/>
              <w:rPr>
                <w:rFonts w:ascii="Arial Narrow" w:hAnsi="Arial Narrow"/>
                <w:b/>
                <w:bCs/>
                <w:color w:val="FFFFFF" w:themeColor="background1"/>
              </w:rPr>
            </w:pPr>
            <w:r w:rsidRPr="00724288">
              <w:rPr>
                <w:rFonts w:ascii="Arial Narrow" w:hAnsi="Arial Narrow"/>
                <w:b/>
                <w:bCs/>
                <w:color w:val="FFFFFF" w:themeColor="background1"/>
              </w:rPr>
              <w:t>Questions during the Briefing Session</w:t>
            </w:r>
          </w:p>
        </w:tc>
      </w:tr>
      <w:tr w:rsidR="00350496" w:rsidRPr="00724288" w14:paraId="494FDD38" w14:textId="77777777" w:rsidTr="00724288">
        <w:tc>
          <w:tcPr>
            <w:tcW w:w="10035" w:type="dxa"/>
            <w:gridSpan w:val="3"/>
          </w:tcPr>
          <w:p w14:paraId="35278CC3" w14:textId="7F6FE20B" w:rsidR="00350496" w:rsidRPr="00724288" w:rsidRDefault="00350496" w:rsidP="0052451C">
            <w:pPr>
              <w:spacing w:line="360" w:lineRule="auto"/>
              <w:rPr>
                <w:rFonts w:ascii="Arial Narrow" w:hAnsi="Arial Narrow"/>
                <w:b/>
                <w:bCs/>
              </w:rPr>
            </w:pPr>
          </w:p>
        </w:tc>
      </w:tr>
      <w:tr w:rsidR="00970995" w:rsidRPr="00724288" w14:paraId="25114665" w14:textId="77777777" w:rsidTr="00EF40FD">
        <w:tc>
          <w:tcPr>
            <w:tcW w:w="440" w:type="dxa"/>
          </w:tcPr>
          <w:p w14:paraId="4B47CC4C" w14:textId="77777777" w:rsidR="004C5E98" w:rsidRPr="00724288" w:rsidRDefault="004C5E98" w:rsidP="00D01317">
            <w:pPr>
              <w:spacing w:line="360" w:lineRule="auto"/>
              <w:rPr>
                <w:rFonts w:ascii="Arial Narrow" w:hAnsi="Arial Narrow"/>
              </w:rPr>
            </w:pPr>
            <w:r w:rsidRPr="00724288">
              <w:rPr>
                <w:rFonts w:ascii="Arial Narrow" w:hAnsi="Arial Narrow"/>
              </w:rPr>
              <w:t>1</w:t>
            </w:r>
          </w:p>
        </w:tc>
        <w:tc>
          <w:tcPr>
            <w:tcW w:w="4209" w:type="dxa"/>
          </w:tcPr>
          <w:p w14:paraId="1C7567B0" w14:textId="3301E992" w:rsidR="004C5E98" w:rsidRPr="00724288" w:rsidRDefault="00BD1606" w:rsidP="001330CD">
            <w:pPr>
              <w:spacing w:line="360" w:lineRule="auto"/>
              <w:jc w:val="both"/>
              <w:rPr>
                <w:rFonts w:ascii="Arial Narrow" w:hAnsi="Arial Narrow"/>
              </w:rPr>
            </w:pPr>
            <w:r w:rsidRPr="00724288">
              <w:rPr>
                <w:rFonts w:ascii="Arial Narrow" w:hAnsi="Arial Narrow"/>
              </w:rPr>
              <w:t>The Mint Group has addressed a number of similar engagements across the South African and Middle Eastern landscape, but just want to confirm if participating and hopefully landing this initial planning engagement with SARS would exclude the organisation from the subsequent implementation RFP, which we assume would follow upon the completion of the delivery of this RFP?</w:t>
            </w:r>
            <w:r w:rsidRPr="00724288">
              <w:rPr>
                <w:rFonts w:ascii="Arial Narrow" w:hAnsi="Arial Narrow"/>
              </w:rPr>
              <w:br/>
            </w:r>
            <w:r w:rsidRPr="00724288">
              <w:rPr>
                <w:rFonts w:ascii="Arial Narrow" w:hAnsi="Arial Narrow"/>
              </w:rPr>
              <w:br/>
              <w:t>We could not find any such clause in the RFP request for the planning phase but felt it would be better to confirm upfront.</w:t>
            </w:r>
          </w:p>
        </w:tc>
        <w:tc>
          <w:tcPr>
            <w:tcW w:w="5386" w:type="dxa"/>
          </w:tcPr>
          <w:p w14:paraId="5F1789E0" w14:textId="05ADAD49" w:rsidR="00D31AAA" w:rsidRPr="00724288" w:rsidRDefault="006E2A2D" w:rsidP="00112EB8">
            <w:pPr>
              <w:spacing w:line="360" w:lineRule="auto"/>
              <w:jc w:val="both"/>
              <w:rPr>
                <w:rFonts w:ascii="Arial Narrow" w:hAnsi="Arial Narrow"/>
              </w:rPr>
            </w:pPr>
            <w:r>
              <w:rPr>
                <w:rFonts w:ascii="Arial Narrow" w:hAnsi="Arial Narrow"/>
                <w:highlight w:val="yellow"/>
              </w:rPr>
              <w:t xml:space="preserve">Point 3.4 of the RFP indicates the following: </w:t>
            </w:r>
            <w:r w:rsidR="00112EB8" w:rsidRPr="002718E8">
              <w:rPr>
                <w:rFonts w:ascii="Arial Narrow" w:hAnsi="Arial Narrow"/>
                <w:highlight w:val="yellow"/>
              </w:rPr>
              <w:t>Bidders to note that the parties awarded during this RFP process are restricted from bidding and providing goods, works and services to any eventual project that may result, directly or indirectly from the goods and services requested in this RFP.</w:t>
            </w:r>
            <w:r>
              <w:rPr>
                <w:rFonts w:ascii="Arial Narrow" w:hAnsi="Arial Narrow"/>
              </w:rPr>
              <w:t xml:space="preserve"> This is in line with National Treasury Practise Note SCM 3 of 2003. </w:t>
            </w:r>
          </w:p>
        </w:tc>
      </w:tr>
      <w:tr w:rsidR="004E1F44" w:rsidRPr="00724288" w14:paraId="1B1B2CC0" w14:textId="77777777" w:rsidTr="00EF40FD">
        <w:tc>
          <w:tcPr>
            <w:tcW w:w="440" w:type="dxa"/>
          </w:tcPr>
          <w:p w14:paraId="70AA84A5" w14:textId="52273352" w:rsidR="004E1F44" w:rsidRPr="00724288" w:rsidRDefault="00C21417" w:rsidP="00D01317">
            <w:pPr>
              <w:spacing w:line="360" w:lineRule="auto"/>
              <w:rPr>
                <w:rFonts w:ascii="Arial Narrow" w:hAnsi="Arial Narrow"/>
              </w:rPr>
            </w:pPr>
            <w:r w:rsidRPr="00724288">
              <w:rPr>
                <w:rFonts w:ascii="Arial Narrow" w:hAnsi="Arial Narrow"/>
              </w:rPr>
              <w:t>2</w:t>
            </w:r>
          </w:p>
        </w:tc>
        <w:tc>
          <w:tcPr>
            <w:tcW w:w="4209" w:type="dxa"/>
          </w:tcPr>
          <w:p w14:paraId="02764FDD" w14:textId="77777777" w:rsidR="00BD1606" w:rsidRPr="00724288" w:rsidRDefault="00BD1606" w:rsidP="00BD1606">
            <w:pPr>
              <w:spacing w:line="360" w:lineRule="auto"/>
              <w:jc w:val="both"/>
              <w:rPr>
                <w:rFonts w:ascii="Arial Narrow" w:hAnsi="Arial Narrow"/>
              </w:rPr>
            </w:pPr>
            <w:r w:rsidRPr="00724288">
              <w:rPr>
                <w:rFonts w:ascii="Arial Narrow" w:hAnsi="Arial Narrow"/>
              </w:rPr>
              <w:t xml:space="preserve">Could you please confirm if applying for this RFP </w:t>
            </w:r>
            <w:r w:rsidRPr="00724288">
              <w:rPr>
                <w:rFonts w:ascii="Arial Narrow" w:hAnsi="Arial Narrow"/>
                <w:b/>
                <w:bCs/>
              </w:rPr>
              <w:t>(RFP24/2024)</w:t>
            </w:r>
            <w:r w:rsidRPr="00724288">
              <w:rPr>
                <w:rFonts w:ascii="Arial Narrow" w:hAnsi="Arial Narrow"/>
              </w:rPr>
              <w:t> would exclude us from applying to do the implementation work of the design and advisory? Additionally, will the implementation work be offered through future RFPs?</w:t>
            </w:r>
          </w:p>
          <w:p w14:paraId="0FE28943" w14:textId="77777777" w:rsidR="00BD1606" w:rsidRPr="00724288" w:rsidRDefault="00BD1606" w:rsidP="00BD1606">
            <w:pPr>
              <w:spacing w:line="360" w:lineRule="auto"/>
              <w:jc w:val="both"/>
              <w:rPr>
                <w:rFonts w:ascii="Arial Narrow" w:hAnsi="Arial Narrow"/>
              </w:rPr>
            </w:pPr>
          </w:p>
          <w:p w14:paraId="00B876C2" w14:textId="77777777" w:rsidR="00BD1606" w:rsidRPr="00724288" w:rsidRDefault="00BD1606" w:rsidP="00BD1606">
            <w:pPr>
              <w:spacing w:line="360" w:lineRule="auto"/>
              <w:jc w:val="both"/>
              <w:rPr>
                <w:rFonts w:ascii="Arial Narrow" w:hAnsi="Arial Narrow"/>
              </w:rPr>
            </w:pPr>
            <w:r w:rsidRPr="00724288">
              <w:rPr>
                <w:rFonts w:ascii="Arial Narrow" w:hAnsi="Arial Narrow"/>
              </w:rPr>
              <w:t>We aim to monitor the "Published Tenders" page on your website to watch for the future RFPs, if there is a way to register our interest for the implementation work, please can you advise.</w:t>
            </w:r>
          </w:p>
          <w:p w14:paraId="3FB0A96C" w14:textId="77777777" w:rsidR="00BD1606" w:rsidRPr="00724288" w:rsidRDefault="00BD1606" w:rsidP="00BD1606">
            <w:pPr>
              <w:spacing w:line="360" w:lineRule="auto"/>
              <w:jc w:val="both"/>
              <w:rPr>
                <w:rFonts w:ascii="Arial Narrow" w:hAnsi="Arial Narrow"/>
              </w:rPr>
            </w:pPr>
          </w:p>
          <w:p w14:paraId="77606FDF" w14:textId="77777777" w:rsidR="00BD1606" w:rsidRPr="00724288" w:rsidRDefault="00BD1606" w:rsidP="00BD1606">
            <w:pPr>
              <w:spacing w:line="360" w:lineRule="auto"/>
              <w:jc w:val="both"/>
              <w:rPr>
                <w:rFonts w:ascii="Arial Narrow" w:hAnsi="Arial Narrow"/>
              </w:rPr>
            </w:pPr>
            <w:r w:rsidRPr="00724288">
              <w:rPr>
                <w:rFonts w:ascii="Arial Narrow" w:hAnsi="Arial Narrow"/>
              </w:rPr>
              <w:lastRenderedPageBreak/>
              <w:t>We are eager to collaborate with you and would appreciate your confirmation of the above questions.</w:t>
            </w:r>
          </w:p>
          <w:p w14:paraId="58AFA1EE" w14:textId="5E3F7534" w:rsidR="004E1F44" w:rsidRPr="00724288" w:rsidRDefault="004E1F44" w:rsidP="008F2904">
            <w:pPr>
              <w:spacing w:line="360" w:lineRule="auto"/>
              <w:jc w:val="both"/>
              <w:rPr>
                <w:rFonts w:ascii="Arial Narrow" w:hAnsi="Arial Narrow"/>
              </w:rPr>
            </w:pPr>
          </w:p>
        </w:tc>
        <w:tc>
          <w:tcPr>
            <w:tcW w:w="5386" w:type="dxa"/>
          </w:tcPr>
          <w:p w14:paraId="046BB7F5" w14:textId="16DDDE8A" w:rsidR="00140FD8" w:rsidRDefault="00140FD8" w:rsidP="00B45BFA">
            <w:pPr>
              <w:spacing w:line="360" w:lineRule="auto"/>
              <w:rPr>
                <w:rFonts w:ascii="Arial Narrow" w:hAnsi="Arial Narrow"/>
              </w:rPr>
            </w:pPr>
            <w:r>
              <w:rPr>
                <w:rFonts w:ascii="Arial Narrow" w:hAnsi="Arial Narrow"/>
              </w:rPr>
              <w:lastRenderedPageBreak/>
              <w:t xml:space="preserve">The first part of your question is addressed in the above response. </w:t>
            </w:r>
          </w:p>
          <w:p w14:paraId="20D65C7D" w14:textId="77777777" w:rsidR="00140FD8" w:rsidRDefault="00140FD8" w:rsidP="00B45BFA">
            <w:pPr>
              <w:spacing w:line="360" w:lineRule="auto"/>
              <w:rPr>
                <w:rFonts w:ascii="Arial Narrow" w:hAnsi="Arial Narrow"/>
              </w:rPr>
            </w:pPr>
          </w:p>
          <w:p w14:paraId="09E0DE55" w14:textId="215D88B6" w:rsidR="004E1F44" w:rsidRDefault="00140FD8" w:rsidP="00B45BFA">
            <w:pPr>
              <w:spacing w:line="360" w:lineRule="auto"/>
              <w:rPr>
                <w:rFonts w:ascii="Arial Narrow" w:hAnsi="Arial Narrow"/>
              </w:rPr>
            </w:pPr>
            <w:r>
              <w:rPr>
                <w:rFonts w:ascii="Arial Narrow" w:hAnsi="Arial Narrow"/>
              </w:rPr>
              <w:t xml:space="preserve">If there is implementation work, it will be </w:t>
            </w:r>
            <w:r w:rsidR="00FF1432">
              <w:rPr>
                <w:rFonts w:ascii="Arial Narrow" w:hAnsi="Arial Narrow"/>
              </w:rPr>
              <w:t>advertise</w:t>
            </w:r>
            <w:r>
              <w:rPr>
                <w:rFonts w:ascii="Arial Narrow" w:hAnsi="Arial Narrow"/>
              </w:rPr>
              <w:t>d</w:t>
            </w:r>
            <w:r w:rsidR="00FF1432">
              <w:rPr>
                <w:rFonts w:ascii="Arial Narrow" w:hAnsi="Arial Narrow"/>
              </w:rPr>
              <w:t xml:space="preserve"> in SARS website and National Treasury </w:t>
            </w:r>
            <w:r>
              <w:rPr>
                <w:rFonts w:ascii="Arial Narrow" w:hAnsi="Arial Narrow"/>
              </w:rPr>
              <w:t>e-</w:t>
            </w:r>
            <w:r w:rsidR="00FF1432">
              <w:rPr>
                <w:rFonts w:ascii="Arial Narrow" w:hAnsi="Arial Narrow"/>
              </w:rPr>
              <w:t>tender</w:t>
            </w:r>
            <w:r>
              <w:rPr>
                <w:rFonts w:ascii="Arial Narrow" w:hAnsi="Arial Narrow"/>
              </w:rPr>
              <w:t xml:space="preserve"> portal</w:t>
            </w:r>
            <w:r w:rsidR="00112EB8">
              <w:rPr>
                <w:rFonts w:ascii="Arial Narrow" w:hAnsi="Arial Narrow"/>
              </w:rPr>
              <w:t>.</w:t>
            </w:r>
          </w:p>
          <w:p w14:paraId="64E40831" w14:textId="6BDBE1D6" w:rsidR="00FF1432" w:rsidRPr="00724288" w:rsidRDefault="00FF1432" w:rsidP="00B45BFA">
            <w:pPr>
              <w:spacing w:line="360" w:lineRule="auto"/>
              <w:rPr>
                <w:rFonts w:ascii="Arial Narrow" w:hAnsi="Arial Narrow"/>
              </w:rPr>
            </w:pPr>
          </w:p>
        </w:tc>
      </w:tr>
      <w:tr w:rsidR="00512138" w:rsidRPr="00724288" w14:paraId="11D0AE9E" w14:textId="77777777" w:rsidTr="00EF40FD">
        <w:tc>
          <w:tcPr>
            <w:tcW w:w="440" w:type="dxa"/>
          </w:tcPr>
          <w:p w14:paraId="422CBB7E" w14:textId="6D73BADC" w:rsidR="00512138" w:rsidRPr="00724288" w:rsidRDefault="00EF40FD" w:rsidP="00D01317">
            <w:pPr>
              <w:spacing w:line="360" w:lineRule="auto"/>
              <w:rPr>
                <w:rFonts w:ascii="Arial Narrow" w:hAnsi="Arial Narrow"/>
              </w:rPr>
            </w:pPr>
            <w:r>
              <w:rPr>
                <w:rFonts w:ascii="Arial Narrow" w:hAnsi="Arial Narrow"/>
              </w:rPr>
              <w:t>3</w:t>
            </w:r>
          </w:p>
        </w:tc>
        <w:tc>
          <w:tcPr>
            <w:tcW w:w="4209" w:type="dxa"/>
          </w:tcPr>
          <w:p w14:paraId="4921B075" w14:textId="31B2FBEF" w:rsidR="00512138" w:rsidRPr="00724288" w:rsidRDefault="00512138" w:rsidP="00BD1606">
            <w:pPr>
              <w:spacing w:line="360" w:lineRule="auto"/>
              <w:jc w:val="both"/>
              <w:rPr>
                <w:rFonts w:ascii="Arial Narrow" w:hAnsi="Arial Narrow"/>
              </w:rPr>
            </w:pPr>
            <w:r w:rsidRPr="00724288">
              <w:rPr>
                <w:rFonts w:ascii="Arial Narrow" w:hAnsi="Arial Narrow"/>
              </w:rPr>
              <w:t>Does the scope include Tax and Customs? If yes, is SARS able to advice the weightage in terms of Case Management amongst Tax and Customs domains?</w:t>
            </w:r>
          </w:p>
        </w:tc>
        <w:tc>
          <w:tcPr>
            <w:tcW w:w="5386" w:type="dxa"/>
          </w:tcPr>
          <w:p w14:paraId="2C7B509F" w14:textId="5973BA13" w:rsidR="00512138" w:rsidRPr="00724288" w:rsidRDefault="00512138" w:rsidP="00B45BFA">
            <w:pPr>
              <w:spacing w:line="360" w:lineRule="auto"/>
              <w:rPr>
                <w:rFonts w:ascii="Arial Narrow" w:hAnsi="Arial Narrow"/>
              </w:rPr>
            </w:pPr>
            <w:r w:rsidRPr="00724288">
              <w:rPr>
                <w:rFonts w:ascii="Arial Narrow" w:hAnsi="Arial Narrow"/>
              </w:rPr>
              <w:t>Yes, both Tax and Customs (which includes Excise) are included. The weightage between Tax and Customs is approximately 2:1. Both Tax and Customs include similar back-end capabilities but Tax includes supports more revenue types than does Customs.</w:t>
            </w:r>
          </w:p>
        </w:tc>
      </w:tr>
      <w:tr w:rsidR="00512138" w:rsidRPr="00724288" w14:paraId="6A9FCD9F" w14:textId="77777777" w:rsidTr="00EF40FD">
        <w:tc>
          <w:tcPr>
            <w:tcW w:w="440" w:type="dxa"/>
          </w:tcPr>
          <w:p w14:paraId="0DC7A87C" w14:textId="0BD48E53" w:rsidR="00512138" w:rsidRPr="00724288" w:rsidRDefault="00EF40FD" w:rsidP="00D01317">
            <w:pPr>
              <w:spacing w:line="360" w:lineRule="auto"/>
              <w:rPr>
                <w:rFonts w:ascii="Arial Narrow" w:hAnsi="Arial Narrow"/>
              </w:rPr>
            </w:pPr>
            <w:r>
              <w:rPr>
                <w:rFonts w:ascii="Arial Narrow" w:hAnsi="Arial Narrow"/>
              </w:rPr>
              <w:t>4</w:t>
            </w:r>
          </w:p>
        </w:tc>
        <w:tc>
          <w:tcPr>
            <w:tcW w:w="4209" w:type="dxa"/>
          </w:tcPr>
          <w:p w14:paraId="566CFD59" w14:textId="77777777" w:rsidR="00512138" w:rsidRPr="00724288" w:rsidRDefault="00512138" w:rsidP="00512138">
            <w:pPr>
              <w:spacing w:line="360" w:lineRule="auto"/>
              <w:jc w:val="both"/>
              <w:rPr>
                <w:rFonts w:ascii="Arial Narrow" w:hAnsi="Arial Narrow"/>
              </w:rPr>
            </w:pPr>
            <w:r w:rsidRPr="00724288">
              <w:rPr>
                <w:rFonts w:ascii="Arial Narrow" w:hAnsi="Arial Narrow"/>
              </w:rPr>
              <w:t>Where exactly in the SARS Value chain is Case Management involved?</w:t>
            </w:r>
          </w:p>
          <w:p w14:paraId="6E9661AF" w14:textId="003704C5" w:rsidR="00512138" w:rsidRPr="00724288" w:rsidRDefault="00512138" w:rsidP="00512138">
            <w:pPr>
              <w:spacing w:line="360" w:lineRule="auto"/>
              <w:jc w:val="both"/>
              <w:rPr>
                <w:rFonts w:ascii="Arial Narrow" w:hAnsi="Arial Narrow"/>
              </w:rPr>
            </w:pPr>
            <w:r w:rsidRPr="00724288">
              <w:rPr>
                <w:rFonts w:ascii="Arial Narrow" w:hAnsi="Arial Narrow"/>
              </w:rPr>
              <w:t xml:space="preserve">    Options could be:</w:t>
            </w:r>
          </w:p>
          <w:p w14:paraId="1A2E73EF" w14:textId="77777777" w:rsidR="00512138" w:rsidRPr="00724288" w:rsidRDefault="00512138" w:rsidP="00512138">
            <w:pPr>
              <w:spacing w:line="360" w:lineRule="auto"/>
              <w:jc w:val="both"/>
              <w:rPr>
                <w:rFonts w:ascii="Arial Narrow" w:hAnsi="Arial Narrow"/>
              </w:rPr>
            </w:pPr>
            <w:r w:rsidRPr="00724288">
              <w:rPr>
                <w:rFonts w:ascii="Arial Narrow" w:hAnsi="Arial Narrow"/>
              </w:rPr>
              <w:t xml:space="preserve">a. Compliance: Non-filer, Debt management, Audit </w:t>
            </w:r>
          </w:p>
          <w:p w14:paraId="032246F5" w14:textId="77777777" w:rsidR="00512138" w:rsidRPr="00724288" w:rsidRDefault="00512138" w:rsidP="00512138">
            <w:pPr>
              <w:spacing w:line="360" w:lineRule="auto"/>
              <w:jc w:val="both"/>
              <w:rPr>
                <w:rFonts w:ascii="Arial Narrow" w:hAnsi="Arial Narrow"/>
              </w:rPr>
            </w:pPr>
            <w:r w:rsidRPr="00724288">
              <w:rPr>
                <w:rFonts w:ascii="Arial Narrow" w:hAnsi="Arial Narrow"/>
              </w:rPr>
              <w:t xml:space="preserve">b. Registration + Compliance: Registrations, Non-filer, Debt Management, Audit </w:t>
            </w:r>
          </w:p>
          <w:p w14:paraId="3F9762A8" w14:textId="5508E225" w:rsidR="00512138" w:rsidRPr="00724288" w:rsidRDefault="00512138" w:rsidP="00512138">
            <w:pPr>
              <w:spacing w:line="360" w:lineRule="auto"/>
              <w:jc w:val="both"/>
              <w:rPr>
                <w:rFonts w:ascii="Arial Narrow" w:hAnsi="Arial Narrow"/>
              </w:rPr>
            </w:pPr>
            <w:r w:rsidRPr="00724288">
              <w:rPr>
                <w:rFonts w:ascii="Arial Narrow" w:hAnsi="Arial Narrow"/>
              </w:rPr>
              <w:t>c. Registration + Compliance + Workflow: (b) plus Workflow management for all off-lined processing related to tax returns, accounting, compliance</w:t>
            </w:r>
          </w:p>
        </w:tc>
        <w:tc>
          <w:tcPr>
            <w:tcW w:w="5386" w:type="dxa"/>
          </w:tcPr>
          <w:p w14:paraId="2DB0970E" w14:textId="46C17075" w:rsidR="00512138" w:rsidRPr="00724288" w:rsidRDefault="00512138" w:rsidP="00B45BFA">
            <w:pPr>
              <w:spacing w:line="360" w:lineRule="auto"/>
              <w:rPr>
                <w:rFonts w:ascii="Arial Narrow" w:hAnsi="Arial Narrow"/>
              </w:rPr>
            </w:pPr>
            <w:r w:rsidRPr="00724288">
              <w:rPr>
                <w:rFonts w:ascii="Arial Narrow" w:hAnsi="Arial Narrow"/>
              </w:rPr>
              <w:t>This RFP represents option (c)</w:t>
            </w:r>
          </w:p>
        </w:tc>
      </w:tr>
      <w:tr w:rsidR="00512138" w:rsidRPr="00724288" w14:paraId="28D9813B" w14:textId="77777777" w:rsidTr="00EF40FD">
        <w:tc>
          <w:tcPr>
            <w:tcW w:w="440" w:type="dxa"/>
          </w:tcPr>
          <w:p w14:paraId="4A426AB6" w14:textId="7464B820" w:rsidR="00512138" w:rsidRPr="00724288" w:rsidRDefault="00EF40FD" w:rsidP="00D01317">
            <w:pPr>
              <w:spacing w:line="360" w:lineRule="auto"/>
              <w:rPr>
                <w:rFonts w:ascii="Arial Narrow" w:hAnsi="Arial Narrow"/>
              </w:rPr>
            </w:pPr>
            <w:r>
              <w:rPr>
                <w:rFonts w:ascii="Arial Narrow" w:hAnsi="Arial Narrow"/>
              </w:rPr>
              <w:t>5</w:t>
            </w:r>
          </w:p>
        </w:tc>
        <w:tc>
          <w:tcPr>
            <w:tcW w:w="4209" w:type="dxa"/>
          </w:tcPr>
          <w:p w14:paraId="710499C9" w14:textId="1DD23677" w:rsidR="00512138" w:rsidRPr="00724288" w:rsidRDefault="00512138" w:rsidP="00BD1606">
            <w:pPr>
              <w:spacing w:line="360" w:lineRule="auto"/>
              <w:jc w:val="both"/>
              <w:rPr>
                <w:rFonts w:ascii="Arial Narrow" w:hAnsi="Arial Narrow"/>
              </w:rPr>
            </w:pPr>
            <w:r w:rsidRPr="00724288">
              <w:rPr>
                <w:rFonts w:ascii="Arial Narrow" w:hAnsi="Arial Narrow"/>
              </w:rPr>
              <w:t>What is the scope of Modernisation?  Is this ONLY for Case Management?  Or, is the Service Provider expected to provide the roadmap for all SARS applications with focus on Case Management?</w:t>
            </w:r>
          </w:p>
        </w:tc>
        <w:tc>
          <w:tcPr>
            <w:tcW w:w="5386" w:type="dxa"/>
          </w:tcPr>
          <w:p w14:paraId="588CB3C5" w14:textId="16107975" w:rsidR="00512138" w:rsidRPr="00724288" w:rsidRDefault="00512138" w:rsidP="00B45BFA">
            <w:pPr>
              <w:spacing w:line="360" w:lineRule="auto"/>
              <w:rPr>
                <w:rFonts w:ascii="Arial Narrow" w:hAnsi="Arial Narrow"/>
              </w:rPr>
            </w:pPr>
            <w:r w:rsidRPr="00724288">
              <w:rPr>
                <w:rFonts w:ascii="Arial Narrow" w:hAnsi="Arial Narrow"/>
              </w:rPr>
              <w:t>The scope extends to all SARS applications that are related to Case Management, as per the response to question 2. above</w:t>
            </w:r>
          </w:p>
        </w:tc>
      </w:tr>
      <w:tr w:rsidR="00512138" w:rsidRPr="00724288" w14:paraId="77F1EFB4" w14:textId="77777777" w:rsidTr="00EF40FD">
        <w:tc>
          <w:tcPr>
            <w:tcW w:w="440" w:type="dxa"/>
          </w:tcPr>
          <w:p w14:paraId="3B3F8728" w14:textId="56F8A9BF" w:rsidR="00512138" w:rsidRPr="00724288" w:rsidRDefault="00EF40FD" w:rsidP="00512138">
            <w:pPr>
              <w:spacing w:line="360" w:lineRule="auto"/>
              <w:rPr>
                <w:rFonts w:ascii="Arial Narrow" w:hAnsi="Arial Narrow"/>
              </w:rPr>
            </w:pPr>
            <w:r>
              <w:rPr>
                <w:rFonts w:ascii="Arial Narrow" w:hAnsi="Arial Narrow"/>
              </w:rPr>
              <w:t>6</w:t>
            </w:r>
          </w:p>
        </w:tc>
        <w:tc>
          <w:tcPr>
            <w:tcW w:w="4209" w:type="dxa"/>
            <w:vAlign w:val="center"/>
          </w:tcPr>
          <w:p w14:paraId="0F30D164" w14:textId="58BE1FD5" w:rsidR="00512138" w:rsidRPr="00724288" w:rsidRDefault="00512138" w:rsidP="00512138">
            <w:pPr>
              <w:spacing w:line="360" w:lineRule="auto"/>
              <w:jc w:val="both"/>
              <w:rPr>
                <w:rFonts w:ascii="Arial Narrow" w:hAnsi="Arial Narrow"/>
              </w:rPr>
            </w:pPr>
            <w:r w:rsidRPr="00724288">
              <w:rPr>
                <w:rFonts w:ascii="Arial Narrow" w:hAnsi="Arial Narrow"/>
                <w:color w:val="000000"/>
              </w:rPr>
              <w:t xml:space="preserve"> How is Workflow management implemented in SARS currently? </w:t>
            </w:r>
          </w:p>
        </w:tc>
        <w:tc>
          <w:tcPr>
            <w:tcW w:w="5386" w:type="dxa"/>
            <w:vAlign w:val="center"/>
          </w:tcPr>
          <w:p w14:paraId="5EDDA438" w14:textId="10D80825" w:rsidR="00512138" w:rsidRPr="00724288" w:rsidRDefault="00512138" w:rsidP="00512138">
            <w:pPr>
              <w:spacing w:line="360" w:lineRule="auto"/>
              <w:rPr>
                <w:rFonts w:ascii="Arial Narrow" w:hAnsi="Arial Narrow"/>
              </w:rPr>
            </w:pPr>
            <w:r w:rsidRPr="00724288">
              <w:rPr>
                <w:rFonts w:ascii="Arial Narrow" w:hAnsi="Arial Narrow"/>
                <w:color w:val="000000"/>
              </w:rPr>
              <w:t>Workflow management is provided by a bespoke solution</w:t>
            </w:r>
          </w:p>
        </w:tc>
      </w:tr>
      <w:tr w:rsidR="00512138" w:rsidRPr="00724288" w14:paraId="7BDBB05E" w14:textId="77777777" w:rsidTr="00EF40FD">
        <w:tc>
          <w:tcPr>
            <w:tcW w:w="440" w:type="dxa"/>
          </w:tcPr>
          <w:p w14:paraId="513D479A" w14:textId="1C94E3A0" w:rsidR="00512138" w:rsidRPr="00724288" w:rsidRDefault="00EF40FD" w:rsidP="00512138">
            <w:pPr>
              <w:spacing w:line="360" w:lineRule="auto"/>
              <w:rPr>
                <w:rFonts w:ascii="Arial Narrow" w:hAnsi="Arial Narrow"/>
              </w:rPr>
            </w:pPr>
            <w:r>
              <w:rPr>
                <w:rFonts w:ascii="Arial Narrow" w:hAnsi="Arial Narrow"/>
              </w:rPr>
              <w:t>7</w:t>
            </w:r>
          </w:p>
        </w:tc>
        <w:tc>
          <w:tcPr>
            <w:tcW w:w="4209" w:type="dxa"/>
            <w:vAlign w:val="center"/>
          </w:tcPr>
          <w:p w14:paraId="36F0C765" w14:textId="4ABD3E25" w:rsidR="00512138" w:rsidRPr="00724288" w:rsidRDefault="00512138" w:rsidP="00512138">
            <w:pPr>
              <w:spacing w:line="360" w:lineRule="auto"/>
              <w:jc w:val="both"/>
              <w:rPr>
                <w:rFonts w:ascii="Arial Narrow" w:hAnsi="Arial Narrow"/>
              </w:rPr>
            </w:pPr>
            <w:r w:rsidRPr="00724288">
              <w:rPr>
                <w:rFonts w:ascii="Arial Narrow" w:hAnsi="Arial Narrow"/>
                <w:color w:val="000000"/>
              </w:rPr>
              <w:t>What is the tech stack used specifically for Case Management?</w:t>
            </w:r>
          </w:p>
        </w:tc>
        <w:tc>
          <w:tcPr>
            <w:tcW w:w="5386" w:type="dxa"/>
            <w:vAlign w:val="center"/>
          </w:tcPr>
          <w:p w14:paraId="4E1E4F79" w14:textId="5905EEF3" w:rsidR="00512138" w:rsidRPr="00724288" w:rsidRDefault="00512138" w:rsidP="00512138">
            <w:pPr>
              <w:spacing w:line="360" w:lineRule="auto"/>
              <w:rPr>
                <w:rFonts w:ascii="Arial Narrow" w:hAnsi="Arial Narrow"/>
              </w:rPr>
            </w:pPr>
            <w:r w:rsidRPr="00724288">
              <w:rPr>
                <w:rFonts w:ascii="Arial Narrow" w:hAnsi="Arial Narrow"/>
                <w:color w:val="000000"/>
              </w:rPr>
              <w:t>Refer to the 'Tech stack' worksheet. The application portfolio for Case Management is almost entirely bespoke solutions.</w:t>
            </w:r>
          </w:p>
        </w:tc>
      </w:tr>
      <w:tr w:rsidR="00512138" w:rsidRPr="00724288" w14:paraId="7AFA2BE2" w14:textId="77777777" w:rsidTr="00EF40FD">
        <w:tc>
          <w:tcPr>
            <w:tcW w:w="440" w:type="dxa"/>
          </w:tcPr>
          <w:p w14:paraId="3609F711" w14:textId="16ED1F6F" w:rsidR="00512138" w:rsidRPr="00724288" w:rsidRDefault="00EF40FD" w:rsidP="00512138">
            <w:pPr>
              <w:spacing w:line="360" w:lineRule="auto"/>
              <w:rPr>
                <w:rFonts w:ascii="Arial Narrow" w:hAnsi="Arial Narrow"/>
              </w:rPr>
            </w:pPr>
            <w:r>
              <w:rPr>
                <w:rFonts w:ascii="Arial Narrow" w:hAnsi="Arial Narrow"/>
              </w:rPr>
              <w:t>8</w:t>
            </w:r>
          </w:p>
        </w:tc>
        <w:tc>
          <w:tcPr>
            <w:tcW w:w="4209" w:type="dxa"/>
            <w:vAlign w:val="center"/>
          </w:tcPr>
          <w:p w14:paraId="375816D3" w14:textId="53ACD47E" w:rsidR="00512138" w:rsidRPr="00724288" w:rsidRDefault="00512138" w:rsidP="00512138">
            <w:pPr>
              <w:spacing w:line="360" w:lineRule="auto"/>
              <w:jc w:val="both"/>
              <w:rPr>
                <w:rFonts w:ascii="Arial Narrow" w:hAnsi="Arial Narrow"/>
              </w:rPr>
            </w:pPr>
            <w:r w:rsidRPr="00724288">
              <w:rPr>
                <w:rFonts w:ascii="Arial Narrow" w:hAnsi="Arial Narrow"/>
                <w:color w:val="000000"/>
              </w:rPr>
              <w:t>For the “Intelligent tax administration platform”, is SARS considering to implement OECD’s Tax 3.0 vision?</w:t>
            </w:r>
          </w:p>
        </w:tc>
        <w:tc>
          <w:tcPr>
            <w:tcW w:w="5386" w:type="dxa"/>
            <w:vAlign w:val="center"/>
          </w:tcPr>
          <w:p w14:paraId="497079B7" w14:textId="2860B50D" w:rsidR="00512138" w:rsidRPr="00724288" w:rsidRDefault="00512138" w:rsidP="00512138">
            <w:pPr>
              <w:spacing w:line="360" w:lineRule="auto"/>
              <w:rPr>
                <w:rFonts w:ascii="Arial Narrow" w:hAnsi="Arial Narrow"/>
              </w:rPr>
            </w:pPr>
            <w:r w:rsidRPr="00724288">
              <w:rPr>
                <w:rFonts w:ascii="Arial Narrow" w:hAnsi="Arial Narrow"/>
                <w:color w:val="000000"/>
              </w:rPr>
              <w:t>SARS takes guidance from the OECD's Tax 3.0 vision in the design of the intelligent tax administration platform, although some capabilities of that platform may be added to the scope of Tax 3.0.</w:t>
            </w:r>
          </w:p>
        </w:tc>
      </w:tr>
      <w:tr w:rsidR="00512138" w:rsidRPr="00724288" w14:paraId="224F6CA2" w14:textId="77777777" w:rsidTr="00EF40FD">
        <w:tc>
          <w:tcPr>
            <w:tcW w:w="440" w:type="dxa"/>
          </w:tcPr>
          <w:p w14:paraId="6A72651A" w14:textId="21DBA28B" w:rsidR="00512138" w:rsidRPr="00724288" w:rsidRDefault="00EF40FD" w:rsidP="00512138">
            <w:pPr>
              <w:spacing w:line="360" w:lineRule="auto"/>
              <w:rPr>
                <w:rFonts w:ascii="Arial Narrow" w:hAnsi="Arial Narrow"/>
              </w:rPr>
            </w:pPr>
            <w:r>
              <w:rPr>
                <w:rFonts w:ascii="Arial Narrow" w:hAnsi="Arial Narrow"/>
              </w:rPr>
              <w:t>9</w:t>
            </w:r>
          </w:p>
        </w:tc>
        <w:tc>
          <w:tcPr>
            <w:tcW w:w="4209" w:type="dxa"/>
            <w:vAlign w:val="center"/>
          </w:tcPr>
          <w:p w14:paraId="419D74C8" w14:textId="210E6DF2" w:rsidR="00512138" w:rsidRPr="00724288" w:rsidRDefault="00512138" w:rsidP="00512138">
            <w:pPr>
              <w:spacing w:line="360" w:lineRule="auto"/>
              <w:jc w:val="both"/>
              <w:rPr>
                <w:rFonts w:ascii="Arial Narrow" w:hAnsi="Arial Narrow"/>
              </w:rPr>
            </w:pPr>
            <w:r w:rsidRPr="00724288">
              <w:rPr>
                <w:rFonts w:ascii="Arial Narrow" w:hAnsi="Arial Narrow"/>
                <w:color w:val="000000"/>
              </w:rPr>
              <w:t>What is the Cloud footprint for SARS at this stage? Is it envisioned that the Case Management system to be a Cloud solution?</w:t>
            </w:r>
          </w:p>
        </w:tc>
        <w:tc>
          <w:tcPr>
            <w:tcW w:w="5386" w:type="dxa"/>
            <w:vAlign w:val="center"/>
          </w:tcPr>
          <w:p w14:paraId="5095EA6E" w14:textId="419C958F" w:rsidR="00512138" w:rsidRPr="00724288" w:rsidRDefault="00512138" w:rsidP="00512138">
            <w:pPr>
              <w:spacing w:line="360" w:lineRule="auto"/>
              <w:rPr>
                <w:rFonts w:ascii="Arial Narrow" w:hAnsi="Arial Narrow"/>
              </w:rPr>
            </w:pPr>
            <w:r w:rsidRPr="00724288">
              <w:rPr>
                <w:rFonts w:ascii="Arial Narrow" w:hAnsi="Arial Narrow"/>
                <w:color w:val="000000"/>
              </w:rPr>
              <w:t>The vast majority of SARS's Case Management capabilities are currently provided by technology components that are hosted in SARS's on-premise data centres. A small number of newer capabilities are provided by Cloud SaaS solutions.</w:t>
            </w:r>
          </w:p>
        </w:tc>
      </w:tr>
      <w:tr w:rsidR="00512138" w:rsidRPr="00724288" w14:paraId="5A3858A4" w14:textId="77777777" w:rsidTr="00EF40FD">
        <w:tc>
          <w:tcPr>
            <w:tcW w:w="440" w:type="dxa"/>
          </w:tcPr>
          <w:p w14:paraId="5C074131" w14:textId="0CC3A49F" w:rsidR="00512138" w:rsidRPr="00724288" w:rsidRDefault="00EF40FD" w:rsidP="00512138">
            <w:pPr>
              <w:spacing w:line="360" w:lineRule="auto"/>
              <w:rPr>
                <w:rFonts w:ascii="Arial Narrow" w:hAnsi="Arial Narrow"/>
              </w:rPr>
            </w:pPr>
            <w:r>
              <w:rPr>
                <w:rFonts w:ascii="Arial Narrow" w:hAnsi="Arial Narrow"/>
              </w:rPr>
              <w:lastRenderedPageBreak/>
              <w:t>10</w:t>
            </w:r>
          </w:p>
        </w:tc>
        <w:tc>
          <w:tcPr>
            <w:tcW w:w="4209" w:type="dxa"/>
            <w:vAlign w:val="center"/>
          </w:tcPr>
          <w:p w14:paraId="1D5CD370" w14:textId="2F227514" w:rsidR="00512138" w:rsidRPr="00724288" w:rsidRDefault="00512138" w:rsidP="00512138">
            <w:pPr>
              <w:spacing w:line="360" w:lineRule="auto"/>
              <w:jc w:val="both"/>
              <w:rPr>
                <w:rFonts w:ascii="Arial Narrow" w:hAnsi="Arial Narrow"/>
              </w:rPr>
            </w:pPr>
            <w:r w:rsidRPr="00724288">
              <w:rPr>
                <w:rFonts w:ascii="Arial Narrow" w:hAnsi="Arial Narrow"/>
                <w:color w:val="000000"/>
              </w:rPr>
              <w:t xml:space="preserve">For Workstreams 3 and 4, SARS has requested to include 2 CVs each.  Can SARS confirm whether only these 4 x resources would be responsible for services mentioned in Table 8H? </w:t>
            </w:r>
          </w:p>
        </w:tc>
        <w:tc>
          <w:tcPr>
            <w:tcW w:w="5386" w:type="dxa"/>
            <w:vAlign w:val="center"/>
          </w:tcPr>
          <w:p w14:paraId="0D2832FA" w14:textId="57F249D8" w:rsidR="00512138" w:rsidRPr="00724288" w:rsidRDefault="00512138" w:rsidP="00512138">
            <w:pPr>
              <w:spacing w:line="360" w:lineRule="auto"/>
              <w:rPr>
                <w:rFonts w:ascii="Arial Narrow" w:hAnsi="Arial Narrow"/>
              </w:rPr>
            </w:pPr>
            <w:r w:rsidRPr="00724288">
              <w:rPr>
                <w:rFonts w:ascii="Arial Narrow" w:hAnsi="Arial Narrow"/>
                <w:color w:val="000000"/>
              </w:rPr>
              <w:t>The Service Provider may include additional resources, beyond the 4x resources mentioned, to provide the services mentioned in the RFP.</w:t>
            </w:r>
          </w:p>
        </w:tc>
      </w:tr>
      <w:tr w:rsidR="00512138" w:rsidRPr="00724288" w14:paraId="761FB92D" w14:textId="77777777" w:rsidTr="00EF40FD">
        <w:tc>
          <w:tcPr>
            <w:tcW w:w="440" w:type="dxa"/>
          </w:tcPr>
          <w:p w14:paraId="422C8026" w14:textId="34E3FE06" w:rsidR="00512138" w:rsidRPr="00724288" w:rsidRDefault="00EF40FD" w:rsidP="00512138">
            <w:pPr>
              <w:spacing w:line="360" w:lineRule="auto"/>
              <w:rPr>
                <w:rFonts w:ascii="Arial Narrow" w:hAnsi="Arial Narrow"/>
              </w:rPr>
            </w:pPr>
            <w:r>
              <w:rPr>
                <w:rFonts w:ascii="Arial Narrow" w:hAnsi="Arial Narrow"/>
              </w:rPr>
              <w:t>11</w:t>
            </w:r>
          </w:p>
        </w:tc>
        <w:tc>
          <w:tcPr>
            <w:tcW w:w="4209" w:type="dxa"/>
            <w:vAlign w:val="center"/>
          </w:tcPr>
          <w:p w14:paraId="403CF7F0" w14:textId="0E3A099C" w:rsidR="00512138" w:rsidRPr="00724288" w:rsidRDefault="00512138" w:rsidP="00512138">
            <w:pPr>
              <w:spacing w:line="360" w:lineRule="auto"/>
              <w:jc w:val="both"/>
              <w:rPr>
                <w:rFonts w:ascii="Arial Narrow" w:hAnsi="Arial Narrow"/>
              </w:rPr>
            </w:pPr>
            <w:r w:rsidRPr="00724288">
              <w:rPr>
                <w:rFonts w:ascii="Arial Narrow" w:hAnsi="Arial Narrow"/>
                <w:color w:val="000000"/>
              </w:rPr>
              <w:t>Section 4.1.5.1 asks for 3 x signed reference letters on client’s letterhead.  We will attempt our best to submit them.  However, due to tight timelines, would submitting the credential with the client contact details (still including description, duration and date completed) be considered?</w:t>
            </w:r>
          </w:p>
        </w:tc>
        <w:tc>
          <w:tcPr>
            <w:tcW w:w="5386" w:type="dxa"/>
            <w:vAlign w:val="center"/>
          </w:tcPr>
          <w:p w14:paraId="7E008C9F" w14:textId="68844FDB" w:rsidR="00512138" w:rsidRPr="00724288" w:rsidRDefault="00724288" w:rsidP="00512138">
            <w:pPr>
              <w:spacing w:line="360" w:lineRule="auto"/>
              <w:rPr>
                <w:rFonts w:ascii="Arial Narrow" w:hAnsi="Arial Narrow"/>
                <w:highlight w:val="yellow"/>
              </w:rPr>
            </w:pPr>
            <w:r w:rsidRPr="00724288">
              <w:rPr>
                <w:rFonts w:ascii="Arial Narrow" w:hAnsi="Arial Narrow"/>
                <w:color w:val="000000"/>
                <w:highlight w:val="yellow"/>
              </w:rPr>
              <w:t>The requirements from the RFP remain.</w:t>
            </w:r>
          </w:p>
        </w:tc>
      </w:tr>
      <w:tr w:rsidR="00512138" w:rsidRPr="00724288" w14:paraId="1685DD09" w14:textId="77777777" w:rsidTr="00EF40FD">
        <w:tc>
          <w:tcPr>
            <w:tcW w:w="440" w:type="dxa"/>
          </w:tcPr>
          <w:p w14:paraId="3A0FF8A5" w14:textId="561D3397" w:rsidR="00512138" w:rsidRPr="00724288" w:rsidRDefault="00EF40FD" w:rsidP="00512138">
            <w:pPr>
              <w:spacing w:line="360" w:lineRule="auto"/>
              <w:rPr>
                <w:rFonts w:ascii="Arial Narrow" w:hAnsi="Arial Narrow"/>
              </w:rPr>
            </w:pPr>
            <w:r>
              <w:rPr>
                <w:rFonts w:ascii="Arial Narrow" w:hAnsi="Arial Narrow"/>
              </w:rPr>
              <w:t>12</w:t>
            </w:r>
          </w:p>
        </w:tc>
        <w:tc>
          <w:tcPr>
            <w:tcW w:w="4209" w:type="dxa"/>
            <w:vAlign w:val="center"/>
          </w:tcPr>
          <w:p w14:paraId="11C2B12E" w14:textId="0BF488A5" w:rsidR="00512138" w:rsidRPr="00724288" w:rsidRDefault="00512138" w:rsidP="00512138">
            <w:pPr>
              <w:spacing w:line="360" w:lineRule="auto"/>
              <w:jc w:val="both"/>
              <w:rPr>
                <w:rFonts w:ascii="Arial Narrow" w:hAnsi="Arial Narrow"/>
              </w:rPr>
            </w:pPr>
            <w:r w:rsidRPr="00724288">
              <w:rPr>
                <w:rFonts w:ascii="Arial Narrow" w:hAnsi="Arial Narrow"/>
                <w:color w:val="000000"/>
              </w:rPr>
              <w:t>Is the expectation for the Service Provider to advise/recommend on a Case Management software that would meet the future capabilities as defined in workstream 2?</w:t>
            </w:r>
          </w:p>
        </w:tc>
        <w:tc>
          <w:tcPr>
            <w:tcW w:w="5386" w:type="dxa"/>
            <w:vAlign w:val="center"/>
          </w:tcPr>
          <w:p w14:paraId="7513E004" w14:textId="3F2AE561" w:rsidR="00512138" w:rsidRPr="00724288" w:rsidRDefault="00512138" w:rsidP="00512138">
            <w:pPr>
              <w:spacing w:line="360" w:lineRule="auto"/>
              <w:rPr>
                <w:rFonts w:ascii="Arial Narrow" w:hAnsi="Arial Narrow"/>
              </w:rPr>
            </w:pPr>
            <w:r w:rsidRPr="00724288">
              <w:rPr>
                <w:rFonts w:ascii="Arial Narrow" w:hAnsi="Arial Narrow"/>
                <w:color w:val="000000"/>
              </w:rPr>
              <w:t>Yes, that is the expectation.</w:t>
            </w:r>
          </w:p>
        </w:tc>
      </w:tr>
      <w:tr w:rsidR="00512138" w:rsidRPr="00724288" w14:paraId="5372AA2D" w14:textId="77777777" w:rsidTr="00EF40FD">
        <w:tc>
          <w:tcPr>
            <w:tcW w:w="440" w:type="dxa"/>
          </w:tcPr>
          <w:p w14:paraId="287D652F" w14:textId="74561459" w:rsidR="00512138" w:rsidRPr="00724288" w:rsidRDefault="00EF40FD" w:rsidP="00512138">
            <w:pPr>
              <w:spacing w:line="360" w:lineRule="auto"/>
              <w:rPr>
                <w:rFonts w:ascii="Arial Narrow" w:hAnsi="Arial Narrow"/>
              </w:rPr>
            </w:pPr>
            <w:r>
              <w:rPr>
                <w:rFonts w:ascii="Arial Narrow" w:hAnsi="Arial Narrow"/>
              </w:rPr>
              <w:t>13</w:t>
            </w:r>
          </w:p>
        </w:tc>
        <w:tc>
          <w:tcPr>
            <w:tcW w:w="4209" w:type="dxa"/>
          </w:tcPr>
          <w:p w14:paraId="6D9F776A" w14:textId="6BAE7FFF" w:rsidR="00512138" w:rsidRPr="00724288" w:rsidRDefault="00512138" w:rsidP="00724288">
            <w:pPr>
              <w:spacing w:line="360" w:lineRule="auto"/>
              <w:rPr>
                <w:rFonts w:ascii="Arial Narrow" w:hAnsi="Arial Narrow"/>
              </w:rPr>
            </w:pPr>
            <w:r w:rsidRPr="00724288">
              <w:rPr>
                <w:rFonts w:ascii="Arial Narrow" w:hAnsi="Arial Narrow"/>
                <w:color w:val="000000"/>
              </w:rPr>
              <w:t>Has work commenced on workstreams 1 and 2? What is the expected duration for workstreams 1 and 2 - do you require all resources from the Service Provider to be on-site or can we provide SMEs for these activities and then bring on the full team when workstreams 3 and 4 commence?</w:t>
            </w:r>
          </w:p>
        </w:tc>
        <w:tc>
          <w:tcPr>
            <w:tcW w:w="5386" w:type="dxa"/>
            <w:vAlign w:val="center"/>
          </w:tcPr>
          <w:p w14:paraId="19B51851" w14:textId="7B49C4F6" w:rsidR="00512138" w:rsidRPr="00724288" w:rsidRDefault="00512138" w:rsidP="00512138">
            <w:pPr>
              <w:spacing w:line="360" w:lineRule="auto"/>
              <w:rPr>
                <w:rFonts w:ascii="Arial Narrow" w:hAnsi="Arial Narrow"/>
              </w:rPr>
            </w:pPr>
            <w:r w:rsidRPr="00724288">
              <w:rPr>
                <w:rFonts w:ascii="Arial Narrow" w:hAnsi="Arial Narrow"/>
                <w:color w:val="000000"/>
              </w:rPr>
              <w:t>- Work has commenced and is already well advanced on both workstreams 1 and 2, and the final deliverables should be in draft form by when the Service Provider is appointed. SMEs can be provided for the Service Provider's responsibilities for workstream 1 and 2 in advance of the full team for workstreams 3 and 4.</w:t>
            </w:r>
            <w:r w:rsidRPr="00724288">
              <w:rPr>
                <w:rFonts w:ascii="Arial Narrow" w:hAnsi="Arial Narrow"/>
                <w:color w:val="000000"/>
              </w:rPr>
              <w:br/>
              <w:t>- The Service Provider resources may split their time</w:t>
            </w:r>
            <w:r w:rsidR="00724288" w:rsidRPr="00724288">
              <w:rPr>
                <w:rFonts w:ascii="Arial Narrow" w:hAnsi="Arial Narrow"/>
                <w:color w:val="000000"/>
              </w:rPr>
              <w:t xml:space="preserve"> </w:t>
            </w:r>
            <w:r w:rsidRPr="00724288">
              <w:rPr>
                <w:rFonts w:ascii="Arial Narrow" w:hAnsi="Arial Narrow"/>
                <w:color w:val="000000"/>
              </w:rPr>
              <w:t>between  working on-site at SARS's Brooklyn offices and working remotely. SARS employees work on a hybrid basis, and the Service Provider may want to follow an equivalent engagement approach.</w:t>
            </w:r>
          </w:p>
        </w:tc>
      </w:tr>
      <w:tr w:rsidR="00512138" w:rsidRPr="00724288" w14:paraId="3D6F0479" w14:textId="77777777" w:rsidTr="00EF40FD">
        <w:tc>
          <w:tcPr>
            <w:tcW w:w="440" w:type="dxa"/>
          </w:tcPr>
          <w:p w14:paraId="70F75683" w14:textId="2DE43F1A" w:rsidR="00512138" w:rsidRPr="00724288" w:rsidRDefault="00EF40FD" w:rsidP="00512138">
            <w:pPr>
              <w:spacing w:line="360" w:lineRule="auto"/>
              <w:rPr>
                <w:rFonts w:ascii="Arial Narrow" w:hAnsi="Arial Narrow"/>
              </w:rPr>
            </w:pPr>
            <w:r>
              <w:rPr>
                <w:rFonts w:ascii="Arial Narrow" w:hAnsi="Arial Narrow"/>
              </w:rPr>
              <w:t>14</w:t>
            </w:r>
          </w:p>
        </w:tc>
        <w:tc>
          <w:tcPr>
            <w:tcW w:w="4209" w:type="dxa"/>
            <w:vAlign w:val="center"/>
          </w:tcPr>
          <w:p w14:paraId="6BFD0279" w14:textId="6454DF61" w:rsidR="00724288" w:rsidRDefault="00512138" w:rsidP="00724288">
            <w:pPr>
              <w:tabs>
                <w:tab w:val="left" w:pos="724"/>
                <w:tab w:val="left" w:pos="2709"/>
              </w:tabs>
              <w:spacing w:line="360" w:lineRule="auto"/>
              <w:jc w:val="both"/>
              <w:rPr>
                <w:rFonts w:ascii="Arial Narrow" w:hAnsi="Arial Narrow"/>
                <w:color w:val="000000"/>
              </w:rPr>
            </w:pPr>
            <w:r w:rsidRPr="00724288">
              <w:rPr>
                <w:rFonts w:ascii="Arial Narrow" w:hAnsi="Arial Narrow"/>
                <w:color w:val="000000"/>
              </w:rPr>
              <w:t>In the bid scope document SARS specifies that you require the following two roles:</w:t>
            </w:r>
            <w:r w:rsidRPr="00724288">
              <w:rPr>
                <w:rFonts w:ascii="Arial Narrow" w:hAnsi="Arial Narrow"/>
                <w:color w:val="000000"/>
              </w:rPr>
              <w:br/>
              <w:t>“The successful advisory firm will be required to provide the following technical capable resources:</w:t>
            </w:r>
            <w:r w:rsidRPr="00724288">
              <w:rPr>
                <w:rFonts w:ascii="Arial Narrow" w:hAnsi="Arial Narrow"/>
                <w:color w:val="000000"/>
              </w:rPr>
              <w:br/>
              <w:t>3.7.1Technology</w:t>
            </w:r>
            <w:r w:rsidR="00724288">
              <w:rPr>
                <w:rFonts w:ascii="Arial Narrow" w:hAnsi="Arial Narrow"/>
                <w:color w:val="000000"/>
              </w:rPr>
              <w:t xml:space="preserve"> </w:t>
            </w:r>
            <w:r w:rsidRPr="00724288">
              <w:rPr>
                <w:rFonts w:ascii="Arial Narrow" w:hAnsi="Arial Narrow"/>
                <w:color w:val="000000"/>
              </w:rPr>
              <w:t>strategist</w:t>
            </w:r>
          </w:p>
          <w:p w14:paraId="5BBEDB72" w14:textId="5B3672D8" w:rsidR="00512138" w:rsidRPr="00724288" w:rsidRDefault="00512138" w:rsidP="00724288">
            <w:pPr>
              <w:tabs>
                <w:tab w:val="left" w:pos="724"/>
                <w:tab w:val="left" w:pos="1433"/>
                <w:tab w:val="left" w:pos="2425"/>
                <w:tab w:val="left" w:pos="2709"/>
              </w:tabs>
              <w:spacing w:line="360" w:lineRule="auto"/>
              <w:jc w:val="both"/>
              <w:rPr>
                <w:rFonts w:ascii="Arial Narrow" w:hAnsi="Arial Narrow"/>
              </w:rPr>
            </w:pPr>
            <w:r w:rsidRPr="00724288">
              <w:rPr>
                <w:rFonts w:ascii="Arial Narrow" w:hAnsi="Arial Narrow"/>
                <w:color w:val="000000"/>
              </w:rPr>
              <w:t>3.7.2</w:t>
            </w:r>
            <w:r w:rsidR="00724288">
              <w:rPr>
                <w:rFonts w:ascii="Arial Narrow" w:hAnsi="Arial Narrow"/>
                <w:color w:val="000000"/>
              </w:rPr>
              <w:t>E</w:t>
            </w:r>
            <w:r w:rsidRPr="00724288">
              <w:rPr>
                <w:rFonts w:ascii="Arial Narrow" w:hAnsi="Arial Narrow"/>
                <w:color w:val="000000"/>
              </w:rPr>
              <w:t>nterprisearchitect”</w:t>
            </w:r>
            <w:r w:rsidRPr="00724288">
              <w:rPr>
                <w:rFonts w:ascii="Arial Narrow" w:hAnsi="Arial Narrow"/>
                <w:color w:val="000000"/>
              </w:rPr>
              <w:br/>
              <w:t xml:space="preserve">However, you also detail that for Workstream 1 (requirements gathering) and Workstream 2 (gap analysis) the work will be done by SARS with lighter advisory/consulting SME involvement. But more detailed advisory consulting is required for </w:t>
            </w:r>
            <w:r w:rsidRPr="00724288">
              <w:rPr>
                <w:rFonts w:ascii="Arial Narrow" w:hAnsi="Arial Narrow"/>
                <w:color w:val="000000"/>
              </w:rPr>
              <w:lastRenderedPageBreak/>
              <w:t xml:space="preserve">Workstream 3 - evaluating the technology components that make up SARS' case management portfolio - and for Workstream 4 - that focuses on designing an implementation roadmap that balances speed, cost, and risk through a phased approach. </w:t>
            </w:r>
            <w:r w:rsidRPr="00724288">
              <w:rPr>
                <w:rFonts w:ascii="Arial Narrow" w:hAnsi="Arial Narrow"/>
                <w:color w:val="000000"/>
              </w:rPr>
              <w:br/>
            </w:r>
            <w:r w:rsidRPr="00724288">
              <w:rPr>
                <w:rFonts w:ascii="Arial Narrow" w:hAnsi="Arial Narrow"/>
                <w:color w:val="000000"/>
              </w:rPr>
              <w:br/>
              <w:t>Are the two roles specified in the scope document only for scoring purposes? Our assumption is that this scope would require a larger team.  Is it SARS’ intention that the support for Workstreams 1 and 2, and the delivery of the detail in Workstreams 3 and 4, are only provided by two individuals/roles?</w:t>
            </w:r>
          </w:p>
        </w:tc>
        <w:tc>
          <w:tcPr>
            <w:tcW w:w="5386" w:type="dxa"/>
          </w:tcPr>
          <w:p w14:paraId="43F587FE" w14:textId="5CE38964" w:rsidR="00512138" w:rsidRPr="00724288" w:rsidRDefault="00512138" w:rsidP="00512138">
            <w:pPr>
              <w:spacing w:line="360" w:lineRule="auto"/>
              <w:rPr>
                <w:rFonts w:ascii="Arial Narrow" w:hAnsi="Arial Narrow"/>
              </w:rPr>
            </w:pPr>
            <w:r w:rsidRPr="00724288">
              <w:rPr>
                <w:rFonts w:ascii="Arial Narrow" w:hAnsi="Arial Narrow"/>
                <w:color w:val="000000"/>
              </w:rPr>
              <w:lastRenderedPageBreak/>
              <w:t>The two roles (Tech strategist, enterprise architect) are the minimum resources required to deliver Workstream 3 and 4. The bidders may scope a larger team for those workstreams. For Workstreams 1 and 2, the bidders may use the same team, or a combination of that team and/or other SME resources.</w:t>
            </w:r>
          </w:p>
        </w:tc>
      </w:tr>
      <w:tr w:rsidR="00EF40FD" w:rsidRPr="00724288" w14:paraId="1591DAD7" w14:textId="77777777" w:rsidTr="00B35E37">
        <w:tc>
          <w:tcPr>
            <w:tcW w:w="10035" w:type="dxa"/>
            <w:gridSpan w:val="3"/>
          </w:tcPr>
          <w:p w14:paraId="44CA0796" w14:textId="77777777" w:rsidR="00EF40FD" w:rsidRPr="00724288" w:rsidRDefault="00EF40FD" w:rsidP="00512138">
            <w:pPr>
              <w:spacing w:line="360" w:lineRule="auto"/>
              <w:rPr>
                <w:rFonts w:ascii="Arial Narrow" w:hAnsi="Arial Narrow"/>
                <w:color w:val="000000"/>
              </w:rPr>
            </w:pPr>
          </w:p>
        </w:tc>
      </w:tr>
    </w:tbl>
    <w:p w14:paraId="3DEF140A" w14:textId="77777777" w:rsidR="00650FA8" w:rsidRDefault="00650FA8" w:rsidP="00350496">
      <w:pPr>
        <w:spacing w:line="360" w:lineRule="auto"/>
        <w:rPr>
          <w:rFonts w:ascii="Arial Narrow" w:hAnsi="Arial Narrow"/>
        </w:rPr>
      </w:pPr>
    </w:p>
    <w:p w14:paraId="28FBB18E" w14:textId="77777777" w:rsidR="00EF40FD" w:rsidRDefault="00EF40FD" w:rsidP="00350496">
      <w:pPr>
        <w:spacing w:line="360" w:lineRule="auto"/>
        <w:rPr>
          <w:rFonts w:ascii="Arial Narrow" w:hAnsi="Arial Narrow"/>
        </w:rPr>
      </w:pPr>
    </w:p>
    <w:p w14:paraId="121F2687" w14:textId="77777777" w:rsidR="00EF40FD" w:rsidRDefault="00EF40FD" w:rsidP="00350496">
      <w:pPr>
        <w:spacing w:line="360" w:lineRule="auto"/>
        <w:rPr>
          <w:rFonts w:ascii="Arial Narrow" w:hAnsi="Arial Narrow"/>
        </w:rPr>
      </w:pPr>
    </w:p>
    <w:p w14:paraId="6E669B0B" w14:textId="77777777" w:rsidR="00EF40FD" w:rsidRDefault="00EF40FD" w:rsidP="00350496">
      <w:pPr>
        <w:spacing w:line="360" w:lineRule="auto"/>
        <w:rPr>
          <w:rFonts w:ascii="Arial Narrow" w:hAnsi="Arial Narrow"/>
        </w:rPr>
      </w:pPr>
    </w:p>
    <w:p w14:paraId="2F8DDCC3" w14:textId="77777777" w:rsidR="00EF40FD" w:rsidRDefault="00EF40FD" w:rsidP="00350496">
      <w:pPr>
        <w:spacing w:line="360" w:lineRule="auto"/>
        <w:rPr>
          <w:rFonts w:ascii="Arial Narrow" w:hAnsi="Arial Narrow"/>
        </w:rPr>
      </w:pPr>
    </w:p>
    <w:p w14:paraId="6BAA44BF" w14:textId="77777777" w:rsidR="00EF40FD" w:rsidRDefault="00EF40FD" w:rsidP="00350496">
      <w:pPr>
        <w:spacing w:line="360" w:lineRule="auto"/>
        <w:rPr>
          <w:rFonts w:ascii="Arial Narrow" w:hAnsi="Arial Narrow"/>
        </w:rPr>
      </w:pPr>
    </w:p>
    <w:p w14:paraId="1CBD3C44" w14:textId="77777777" w:rsidR="00EF40FD" w:rsidRDefault="00EF40FD" w:rsidP="00350496">
      <w:pPr>
        <w:spacing w:line="360" w:lineRule="auto"/>
        <w:rPr>
          <w:rFonts w:ascii="Arial Narrow" w:hAnsi="Arial Narrow"/>
        </w:rPr>
      </w:pPr>
    </w:p>
    <w:p w14:paraId="61E328F8" w14:textId="77777777" w:rsidR="00EF40FD" w:rsidRDefault="00EF40FD" w:rsidP="00350496">
      <w:pPr>
        <w:spacing w:line="360" w:lineRule="auto"/>
        <w:rPr>
          <w:rFonts w:ascii="Arial Narrow" w:hAnsi="Arial Narrow"/>
        </w:rPr>
      </w:pPr>
    </w:p>
    <w:p w14:paraId="51795871" w14:textId="77777777" w:rsidR="00EF40FD" w:rsidRDefault="00EF40FD" w:rsidP="00350496">
      <w:pPr>
        <w:spacing w:line="360" w:lineRule="auto"/>
        <w:rPr>
          <w:rFonts w:ascii="Arial Narrow" w:hAnsi="Arial Narrow"/>
        </w:rPr>
      </w:pPr>
    </w:p>
    <w:p w14:paraId="19A09D77" w14:textId="77777777" w:rsidR="00EF40FD" w:rsidRDefault="00EF40FD" w:rsidP="00350496">
      <w:pPr>
        <w:spacing w:line="360" w:lineRule="auto"/>
        <w:rPr>
          <w:rFonts w:ascii="Arial Narrow" w:hAnsi="Arial Narrow"/>
        </w:rPr>
      </w:pPr>
    </w:p>
    <w:p w14:paraId="54A450B7" w14:textId="77777777" w:rsidR="00EF40FD" w:rsidRDefault="00EF40FD" w:rsidP="00350496">
      <w:pPr>
        <w:spacing w:line="360" w:lineRule="auto"/>
        <w:rPr>
          <w:rFonts w:ascii="Arial Narrow" w:hAnsi="Arial Narrow"/>
        </w:rPr>
      </w:pPr>
    </w:p>
    <w:p w14:paraId="6AA6B1A0" w14:textId="77777777" w:rsidR="00EF40FD" w:rsidRDefault="00EF40FD" w:rsidP="00350496">
      <w:pPr>
        <w:spacing w:line="360" w:lineRule="auto"/>
        <w:rPr>
          <w:rFonts w:ascii="Arial Narrow" w:hAnsi="Arial Narrow"/>
        </w:rPr>
      </w:pPr>
    </w:p>
    <w:p w14:paraId="50A279A7" w14:textId="77777777" w:rsidR="00EF40FD" w:rsidRDefault="00EF40FD" w:rsidP="00350496">
      <w:pPr>
        <w:spacing w:line="360" w:lineRule="auto"/>
        <w:rPr>
          <w:rFonts w:ascii="Arial Narrow" w:hAnsi="Arial Narrow"/>
        </w:rPr>
      </w:pPr>
    </w:p>
    <w:p w14:paraId="2319961B" w14:textId="77777777" w:rsidR="00EF40FD" w:rsidRDefault="00EF40FD" w:rsidP="00350496">
      <w:pPr>
        <w:spacing w:line="360" w:lineRule="auto"/>
        <w:rPr>
          <w:rFonts w:ascii="Arial Narrow" w:hAnsi="Arial Narrow"/>
        </w:rPr>
      </w:pPr>
    </w:p>
    <w:p w14:paraId="4AA39C73" w14:textId="77777777" w:rsidR="00EF40FD" w:rsidRDefault="00EF40FD" w:rsidP="00350496">
      <w:pPr>
        <w:spacing w:line="360" w:lineRule="auto"/>
        <w:rPr>
          <w:rFonts w:ascii="Arial Narrow" w:hAnsi="Arial Narrow"/>
        </w:rPr>
      </w:pPr>
    </w:p>
    <w:p w14:paraId="33562D24" w14:textId="77777777" w:rsidR="00EF40FD" w:rsidRDefault="00EF40FD" w:rsidP="00350496">
      <w:pPr>
        <w:spacing w:line="360" w:lineRule="auto"/>
        <w:rPr>
          <w:rFonts w:ascii="Arial Narrow" w:hAnsi="Arial Narrow"/>
        </w:rPr>
      </w:pPr>
    </w:p>
    <w:p w14:paraId="27DE2FED" w14:textId="77777777" w:rsidR="00EF40FD" w:rsidRDefault="00EF40FD" w:rsidP="00350496">
      <w:pPr>
        <w:spacing w:line="360" w:lineRule="auto"/>
        <w:rPr>
          <w:rFonts w:ascii="Arial Narrow" w:hAnsi="Arial Narrow"/>
        </w:rPr>
      </w:pPr>
    </w:p>
    <w:p w14:paraId="0DEAB911" w14:textId="77777777" w:rsidR="00EF40FD" w:rsidRDefault="00EF40FD" w:rsidP="00350496">
      <w:pPr>
        <w:spacing w:line="360" w:lineRule="auto"/>
        <w:rPr>
          <w:rFonts w:ascii="Arial Narrow" w:hAnsi="Arial Narrow"/>
        </w:rPr>
      </w:pPr>
    </w:p>
    <w:p w14:paraId="7065EDCC" w14:textId="77777777" w:rsidR="00EF40FD" w:rsidRPr="00724288" w:rsidRDefault="00EF40FD" w:rsidP="00350496">
      <w:pPr>
        <w:spacing w:line="360" w:lineRule="auto"/>
        <w:rPr>
          <w:rFonts w:ascii="Arial Narrow" w:hAnsi="Arial Narrow"/>
        </w:rPr>
      </w:pPr>
    </w:p>
    <w:sectPr w:rsidR="00EF40FD" w:rsidRPr="00724288" w:rsidSect="00EF40F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9B236C"/>
    <w:multiLevelType w:val="hybridMultilevel"/>
    <w:tmpl w:val="7D00D260"/>
    <w:lvl w:ilvl="0" w:tplc="424E3A92">
      <w:numFmt w:val="bullet"/>
      <w:lvlText w:val="-"/>
      <w:lvlJc w:val="left"/>
      <w:pPr>
        <w:ind w:left="657" w:hanging="360"/>
      </w:pPr>
      <w:rPr>
        <w:rFonts w:ascii="Arial Narrow" w:eastAsiaTheme="minorHAnsi" w:hAnsi="Arial Narrow" w:cstheme="minorBidi" w:hint="default"/>
      </w:rPr>
    </w:lvl>
    <w:lvl w:ilvl="1" w:tplc="1C090003" w:tentative="1">
      <w:start w:val="1"/>
      <w:numFmt w:val="bullet"/>
      <w:lvlText w:val="o"/>
      <w:lvlJc w:val="left"/>
      <w:pPr>
        <w:ind w:left="1377" w:hanging="360"/>
      </w:pPr>
      <w:rPr>
        <w:rFonts w:ascii="Courier New" w:hAnsi="Courier New" w:cs="Courier New" w:hint="default"/>
      </w:rPr>
    </w:lvl>
    <w:lvl w:ilvl="2" w:tplc="1C090005" w:tentative="1">
      <w:start w:val="1"/>
      <w:numFmt w:val="bullet"/>
      <w:lvlText w:val=""/>
      <w:lvlJc w:val="left"/>
      <w:pPr>
        <w:ind w:left="2097" w:hanging="360"/>
      </w:pPr>
      <w:rPr>
        <w:rFonts w:ascii="Wingdings" w:hAnsi="Wingdings" w:hint="default"/>
      </w:rPr>
    </w:lvl>
    <w:lvl w:ilvl="3" w:tplc="1C090001" w:tentative="1">
      <w:start w:val="1"/>
      <w:numFmt w:val="bullet"/>
      <w:lvlText w:val=""/>
      <w:lvlJc w:val="left"/>
      <w:pPr>
        <w:ind w:left="2817" w:hanging="360"/>
      </w:pPr>
      <w:rPr>
        <w:rFonts w:ascii="Symbol" w:hAnsi="Symbol" w:hint="default"/>
      </w:rPr>
    </w:lvl>
    <w:lvl w:ilvl="4" w:tplc="1C090003" w:tentative="1">
      <w:start w:val="1"/>
      <w:numFmt w:val="bullet"/>
      <w:lvlText w:val="o"/>
      <w:lvlJc w:val="left"/>
      <w:pPr>
        <w:ind w:left="3537" w:hanging="360"/>
      </w:pPr>
      <w:rPr>
        <w:rFonts w:ascii="Courier New" w:hAnsi="Courier New" w:cs="Courier New" w:hint="default"/>
      </w:rPr>
    </w:lvl>
    <w:lvl w:ilvl="5" w:tplc="1C090005" w:tentative="1">
      <w:start w:val="1"/>
      <w:numFmt w:val="bullet"/>
      <w:lvlText w:val=""/>
      <w:lvlJc w:val="left"/>
      <w:pPr>
        <w:ind w:left="4257" w:hanging="360"/>
      </w:pPr>
      <w:rPr>
        <w:rFonts w:ascii="Wingdings" w:hAnsi="Wingdings" w:hint="default"/>
      </w:rPr>
    </w:lvl>
    <w:lvl w:ilvl="6" w:tplc="1C090001" w:tentative="1">
      <w:start w:val="1"/>
      <w:numFmt w:val="bullet"/>
      <w:lvlText w:val=""/>
      <w:lvlJc w:val="left"/>
      <w:pPr>
        <w:ind w:left="4977" w:hanging="360"/>
      </w:pPr>
      <w:rPr>
        <w:rFonts w:ascii="Symbol" w:hAnsi="Symbol" w:hint="default"/>
      </w:rPr>
    </w:lvl>
    <w:lvl w:ilvl="7" w:tplc="1C090003" w:tentative="1">
      <w:start w:val="1"/>
      <w:numFmt w:val="bullet"/>
      <w:lvlText w:val="o"/>
      <w:lvlJc w:val="left"/>
      <w:pPr>
        <w:ind w:left="5697" w:hanging="360"/>
      </w:pPr>
      <w:rPr>
        <w:rFonts w:ascii="Courier New" w:hAnsi="Courier New" w:cs="Courier New" w:hint="default"/>
      </w:rPr>
    </w:lvl>
    <w:lvl w:ilvl="8" w:tplc="1C090005" w:tentative="1">
      <w:start w:val="1"/>
      <w:numFmt w:val="bullet"/>
      <w:lvlText w:val=""/>
      <w:lvlJc w:val="left"/>
      <w:pPr>
        <w:ind w:left="6417" w:hanging="360"/>
      </w:pPr>
      <w:rPr>
        <w:rFonts w:ascii="Wingdings" w:hAnsi="Wingdings" w:hint="default"/>
      </w:rPr>
    </w:lvl>
  </w:abstractNum>
  <w:abstractNum w:abstractNumId="1" w15:restartNumberingAfterBreak="0">
    <w:nsid w:val="1F0A0D08"/>
    <w:multiLevelType w:val="hybridMultilevel"/>
    <w:tmpl w:val="50C0391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21550326"/>
    <w:multiLevelType w:val="hybridMultilevel"/>
    <w:tmpl w:val="E15AF102"/>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3" w15:restartNumberingAfterBreak="0">
    <w:nsid w:val="21BD7B65"/>
    <w:multiLevelType w:val="hybridMultilevel"/>
    <w:tmpl w:val="5B48433C"/>
    <w:lvl w:ilvl="0" w:tplc="1C090011">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4" w15:restartNumberingAfterBreak="0">
    <w:nsid w:val="2DB836E0"/>
    <w:multiLevelType w:val="hybridMultilevel"/>
    <w:tmpl w:val="68B455BC"/>
    <w:lvl w:ilvl="0" w:tplc="90744DBA">
      <w:start w:val="1"/>
      <w:numFmt w:val="lowerLetter"/>
      <w:lvlText w:val="%1)"/>
      <w:lvlJc w:val="left"/>
      <w:pPr>
        <w:ind w:left="2520" w:hanging="360"/>
      </w:pPr>
      <w:rPr>
        <w:i w:val="0"/>
        <w:color w:val="000000"/>
      </w:rPr>
    </w:lvl>
    <w:lvl w:ilvl="1" w:tplc="1C090019">
      <w:start w:val="1"/>
      <w:numFmt w:val="lowerLetter"/>
      <w:lvlText w:val="%2."/>
      <w:lvlJc w:val="left"/>
      <w:pPr>
        <w:ind w:left="3240" w:hanging="360"/>
      </w:pPr>
    </w:lvl>
    <w:lvl w:ilvl="2" w:tplc="1C09001B">
      <w:start w:val="1"/>
      <w:numFmt w:val="lowerRoman"/>
      <w:lvlText w:val="%3."/>
      <w:lvlJc w:val="right"/>
      <w:pPr>
        <w:ind w:left="3960" w:hanging="180"/>
      </w:pPr>
    </w:lvl>
    <w:lvl w:ilvl="3" w:tplc="1C09000F">
      <w:start w:val="1"/>
      <w:numFmt w:val="decimal"/>
      <w:lvlText w:val="%4."/>
      <w:lvlJc w:val="left"/>
      <w:pPr>
        <w:ind w:left="4680" w:hanging="360"/>
      </w:pPr>
    </w:lvl>
    <w:lvl w:ilvl="4" w:tplc="1C090019">
      <w:start w:val="1"/>
      <w:numFmt w:val="lowerLetter"/>
      <w:lvlText w:val="%5."/>
      <w:lvlJc w:val="left"/>
      <w:pPr>
        <w:ind w:left="5400" w:hanging="360"/>
      </w:pPr>
    </w:lvl>
    <w:lvl w:ilvl="5" w:tplc="1C09001B">
      <w:start w:val="1"/>
      <w:numFmt w:val="lowerRoman"/>
      <w:lvlText w:val="%6."/>
      <w:lvlJc w:val="right"/>
      <w:pPr>
        <w:ind w:left="6120" w:hanging="180"/>
      </w:pPr>
    </w:lvl>
    <w:lvl w:ilvl="6" w:tplc="1C09000F">
      <w:start w:val="1"/>
      <w:numFmt w:val="decimal"/>
      <w:lvlText w:val="%7."/>
      <w:lvlJc w:val="left"/>
      <w:pPr>
        <w:ind w:left="6840" w:hanging="360"/>
      </w:pPr>
    </w:lvl>
    <w:lvl w:ilvl="7" w:tplc="1C090019">
      <w:start w:val="1"/>
      <w:numFmt w:val="lowerLetter"/>
      <w:lvlText w:val="%8."/>
      <w:lvlJc w:val="left"/>
      <w:pPr>
        <w:ind w:left="7560" w:hanging="360"/>
      </w:pPr>
    </w:lvl>
    <w:lvl w:ilvl="8" w:tplc="1C09001B">
      <w:start w:val="1"/>
      <w:numFmt w:val="lowerRoman"/>
      <w:lvlText w:val="%9."/>
      <w:lvlJc w:val="right"/>
      <w:pPr>
        <w:ind w:left="8280" w:hanging="180"/>
      </w:pPr>
    </w:lvl>
  </w:abstractNum>
  <w:abstractNum w:abstractNumId="5" w15:restartNumberingAfterBreak="0">
    <w:nsid w:val="2ED02A24"/>
    <w:multiLevelType w:val="hybridMultilevel"/>
    <w:tmpl w:val="0DB431AC"/>
    <w:lvl w:ilvl="0" w:tplc="603C3D6E">
      <w:start w:val="1"/>
      <w:numFmt w:val="decimal"/>
      <w:lvlText w:val="7.%1."/>
      <w:lvlJc w:val="left"/>
      <w:pPr>
        <w:ind w:left="720" w:hanging="360"/>
      </w:pPr>
      <w:rPr>
        <w:rFonts w:hint="default"/>
      </w:r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6" w15:restartNumberingAfterBreak="0">
    <w:nsid w:val="3AE06423"/>
    <w:multiLevelType w:val="hybridMultilevel"/>
    <w:tmpl w:val="FEA0EDEC"/>
    <w:lvl w:ilvl="0" w:tplc="AB403080">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41FA509F"/>
    <w:multiLevelType w:val="hybridMultilevel"/>
    <w:tmpl w:val="2A405AC0"/>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44C32B58"/>
    <w:multiLevelType w:val="hybridMultilevel"/>
    <w:tmpl w:val="12C2E16A"/>
    <w:lvl w:ilvl="0" w:tplc="1C090001">
      <w:start w:val="1"/>
      <w:numFmt w:val="bullet"/>
      <w:lvlText w:val=""/>
      <w:lvlJc w:val="left"/>
      <w:pPr>
        <w:ind w:left="765" w:hanging="360"/>
      </w:pPr>
      <w:rPr>
        <w:rFonts w:ascii="Symbol" w:hAnsi="Symbol" w:hint="default"/>
      </w:rPr>
    </w:lvl>
    <w:lvl w:ilvl="1" w:tplc="1C090003" w:tentative="1">
      <w:start w:val="1"/>
      <w:numFmt w:val="bullet"/>
      <w:lvlText w:val="o"/>
      <w:lvlJc w:val="left"/>
      <w:pPr>
        <w:ind w:left="1485" w:hanging="360"/>
      </w:pPr>
      <w:rPr>
        <w:rFonts w:ascii="Courier New" w:hAnsi="Courier New" w:cs="Courier New" w:hint="default"/>
      </w:rPr>
    </w:lvl>
    <w:lvl w:ilvl="2" w:tplc="1C090005" w:tentative="1">
      <w:start w:val="1"/>
      <w:numFmt w:val="bullet"/>
      <w:lvlText w:val=""/>
      <w:lvlJc w:val="left"/>
      <w:pPr>
        <w:ind w:left="2205" w:hanging="360"/>
      </w:pPr>
      <w:rPr>
        <w:rFonts w:ascii="Wingdings" w:hAnsi="Wingdings" w:hint="default"/>
      </w:rPr>
    </w:lvl>
    <w:lvl w:ilvl="3" w:tplc="1C090001" w:tentative="1">
      <w:start w:val="1"/>
      <w:numFmt w:val="bullet"/>
      <w:lvlText w:val=""/>
      <w:lvlJc w:val="left"/>
      <w:pPr>
        <w:ind w:left="2925" w:hanging="360"/>
      </w:pPr>
      <w:rPr>
        <w:rFonts w:ascii="Symbol" w:hAnsi="Symbol" w:hint="default"/>
      </w:rPr>
    </w:lvl>
    <w:lvl w:ilvl="4" w:tplc="1C090003" w:tentative="1">
      <w:start w:val="1"/>
      <w:numFmt w:val="bullet"/>
      <w:lvlText w:val="o"/>
      <w:lvlJc w:val="left"/>
      <w:pPr>
        <w:ind w:left="3645" w:hanging="360"/>
      </w:pPr>
      <w:rPr>
        <w:rFonts w:ascii="Courier New" w:hAnsi="Courier New" w:cs="Courier New" w:hint="default"/>
      </w:rPr>
    </w:lvl>
    <w:lvl w:ilvl="5" w:tplc="1C090005" w:tentative="1">
      <w:start w:val="1"/>
      <w:numFmt w:val="bullet"/>
      <w:lvlText w:val=""/>
      <w:lvlJc w:val="left"/>
      <w:pPr>
        <w:ind w:left="4365" w:hanging="360"/>
      </w:pPr>
      <w:rPr>
        <w:rFonts w:ascii="Wingdings" w:hAnsi="Wingdings" w:hint="default"/>
      </w:rPr>
    </w:lvl>
    <w:lvl w:ilvl="6" w:tplc="1C090001" w:tentative="1">
      <w:start w:val="1"/>
      <w:numFmt w:val="bullet"/>
      <w:lvlText w:val=""/>
      <w:lvlJc w:val="left"/>
      <w:pPr>
        <w:ind w:left="5085" w:hanging="360"/>
      </w:pPr>
      <w:rPr>
        <w:rFonts w:ascii="Symbol" w:hAnsi="Symbol" w:hint="default"/>
      </w:rPr>
    </w:lvl>
    <w:lvl w:ilvl="7" w:tplc="1C090003" w:tentative="1">
      <w:start w:val="1"/>
      <w:numFmt w:val="bullet"/>
      <w:lvlText w:val="o"/>
      <w:lvlJc w:val="left"/>
      <w:pPr>
        <w:ind w:left="5805" w:hanging="360"/>
      </w:pPr>
      <w:rPr>
        <w:rFonts w:ascii="Courier New" w:hAnsi="Courier New" w:cs="Courier New" w:hint="default"/>
      </w:rPr>
    </w:lvl>
    <w:lvl w:ilvl="8" w:tplc="1C090005" w:tentative="1">
      <w:start w:val="1"/>
      <w:numFmt w:val="bullet"/>
      <w:lvlText w:val=""/>
      <w:lvlJc w:val="left"/>
      <w:pPr>
        <w:ind w:left="6525" w:hanging="360"/>
      </w:pPr>
      <w:rPr>
        <w:rFonts w:ascii="Wingdings" w:hAnsi="Wingdings" w:hint="default"/>
      </w:rPr>
    </w:lvl>
  </w:abstractNum>
  <w:abstractNum w:abstractNumId="9" w15:restartNumberingAfterBreak="0">
    <w:nsid w:val="56400CBC"/>
    <w:multiLevelType w:val="hybridMultilevel"/>
    <w:tmpl w:val="E1981BA4"/>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10" w15:restartNumberingAfterBreak="0">
    <w:nsid w:val="5BB504EE"/>
    <w:multiLevelType w:val="hybridMultilevel"/>
    <w:tmpl w:val="8D4E911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65412EF7"/>
    <w:multiLevelType w:val="hybridMultilevel"/>
    <w:tmpl w:val="A57AC25A"/>
    <w:lvl w:ilvl="0" w:tplc="3BD25A04">
      <w:start w:val="1"/>
      <w:numFmt w:val="lowerLetter"/>
      <w:lvlText w:val="%1."/>
      <w:lvlJc w:val="left"/>
      <w:pPr>
        <w:ind w:left="1080" w:hanging="72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675C7AF7"/>
    <w:multiLevelType w:val="hybridMultilevel"/>
    <w:tmpl w:val="2BC47B1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695D6DDF"/>
    <w:multiLevelType w:val="hybridMultilevel"/>
    <w:tmpl w:val="3FF06516"/>
    <w:lvl w:ilvl="0" w:tplc="C98A65DC">
      <w:start w:val="1"/>
      <w:numFmt w:val="bullet"/>
      <w:lvlText w:val="-"/>
      <w:lvlJc w:val="left"/>
      <w:pPr>
        <w:ind w:left="1080" w:hanging="360"/>
      </w:pPr>
      <w:rPr>
        <w:rFonts w:ascii="Calibri" w:eastAsia="Calibri" w:hAnsi="Calibri" w:cs="Calibri" w:hint="default"/>
      </w:rPr>
    </w:lvl>
    <w:lvl w:ilvl="1" w:tplc="1C090003">
      <w:start w:val="1"/>
      <w:numFmt w:val="bullet"/>
      <w:lvlText w:val="o"/>
      <w:lvlJc w:val="left"/>
      <w:pPr>
        <w:ind w:left="1800" w:hanging="360"/>
      </w:pPr>
      <w:rPr>
        <w:rFonts w:ascii="Courier New" w:hAnsi="Courier New" w:cs="Courier New" w:hint="default"/>
      </w:rPr>
    </w:lvl>
    <w:lvl w:ilvl="2" w:tplc="1C090005">
      <w:start w:val="1"/>
      <w:numFmt w:val="bullet"/>
      <w:lvlText w:val=""/>
      <w:lvlJc w:val="left"/>
      <w:pPr>
        <w:ind w:left="2520" w:hanging="360"/>
      </w:pPr>
      <w:rPr>
        <w:rFonts w:ascii="Wingdings" w:hAnsi="Wingdings" w:hint="default"/>
      </w:rPr>
    </w:lvl>
    <w:lvl w:ilvl="3" w:tplc="1C090001">
      <w:start w:val="1"/>
      <w:numFmt w:val="bullet"/>
      <w:lvlText w:val=""/>
      <w:lvlJc w:val="left"/>
      <w:pPr>
        <w:ind w:left="3240" w:hanging="360"/>
      </w:pPr>
      <w:rPr>
        <w:rFonts w:ascii="Symbol" w:hAnsi="Symbol" w:hint="default"/>
      </w:rPr>
    </w:lvl>
    <w:lvl w:ilvl="4" w:tplc="1C090003">
      <w:start w:val="1"/>
      <w:numFmt w:val="bullet"/>
      <w:lvlText w:val="o"/>
      <w:lvlJc w:val="left"/>
      <w:pPr>
        <w:ind w:left="3960" w:hanging="360"/>
      </w:pPr>
      <w:rPr>
        <w:rFonts w:ascii="Courier New" w:hAnsi="Courier New" w:cs="Courier New" w:hint="default"/>
      </w:rPr>
    </w:lvl>
    <w:lvl w:ilvl="5" w:tplc="1C090005">
      <w:start w:val="1"/>
      <w:numFmt w:val="bullet"/>
      <w:lvlText w:val=""/>
      <w:lvlJc w:val="left"/>
      <w:pPr>
        <w:ind w:left="4680" w:hanging="360"/>
      </w:pPr>
      <w:rPr>
        <w:rFonts w:ascii="Wingdings" w:hAnsi="Wingdings" w:hint="default"/>
      </w:rPr>
    </w:lvl>
    <w:lvl w:ilvl="6" w:tplc="1C090001">
      <w:start w:val="1"/>
      <w:numFmt w:val="bullet"/>
      <w:lvlText w:val=""/>
      <w:lvlJc w:val="left"/>
      <w:pPr>
        <w:ind w:left="5400" w:hanging="360"/>
      </w:pPr>
      <w:rPr>
        <w:rFonts w:ascii="Symbol" w:hAnsi="Symbol" w:hint="default"/>
      </w:rPr>
    </w:lvl>
    <w:lvl w:ilvl="7" w:tplc="1C090003">
      <w:start w:val="1"/>
      <w:numFmt w:val="bullet"/>
      <w:lvlText w:val="o"/>
      <w:lvlJc w:val="left"/>
      <w:pPr>
        <w:ind w:left="6120" w:hanging="360"/>
      </w:pPr>
      <w:rPr>
        <w:rFonts w:ascii="Courier New" w:hAnsi="Courier New" w:cs="Courier New" w:hint="default"/>
      </w:rPr>
    </w:lvl>
    <w:lvl w:ilvl="8" w:tplc="1C090005">
      <w:start w:val="1"/>
      <w:numFmt w:val="bullet"/>
      <w:lvlText w:val=""/>
      <w:lvlJc w:val="left"/>
      <w:pPr>
        <w:ind w:left="6840" w:hanging="360"/>
      </w:pPr>
      <w:rPr>
        <w:rFonts w:ascii="Wingdings" w:hAnsi="Wingdings" w:hint="default"/>
      </w:rPr>
    </w:lvl>
  </w:abstractNum>
  <w:abstractNum w:abstractNumId="14" w15:restartNumberingAfterBreak="0">
    <w:nsid w:val="6DF51989"/>
    <w:multiLevelType w:val="hybridMultilevel"/>
    <w:tmpl w:val="3B1E3952"/>
    <w:lvl w:ilvl="0" w:tplc="1C090001">
      <w:start w:val="1"/>
      <w:numFmt w:val="bullet"/>
      <w:lvlText w:val=""/>
      <w:lvlJc w:val="left"/>
      <w:pPr>
        <w:ind w:left="720" w:hanging="360"/>
      </w:pPr>
      <w:rPr>
        <w:rFonts w:ascii="Symbol" w:hAnsi="Symbol" w:hint="default"/>
      </w:r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15" w15:restartNumberingAfterBreak="0">
    <w:nsid w:val="762370F2"/>
    <w:multiLevelType w:val="hybridMultilevel"/>
    <w:tmpl w:val="851637B2"/>
    <w:lvl w:ilvl="0" w:tplc="1C09000F">
      <w:start w:val="1"/>
      <w:numFmt w:val="decimal"/>
      <w:lvlText w:val="%1."/>
      <w:lvlJc w:val="left"/>
      <w:pPr>
        <w:ind w:left="720" w:hanging="360"/>
      </w:p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start w:val="1"/>
      <w:numFmt w:val="decimal"/>
      <w:lvlText w:val="%4."/>
      <w:lvlJc w:val="left"/>
      <w:pPr>
        <w:ind w:left="2880" w:hanging="360"/>
      </w:pPr>
    </w:lvl>
    <w:lvl w:ilvl="4" w:tplc="1C090019">
      <w:start w:val="1"/>
      <w:numFmt w:val="lowerLetter"/>
      <w:lvlText w:val="%5."/>
      <w:lvlJc w:val="left"/>
      <w:pPr>
        <w:ind w:left="3600" w:hanging="360"/>
      </w:pPr>
    </w:lvl>
    <w:lvl w:ilvl="5" w:tplc="1C09001B">
      <w:start w:val="1"/>
      <w:numFmt w:val="lowerRoman"/>
      <w:lvlText w:val="%6."/>
      <w:lvlJc w:val="right"/>
      <w:pPr>
        <w:ind w:left="4320" w:hanging="180"/>
      </w:pPr>
    </w:lvl>
    <w:lvl w:ilvl="6" w:tplc="1C09000F">
      <w:start w:val="1"/>
      <w:numFmt w:val="decimal"/>
      <w:lvlText w:val="%7."/>
      <w:lvlJc w:val="left"/>
      <w:pPr>
        <w:ind w:left="5040" w:hanging="360"/>
      </w:pPr>
    </w:lvl>
    <w:lvl w:ilvl="7" w:tplc="1C090019">
      <w:start w:val="1"/>
      <w:numFmt w:val="lowerLetter"/>
      <w:lvlText w:val="%8."/>
      <w:lvlJc w:val="left"/>
      <w:pPr>
        <w:ind w:left="5760" w:hanging="360"/>
      </w:pPr>
    </w:lvl>
    <w:lvl w:ilvl="8" w:tplc="1C09001B">
      <w:start w:val="1"/>
      <w:numFmt w:val="lowerRoman"/>
      <w:lvlText w:val="%9."/>
      <w:lvlJc w:val="right"/>
      <w:pPr>
        <w:ind w:left="6480" w:hanging="180"/>
      </w:pPr>
    </w:lvl>
  </w:abstractNum>
  <w:abstractNum w:abstractNumId="16" w15:restartNumberingAfterBreak="0">
    <w:nsid w:val="78ED7240"/>
    <w:multiLevelType w:val="hybridMultilevel"/>
    <w:tmpl w:val="BAF621DC"/>
    <w:lvl w:ilvl="0" w:tplc="1C090001">
      <w:start w:val="1"/>
      <w:numFmt w:val="bullet"/>
      <w:lvlText w:val=""/>
      <w:lvlJc w:val="left"/>
      <w:pPr>
        <w:ind w:left="765" w:hanging="360"/>
      </w:pPr>
      <w:rPr>
        <w:rFonts w:ascii="Symbol" w:hAnsi="Symbol" w:hint="default"/>
      </w:rPr>
    </w:lvl>
    <w:lvl w:ilvl="1" w:tplc="1C090003" w:tentative="1">
      <w:start w:val="1"/>
      <w:numFmt w:val="bullet"/>
      <w:lvlText w:val="o"/>
      <w:lvlJc w:val="left"/>
      <w:pPr>
        <w:ind w:left="1485" w:hanging="360"/>
      </w:pPr>
      <w:rPr>
        <w:rFonts w:ascii="Courier New" w:hAnsi="Courier New" w:cs="Courier New" w:hint="default"/>
      </w:rPr>
    </w:lvl>
    <w:lvl w:ilvl="2" w:tplc="1C090005" w:tentative="1">
      <w:start w:val="1"/>
      <w:numFmt w:val="bullet"/>
      <w:lvlText w:val=""/>
      <w:lvlJc w:val="left"/>
      <w:pPr>
        <w:ind w:left="2205" w:hanging="360"/>
      </w:pPr>
      <w:rPr>
        <w:rFonts w:ascii="Wingdings" w:hAnsi="Wingdings" w:hint="default"/>
      </w:rPr>
    </w:lvl>
    <w:lvl w:ilvl="3" w:tplc="1C090001" w:tentative="1">
      <w:start w:val="1"/>
      <w:numFmt w:val="bullet"/>
      <w:lvlText w:val=""/>
      <w:lvlJc w:val="left"/>
      <w:pPr>
        <w:ind w:left="2925" w:hanging="360"/>
      </w:pPr>
      <w:rPr>
        <w:rFonts w:ascii="Symbol" w:hAnsi="Symbol" w:hint="default"/>
      </w:rPr>
    </w:lvl>
    <w:lvl w:ilvl="4" w:tplc="1C090003" w:tentative="1">
      <w:start w:val="1"/>
      <w:numFmt w:val="bullet"/>
      <w:lvlText w:val="o"/>
      <w:lvlJc w:val="left"/>
      <w:pPr>
        <w:ind w:left="3645" w:hanging="360"/>
      </w:pPr>
      <w:rPr>
        <w:rFonts w:ascii="Courier New" w:hAnsi="Courier New" w:cs="Courier New" w:hint="default"/>
      </w:rPr>
    </w:lvl>
    <w:lvl w:ilvl="5" w:tplc="1C090005" w:tentative="1">
      <w:start w:val="1"/>
      <w:numFmt w:val="bullet"/>
      <w:lvlText w:val=""/>
      <w:lvlJc w:val="left"/>
      <w:pPr>
        <w:ind w:left="4365" w:hanging="360"/>
      </w:pPr>
      <w:rPr>
        <w:rFonts w:ascii="Wingdings" w:hAnsi="Wingdings" w:hint="default"/>
      </w:rPr>
    </w:lvl>
    <w:lvl w:ilvl="6" w:tplc="1C090001" w:tentative="1">
      <w:start w:val="1"/>
      <w:numFmt w:val="bullet"/>
      <w:lvlText w:val=""/>
      <w:lvlJc w:val="left"/>
      <w:pPr>
        <w:ind w:left="5085" w:hanging="360"/>
      </w:pPr>
      <w:rPr>
        <w:rFonts w:ascii="Symbol" w:hAnsi="Symbol" w:hint="default"/>
      </w:rPr>
    </w:lvl>
    <w:lvl w:ilvl="7" w:tplc="1C090003" w:tentative="1">
      <w:start w:val="1"/>
      <w:numFmt w:val="bullet"/>
      <w:lvlText w:val="o"/>
      <w:lvlJc w:val="left"/>
      <w:pPr>
        <w:ind w:left="5805" w:hanging="360"/>
      </w:pPr>
      <w:rPr>
        <w:rFonts w:ascii="Courier New" w:hAnsi="Courier New" w:cs="Courier New" w:hint="default"/>
      </w:rPr>
    </w:lvl>
    <w:lvl w:ilvl="8" w:tplc="1C090005" w:tentative="1">
      <w:start w:val="1"/>
      <w:numFmt w:val="bullet"/>
      <w:lvlText w:val=""/>
      <w:lvlJc w:val="left"/>
      <w:pPr>
        <w:ind w:left="6525" w:hanging="360"/>
      </w:pPr>
      <w:rPr>
        <w:rFonts w:ascii="Wingdings" w:hAnsi="Wingdings" w:hint="default"/>
      </w:rPr>
    </w:lvl>
  </w:abstractNum>
  <w:abstractNum w:abstractNumId="17" w15:restartNumberingAfterBreak="0">
    <w:nsid w:val="7F430028"/>
    <w:multiLevelType w:val="hybridMultilevel"/>
    <w:tmpl w:val="3EF46C76"/>
    <w:lvl w:ilvl="0" w:tplc="1C090001">
      <w:start w:val="1"/>
      <w:numFmt w:val="bullet"/>
      <w:lvlText w:val=""/>
      <w:lvlJc w:val="left"/>
      <w:pPr>
        <w:ind w:left="774" w:hanging="360"/>
      </w:pPr>
      <w:rPr>
        <w:rFonts w:ascii="Symbol" w:hAnsi="Symbol" w:hint="default"/>
      </w:rPr>
    </w:lvl>
    <w:lvl w:ilvl="1" w:tplc="1C090003">
      <w:start w:val="1"/>
      <w:numFmt w:val="bullet"/>
      <w:lvlText w:val="o"/>
      <w:lvlJc w:val="left"/>
      <w:pPr>
        <w:ind w:left="1494" w:hanging="360"/>
      </w:pPr>
      <w:rPr>
        <w:rFonts w:ascii="Courier New" w:hAnsi="Courier New" w:cs="Courier New" w:hint="default"/>
      </w:rPr>
    </w:lvl>
    <w:lvl w:ilvl="2" w:tplc="1C090005">
      <w:start w:val="1"/>
      <w:numFmt w:val="bullet"/>
      <w:lvlText w:val=""/>
      <w:lvlJc w:val="left"/>
      <w:pPr>
        <w:ind w:left="2214" w:hanging="360"/>
      </w:pPr>
      <w:rPr>
        <w:rFonts w:ascii="Wingdings" w:hAnsi="Wingdings" w:hint="default"/>
      </w:rPr>
    </w:lvl>
    <w:lvl w:ilvl="3" w:tplc="1C090001">
      <w:start w:val="1"/>
      <w:numFmt w:val="bullet"/>
      <w:lvlText w:val=""/>
      <w:lvlJc w:val="left"/>
      <w:pPr>
        <w:ind w:left="2934" w:hanging="360"/>
      </w:pPr>
      <w:rPr>
        <w:rFonts w:ascii="Symbol" w:hAnsi="Symbol" w:hint="default"/>
      </w:rPr>
    </w:lvl>
    <w:lvl w:ilvl="4" w:tplc="1C090003">
      <w:start w:val="1"/>
      <w:numFmt w:val="bullet"/>
      <w:lvlText w:val="o"/>
      <w:lvlJc w:val="left"/>
      <w:pPr>
        <w:ind w:left="3654" w:hanging="360"/>
      </w:pPr>
      <w:rPr>
        <w:rFonts w:ascii="Courier New" w:hAnsi="Courier New" w:cs="Courier New" w:hint="default"/>
      </w:rPr>
    </w:lvl>
    <w:lvl w:ilvl="5" w:tplc="1C090005">
      <w:start w:val="1"/>
      <w:numFmt w:val="bullet"/>
      <w:lvlText w:val=""/>
      <w:lvlJc w:val="left"/>
      <w:pPr>
        <w:ind w:left="4374" w:hanging="360"/>
      </w:pPr>
      <w:rPr>
        <w:rFonts w:ascii="Wingdings" w:hAnsi="Wingdings" w:hint="default"/>
      </w:rPr>
    </w:lvl>
    <w:lvl w:ilvl="6" w:tplc="1C090001">
      <w:start w:val="1"/>
      <w:numFmt w:val="bullet"/>
      <w:lvlText w:val=""/>
      <w:lvlJc w:val="left"/>
      <w:pPr>
        <w:ind w:left="5094" w:hanging="360"/>
      </w:pPr>
      <w:rPr>
        <w:rFonts w:ascii="Symbol" w:hAnsi="Symbol" w:hint="default"/>
      </w:rPr>
    </w:lvl>
    <w:lvl w:ilvl="7" w:tplc="1C090003">
      <w:start w:val="1"/>
      <w:numFmt w:val="bullet"/>
      <w:lvlText w:val="o"/>
      <w:lvlJc w:val="left"/>
      <w:pPr>
        <w:ind w:left="5814" w:hanging="360"/>
      </w:pPr>
      <w:rPr>
        <w:rFonts w:ascii="Courier New" w:hAnsi="Courier New" w:cs="Courier New" w:hint="default"/>
      </w:rPr>
    </w:lvl>
    <w:lvl w:ilvl="8" w:tplc="1C090005">
      <w:start w:val="1"/>
      <w:numFmt w:val="bullet"/>
      <w:lvlText w:val=""/>
      <w:lvlJc w:val="left"/>
      <w:pPr>
        <w:ind w:left="6534" w:hanging="360"/>
      </w:pPr>
      <w:rPr>
        <w:rFonts w:ascii="Wingdings" w:hAnsi="Wingdings" w:hint="default"/>
      </w:rPr>
    </w:lvl>
  </w:abstractNum>
  <w:num w:numId="1" w16cid:durableId="2074430461">
    <w:abstractNumId w:val="6"/>
  </w:num>
  <w:num w:numId="2" w16cid:durableId="1412314235">
    <w:abstractNumId w:val="16"/>
  </w:num>
  <w:num w:numId="3" w16cid:durableId="1951815316">
    <w:abstractNumId w:val="10"/>
  </w:num>
  <w:num w:numId="4" w16cid:durableId="858545430">
    <w:abstractNumId w:val="8"/>
  </w:num>
  <w:num w:numId="5" w16cid:durableId="672800380">
    <w:abstractNumId w:val="5"/>
  </w:num>
  <w:num w:numId="6" w16cid:durableId="1410736289">
    <w:abstractNumId w:val="5"/>
  </w:num>
  <w:num w:numId="7" w16cid:durableId="170197000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9834089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0665092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0304029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95035814">
    <w:abstractNumId w:val="13"/>
  </w:num>
  <w:num w:numId="12" w16cid:durableId="1173959022">
    <w:abstractNumId w:val="0"/>
  </w:num>
  <w:num w:numId="13" w16cid:durableId="42908669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95340224">
    <w:abstractNumId w:val="17"/>
  </w:num>
  <w:num w:numId="15" w16cid:durableId="914319204">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97269347">
    <w:abstractNumId w:val="7"/>
  </w:num>
  <w:num w:numId="17" w16cid:durableId="591933750">
    <w:abstractNumId w:val="11"/>
  </w:num>
  <w:num w:numId="18" w16cid:durableId="2040202676">
    <w:abstractNumId w:val="9"/>
  </w:num>
  <w:num w:numId="19" w16cid:durableId="73821200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5E98"/>
    <w:rsid w:val="00002202"/>
    <w:rsid w:val="000067B4"/>
    <w:rsid w:val="0001429C"/>
    <w:rsid w:val="000204EE"/>
    <w:rsid w:val="00023714"/>
    <w:rsid w:val="0002380C"/>
    <w:rsid w:val="00024547"/>
    <w:rsid w:val="00030281"/>
    <w:rsid w:val="000365E2"/>
    <w:rsid w:val="00043DF1"/>
    <w:rsid w:val="000473CF"/>
    <w:rsid w:val="00051753"/>
    <w:rsid w:val="00060633"/>
    <w:rsid w:val="00073A1D"/>
    <w:rsid w:val="00080D89"/>
    <w:rsid w:val="00097C9B"/>
    <w:rsid w:val="000A43CE"/>
    <w:rsid w:val="000D1F82"/>
    <w:rsid w:val="000E0FB9"/>
    <w:rsid w:val="000E36B4"/>
    <w:rsid w:val="000F4FD4"/>
    <w:rsid w:val="00112EB8"/>
    <w:rsid w:val="0011575E"/>
    <w:rsid w:val="001330CD"/>
    <w:rsid w:val="00140FD8"/>
    <w:rsid w:val="00142380"/>
    <w:rsid w:val="00175393"/>
    <w:rsid w:val="00192271"/>
    <w:rsid w:val="001A6FF6"/>
    <w:rsid w:val="001B162C"/>
    <w:rsid w:val="001D0625"/>
    <w:rsid w:val="00205D50"/>
    <w:rsid w:val="002122DB"/>
    <w:rsid w:val="002205C2"/>
    <w:rsid w:val="0022090D"/>
    <w:rsid w:val="002303FB"/>
    <w:rsid w:val="002512F9"/>
    <w:rsid w:val="002515C8"/>
    <w:rsid w:val="002626B0"/>
    <w:rsid w:val="002718E8"/>
    <w:rsid w:val="00271D86"/>
    <w:rsid w:val="00273E09"/>
    <w:rsid w:val="002755F9"/>
    <w:rsid w:val="00277592"/>
    <w:rsid w:val="00284B84"/>
    <w:rsid w:val="00295E1A"/>
    <w:rsid w:val="002B508B"/>
    <w:rsid w:val="002C4DAD"/>
    <w:rsid w:val="002D6F73"/>
    <w:rsid w:val="002E38D2"/>
    <w:rsid w:val="002E7690"/>
    <w:rsid w:val="002E7C9D"/>
    <w:rsid w:val="00301425"/>
    <w:rsid w:val="00303CBE"/>
    <w:rsid w:val="00303F18"/>
    <w:rsid w:val="003055C3"/>
    <w:rsid w:val="00306486"/>
    <w:rsid w:val="00321814"/>
    <w:rsid w:val="00334536"/>
    <w:rsid w:val="003428B3"/>
    <w:rsid w:val="0034634E"/>
    <w:rsid w:val="00350496"/>
    <w:rsid w:val="00350A8F"/>
    <w:rsid w:val="00362CE1"/>
    <w:rsid w:val="0036541B"/>
    <w:rsid w:val="00366D6D"/>
    <w:rsid w:val="00374CC0"/>
    <w:rsid w:val="003A1338"/>
    <w:rsid w:val="003A49F5"/>
    <w:rsid w:val="003B6643"/>
    <w:rsid w:val="003E53B8"/>
    <w:rsid w:val="003F2E57"/>
    <w:rsid w:val="003F3083"/>
    <w:rsid w:val="003F6AEA"/>
    <w:rsid w:val="00427781"/>
    <w:rsid w:val="00441A6C"/>
    <w:rsid w:val="004434F1"/>
    <w:rsid w:val="00453E0E"/>
    <w:rsid w:val="00462078"/>
    <w:rsid w:val="00471523"/>
    <w:rsid w:val="00477C25"/>
    <w:rsid w:val="00482AFC"/>
    <w:rsid w:val="00486AD9"/>
    <w:rsid w:val="004A2F8D"/>
    <w:rsid w:val="004A5053"/>
    <w:rsid w:val="004C5E98"/>
    <w:rsid w:val="004D50A7"/>
    <w:rsid w:val="004E1F44"/>
    <w:rsid w:val="004E60EA"/>
    <w:rsid w:val="005009B4"/>
    <w:rsid w:val="005031F9"/>
    <w:rsid w:val="005059D6"/>
    <w:rsid w:val="00512138"/>
    <w:rsid w:val="00516616"/>
    <w:rsid w:val="0052451C"/>
    <w:rsid w:val="00532EDD"/>
    <w:rsid w:val="00536B0F"/>
    <w:rsid w:val="00553AEC"/>
    <w:rsid w:val="005B357D"/>
    <w:rsid w:val="005C13A0"/>
    <w:rsid w:val="005D01B8"/>
    <w:rsid w:val="005E3017"/>
    <w:rsid w:val="005F54CF"/>
    <w:rsid w:val="00610129"/>
    <w:rsid w:val="00615DF7"/>
    <w:rsid w:val="00622611"/>
    <w:rsid w:val="0062779E"/>
    <w:rsid w:val="006448C8"/>
    <w:rsid w:val="00644C9B"/>
    <w:rsid w:val="00650FA8"/>
    <w:rsid w:val="0066102B"/>
    <w:rsid w:val="006661CE"/>
    <w:rsid w:val="006711B6"/>
    <w:rsid w:val="00690E9E"/>
    <w:rsid w:val="006A2FEC"/>
    <w:rsid w:val="006C4B15"/>
    <w:rsid w:val="006C6072"/>
    <w:rsid w:val="006D51E3"/>
    <w:rsid w:val="006E2A2D"/>
    <w:rsid w:val="006E382B"/>
    <w:rsid w:val="00712ED5"/>
    <w:rsid w:val="00724288"/>
    <w:rsid w:val="0073575D"/>
    <w:rsid w:val="00740805"/>
    <w:rsid w:val="007434FC"/>
    <w:rsid w:val="00750E83"/>
    <w:rsid w:val="00754C54"/>
    <w:rsid w:val="007566EC"/>
    <w:rsid w:val="0076283C"/>
    <w:rsid w:val="00764680"/>
    <w:rsid w:val="00770E50"/>
    <w:rsid w:val="00794C84"/>
    <w:rsid w:val="007953C3"/>
    <w:rsid w:val="007A04D9"/>
    <w:rsid w:val="007C12C6"/>
    <w:rsid w:val="007D3C65"/>
    <w:rsid w:val="007D717C"/>
    <w:rsid w:val="00800592"/>
    <w:rsid w:val="00815272"/>
    <w:rsid w:val="00841DB7"/>
    <w:rsid w:val="00863E3E"/>
    <w:rsid w:val="0086462E"/>
    <w:rsid w:val="00884454"/>
    <w:rsid w:val="0088788B"/>
    <w:rsid w:val="00896C2C"/>
    <w:rsid w:val="0089786A"/>
    <w:rsid w:val="00897E20"/>
    <w:rsid w:val="008A03EC"/>
    <w:rsid w:val="008B7F76"/>
    <w:rsid w:val="008D1A7B"/>
    <w:rsid w:val="008D20DE"/>
    <w:rsid w:val="008E18A7"/>
    <w:rsid w:val="008E1A7B"/>
    <w:rsid w:val="008F2904"/>
    <w:rsid w:val="009165C3"/>
    <w:rsid w:val="00926B9F"/>
    <w:rsid w:val="00931AED"/>
    <w:rsid w:val="00943453"/>
    <w:rsid w:val="00943D5F"/>
    <w:rsid w:val="00951C06"/>
    <w:rsid w:val="00970995"/>
    <w:rsid w:val="009736B0"/>
    <w:rsid w:val="00982AC2"/>
    <w:rsid w:val="00987B9D"/>
    <w:rsid w:val="00990E88"/>
    <w:rsid w:val="009B5181"/>
    <w:rsid w:val="009B71D1"/>
    <w:rsid w:val="009C30BD"/>
    <w:rsid w:val="009E384E"/>
    <w:rsid w:val="009E7DBD"/>
    <w:rsid w:val="00A0492D"/>
    <w:rsid w:val="00A10A75"/>
    <w:rsid w:val="00A10CA0"/>
    <w:rsid w:val="00A21A42"/>
    <w:rsid w:val="00A24707"/>
    <w:rsid w:val="00A25D2A"/>
    <w:rsid w:val="00A50959"/>
    <w:rsid w:val="00A529E2"/>
    <w:rsid w:val="00A725DE"/>
    <w:rsid w:val="00A74872"/>
    <w:rsid w:val="00A75CED"/>
    <w:rsid w:val="00A92211"/>
    <w:rsid w:val="00A96C3E"/>
    <w:rsid w:val="00AA43BE"/>
    <w:rsid w:val="00AB13AB"/>
    <w:rsid w:val="00AC1310"/>
    <w:rsid w:val="00AC3D26"/>
    <w:rsid w:val="00AC6BB4"/>
    <w:rsid w:val="00AC6F96"/>
    <w:rsid w:val="00AF471A"/>
    <w:rsid w:val="00B213EE"/>
    <w:rsid w:val="00B412F4"/>
    <w:rsid w:val="00B45BFA"/>
    <w:rsid w:val="00B6148E"/>
    <w:rsid w:val="00B82192"/>
    <w:rsid w:val="00B85FD1"/>
    <w:rsid w:val="00B96E3C"/>
    <w:rsid w:val="00BB6A1D"/>
    <w:rsid w:val="00BD1606"/>
    <w:rsid w:val="00BD33B7"/>
    <w:rsid w:val="00BD4DEB"/>
    <w:rsid w:val="00BD51DA"/>
    <w:rsid w:val="00BE5274"/>
    <w:rsid w:val="00C11698"/>
    <w:rsid w:val="00C12B7F"/>
    <w:rsid w:val="00C21417"/>
    <w:rsid w:val="00C22B62"/>
    <w:rsid w:val="00C40C54"/>
    <w:rsid w:val="00C43499"/>
    <w:rsid w:val="00C505F5"/>
    <w:rsid w:val="00C7423B"/>
    <w:rsid w:val="00C9239B"/>
    <w:rsid w:val="00C94381"/>
    <w:rsid w:val="00CA326D"/>
    <w:rsid w:val="00CC4B5D"/>
    <w:rsid w:val="00CC634F"/>
    <w:rsid w:val="00CD225D"/>
    <w:rsid w:val="00CD2F0E"/>
    <w:rsid w:val="00CD50B1"/>
    <w:rsid w:val="00CD7A7A"/>
    <w:rsid w:val="00CF4831"/>
    <w:rsid w:val="00D01317"/>
    <w:rsid w:val="00D032A3"/>
    <w:rsid w:val="00D05AF4"/>
    <w:rsid w:val="00D1713D"/>
    <w:rsid w:val="00D31AAA"/>
    <w:rsid w:val="00D56BE8"/>
    <w:rsid w:val="00D57586"/>
    <w:rsid w:val="00D72368"/>
    <w:rsid w:val="00D8033F"/>
    <w:rsid w:val="00D80FD9"/>
    <w:rsid w:val="00D84E8D"/>
    <w:rsid w:val="00D9498B"/>
    <w:rsid w:val="00D97466"/>
    <w:rsid w:val="00DA4E11"/>
    <w:rsid w:val="00DD30DB"/>
    <w:rsid w:val="00DD486E"/>
    <w:rsid w:val="00DD4AAC"/>
    <w:rsid w:val="00DE181E"/>
    <w:rsid w:val="00DF55BE"/>
    <w:rsid w:val="00DF772D"/>
    <w:rsid w:val="00E0151D"/>
    <w:rsid w:val="00E16FCB"/>
    <w:rsid w:val="00E207B4"/>
    <w:rsid w:val="00E3166D"/>
    <w:rsid w:val="00E33898"/>
    <w:rsid w:val="00E43989"/>
    <w:rsid w:val="00E4780B"/>
    <w:rsid w:val="00E7120A"/>
    <w:rsid w:val="00E74A5A"/>
    <w:rsid w:val="00E87EEE"/>
    <w:rsid w:val="00E920BB"/>
    <w:rsid w:val="00EC03C8"/>
    <w:rsid w:val="00EC1047"/>
    <w:rsid w:val="00ED1BAE"/>
    <w:rsid w:val="00EE7348"/>
    <w:rsid w:val="00EF40FD"/>
    <w:rsid w:val="00EF45D7"/>
    <w:rsid w:val="00EF7C9D"/>
    <w:rsid w:val="00F06CBE"/>
    <w:rsid w:val="00F15A5D"/>
    <w:rsid w:val="00F223B3"/>
    <w:rsid w:val="00F36C24"/>
    <w:rsid w:val="00F36F9F"/>
    <w:rsid w:val="00F47D1E"/>
    <w:rsid w:val="00F51522"/>
    <w:rsid w:val="00F61684"/>
    <w:rsid w:val="00F6313C"/>
    <w:rsid w:val="00F72F9E"/>
    <w:rsid w:val="00F8764F"/>
    <w:rsid w:val="00FA141B"/>
    <w:rsid w:val="00FE3B67"/>
    <w:rsid w:val="00FF143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090803"/>
  <w15:docId w15:val="{B559FA40-DDA0-438D-953C-46793099A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C5E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1"/>
    <w:qFormat/>
    <w:rsid w:val="00943D5F"/>
    <w:pPr>
      <w:ind w:left="720"/>
      <w:contextualSpacing/>
    </w:pPr>
  </w:style>
  <w:style w:type="paragraph" w:styleId="BalloonText">
    <w:name w:val="Balloon Text"/>
    <w:basedOn w:val="Normal"/>
    <w:link w:val="BalloonTextChar"/>
    <w:uiPriority w:val="99"/>
    <w:semiHidden/>
    <w:unhideWhenUsed/>
    <w:rsid w:val="00754C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4C54"/>
    <w:rPr>
      <w:rFonts w:ascii="Tahoma" w:hAnsi="Tahoma" w:cs="Tahoma"/>
      <w:sz w:val="16"/>
      <w:szCs w:val="16"/>
    </w:rPr>
  </w:style>
  <w:style w:type="paragraph" w:customStyle="1" w:styleId="Default">
    <w:name w:val="Default"/>
    <w:rsid w:val="009B71D1"/>
    <w:pPr>
      <w:autoSpaceDE w:val="0"/>
      <w:autoSpaceDN w:val="0"/>
      <w:adjustRightInd w:val="0"/>
      <w:spacing w:after="0" w:line="240" w:lineRule="auto"/>
    </w:pPr>
    <w:rPr>
      <w:rFonts w:ascii="Arial" w:hAnsi="Arial" w:cs="Arial"/>
      <w:color w:val="000000"/>
      <w:sz w:val="24"/>
      <w:szCs w:val="24"/>
    </w:rPr>
  </w:style>
  <w:style w:type="character" w:styleId="CommentReference">
    <w:name w:val="annotation reference"/>
    <w:basedOn w:val="DefaultParagraphFont"/>
    <w:uiPriority w:val="99"/>
    <w:semiHidden/>
    <w:unhideWhenUsed/>
    <w:rsid w:val="00AC3D26"/>
    <w:rPr>
      <w:sz w:val="16"/>
      <w:szCs w:val="16"/>
    </w:rPr>
  </w:style>
  <w:style w:type="paragraph" w:styleId="CommentText">
    <w:name w:val="annotation text"/>
    <w:basedOn w:val="Normal"/>
    <w:link w:val="CommentTextChar"/>
    <w:uiPriority w:val="99"/>
    <w:semiHidden/>
    <w:unhideWhenUsed/>
    <w:rsid w:val="00AC3D26"/>
    <w:pPr>
      <w:spacing w:line="240" w:lineRule="auto"/>
    </w:pPr>
    <w:rPr>
      <w:sz w:val="20"/>
      <w:szCs w:val="20"/>
    </w:rPr>
  </w:style>
  <w:style w:type="character" w:customStyle="1" w:styleId="CommentTextChar">
    <w:name w:val="Comment Text Char"/>
    <w:basedOn w:val="DefaultParagraphFont"/>
    <w:link w:val="CommentText"/>
    <w:uiPriority w:val="99"/>
    <w:semiHidden/>
    <w:rsid w:val="00AC3D26"/>
    <w:rPr>
      <w:sz w:val="20"/>
      <w:szCs w:val="20"/>
    </w:rPr>
  </w:style>
  <w:style w:type="paragraph" w:styleId="CommentSubject">
    <w:name w:val="annotation subject"/>
    <w:basedOn w:val="CommentText"/>
    <w:next w:val="CommentText"/>
    <w:link w:val="CommentSubjectChar"/>
    <w:uiPriority w:val="99"/>
    <w:semiHidden/>
    <w:unhideWhenUsed/>
    <w:rsid w:val="00AC3D26"/>
    <w:rPr>
      <w:b/>
      <w:bCs/>
    </w:rPr>
  </w:style>
  <w:style w:type="character" w:customStyle="1" w:styleId="CommentSubjectChar">
    <w:name w:val="Comment Subject Char"/>
    <w:basedOn w:val="CommentTextChar"/>
    <w:link w:val="CommentSubject"/>
    <w:uiPriority w:val="99"/>
    <w:semiHidden/>
    <w:rsid w:val="00AC3D26"/>
    <w:rPr>
      <w:b/>
      <w:bCs/>
      <w:sz w:val="20"/>
      <w:szCs w:val="20"/>
    </w:rPr>
  </w:style>
  <w:style w:type="character" w:styleId="Hyperlink">
    <w:name w:val="Hyperlink"/>
    <w:basedOn w:val="DefaultParagraphFont"/>
    <w:uiPriority w:val="99"/>
    <w:unhideWhenUsed/>
    <w:rsid w:val="0088788B"/>
    <w:rPr>
      <w:color w:val="0563C1"/>
      <w:u w:val="single"/>
    </w:rPr>
  </w:style>
  <w:style w:type="character" w:styleId="UnresolvedMention">
    <w:name w:val="Unresolved Mention"/>
    <w:basedOn w:val="DefaultParagraphFont"/>
    <w:uiPriority w:val="99"/>
    <w:semiHidden/>
    <w:unhideWhenUsed/>
    <w:rsid w:val="00D31AAA"/>
    <w:rPr>
      <w:color w:val="605E5C"/>
      <w:shd w:val="clear" w:color="auto" w:fill="E1DFDD"/>
    </w:rPr>
  </w:style>
  <w:style w:type="character" w:styleId="FollowedHyperlink">
    <w:name w:val="FollowedHyperlink"/>
    <w:basedOn w:val="DefaultParagraphFont"/>
    <w:uiPriority w:val="99"/>
    <w:semiHidden/>
    <w:unhideWhenUsed/>
    <w:rsid w:val="00926B9F"/>
    <w:rPr>
      <w:color w:val="800080" w:themeColor="followedHyperlink"/>
      <w:u w:val="single"/>
    </w:rPr>
  </w:style>
  <w:style w:type="character" w:customStyle="1" w:styleId="ListParagraphChar">
    <w:name w:val="List Paragraph Char"/>
    <w:basedOn w:val="DefaultParagraphFont"/>
    <w:link w:val="ListParagraph"/>
    <w:uiPriority w:val="1"/>
    <w:locked/>
    <w:rsid w:val="008E1A7B"/>
  </w:style>
  <w:style w:type="character" w:customStyle="1" w:styleId="ui-provider">
    <w:name w:val="ui-provider"/>
    <w:basedOn w:val="DefaultParagraphFont"/>
    <w:rsid w:val="00AC13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799409">
      <w:bodyDiv w:val="1"/>
      <w:marLeft w:val="0"/>
      <w:marRight w:val="0"/>
      <w:marTop w:val="0"/>
      <w:marBottom w:val="0"/>
      <w:divBdr>
        <w:top w:val="none" w:sz="0" w:space="0" w:color="auto"/>
        <w:left w:val="none" w:sz="0" w:space="0" w:color="auto"/>
        <w:bottom w:val="none" w:sz="0" w:space="0" w:color="auto"/>
        <w:right w:val="none" w:sz="0" w:space="0" w:color="auto"/>
      </w:divBdr>
    </w:div>
    <w:div w:id="48110760">
      <w:bodyDiv w:val="1"/>
      <w:marLeft w:val="0"/>
      <w:marRight w:val="0"/>
      <w:marTop w:val="0"/>
      <w:marBottom w:val="0"/>
      <w:divBdr>
        <w:top w:val="none" w:sz="0" w:space="0" w:color="auto"/>
        <w:left w:val="none" w:sz="0" w:space="0" w:color="auto"/>
        <w:bottom w:val="none" w:sz="0" w:space="0" w:color="auto"/>
        <w:right w:val="none" w:sz="0" w:space="0" w:color="auto"/>
      </w:divBdr>
    </w:div>
    <w:div w:id="93988187">
      <w:bodyDiv w:val="1"/>
      <w:marLeft w:val="0"/>
      <w:marRight w:val="0"/>
      <w:marTop w:val="0"/>
      <w:marBottom w:val="0"/>
      <w:divBdr>
        <w:top w:val="none" w:sz="0" w:space="0" w:color="auto"/>
        <w:left w:val="none" w:sz="0" w:space="0" w:color="auto"/>
        <w:bottom w:val="none" w:sz="0" w:space="0" w:color="auto"/>
        <w:right w:val="none" w:sz="0" w:space="0" w:color="auto"/>
      </w:divBdr>
    </w:div>
    <w:div w:id="175115158">
      <w:bodyDiv w:val="1"/>
      <w:marLeft w:val="0"/>
      <w:marRight w:val="0"/>
      <w:marTop w:val="0"/>
      <w:marBottom w:val="0"/>
      <w:divBdr>
        <w:top w:val="none" w:sz="0" w:space="0" w:color="auto"/>
        <w:left w:val="none" w:sz="0" w:space="0" w:color="auto"/>
        <w:bottom w:val="none" w:sz="0" w:space="0" w:color="auto"/>
        <w:right w:val="none" w:sz="0" w:space="0" w:color="auto"/>
      </w:divBdr>
    </w:div>
    <w:div w:id="232740876">
      <w:bodyDiv w:val="1"/>
      <w:marLeft w:val="0"/>
      <w:marRight w:val="0"/>
      <w:marTop w:val="0"/>
      <w:marBottom w:val="0"/>
      <w:divBdr>
        <w:top w:val="none" w:sz="0" w:space="0" w:color="auto"/>
        <w:left w:val="none" w:sz="0" w:space="0" w:color="auto"/>
        <w:bottom w:val="none" w:sz="0" w:space="0" w:color="auto"/>
        <w:right w:val="none" w:sz="0" w:space="0" w:color="auto"/>
      </w:divBdr>
    </w:div>
    <w:div w:id="241767622">
      <w:bodyDiv w:val="1"/>
      <w:marLeft w:val="0"/>
      <w:marRight w:val="0"/>
      <w:marTop w:val="0"/>
      <w:marBottom w:val="0"/>
      <w:divBdr>
        <w:top w:val="none" w:sz="0" w:space="0" w:color="auto"/>
        <w:left w:val="none" w:sz="0" w:space="0" w:color="auto"/>
        <w:bottom w:val="none" w:sz="0" w:space="0" w:color="auto"/>
        <w:right w:val="none" w:sz="0" w:space="0" w:color="auto"/>
      </w:divBdr>
    </w:div>
    <w:div w:id="391738585">
      <w:bodyDiv w:val="1"/>
      <w:marLeft w:val="0"/>
      <w:marRight w:val="0"/>
      <w:marTop w:val="0"/>
      <w:marBottom w:val="0"/>
      <w:divBdr>
        <w:top w:val="none" w:sz="0" w:space="0" w:color="auto"/>
        <w:left w:val="none" w:sz="0" w:space="0" w:color="auto"/>
        <w:bottom w:val="none" w:sz="0" w:space="0" w:color="auto"/>
        <w:right w:val="none" w:sz="0" w:space="0" w:color="auto"/>
      </w:divBdr>
    </w:div>
    <w:div w:id="396050809">
      <w:bodyDiv w:val="1"/>
      <w:marLeft w:val="0"/>
      <w:marRight w:val="0"/>
      <w:marTop w:val="0"/>
      <w:marBottom w:val="0"/>
      <w:divBdr>
        <w:top w:val="none" w:sz="0" w:space="0" w:color="auto"/>
        <w:left w:val="none" w:sz="0" w:space="0" w:color="auto"/>
        <w:bottom w:val="none" w:sz="0" w:space="0" w:color="auto"/>
        <w:right w:val="none" w:sz="0" w:space="0" w:color="auto"/>
      </w:divBdr>
    </w:div>
    <w:div w:id="524831577">
      <w:bodyDiv w:val="1"/>
      <w:marLeft w:val="0"/>
      <w:marRight w:val="0"/>
      <w:marTop w:val="0"/>
      <w:marBottom w:val="0"/>
      <w:divBdr>
        <w:top w:val="none" w:sz="0" w:space="0" w:color="auto"/>
        <w:left w:val="none" w:sz="0" w:space="0" w:color="auto"/>
        <w:bottom w:val="none" w:sz="0" w:space="0" w:color="auto"/>
        <w:right w:val="none" w:sz="0" w:space="0" w:color="auto"/>
      </w:divBdr>
    </w:div>
    <w:div w:id="665977076">
      <w:bodyDiv w:val="1"/>
      <w:marLeft w:val="0"/>
      <w:marRight w:val="0"/>
      <w:marTop w:val="0"/>
      <w:marBottom w:val="0"/>
      <w:divBdr>
        <w:top w:val="none" w:sz="0" w:space="0" w:color="auto"/>
        <w:left w:val="none" w:sz="0" w:space="0" w:color="auto"/>
        <w:bottom w:val="none" w:sz="0" w:space="0" w:color="auto"/>
        <w:right w:val="none" w:sz="0" w:space="0" w:color="auto"/>
      </w:divBdr>
    </w:div>
    <w:div w:id="690106219">
      <w:bodyDiv w:val="1"/>
      <w:marLeft w:val="0"/>
      <w:marRight w:val="0"/>
      <w:marTop w:val="0"/>
      <w:marBottom w:val="0"/>
      <w:divBdr>
        <w:top w:val="none" w:sz="0" w:space="0" w:color="auto"/>
        <w:left w:val="none" w:sz="0" w:space="0" w:color="auto"/>
        <w:bottom w:val="none" w:sz="0" w:space="0" w:color="auto"/>
        <w:right w:val="none" w:sz="0" w:space="0" w:color="auto"/>
      </w:divBdr>
    </w:div>
    <w:div w:id="699286905">
      <w:bodyDiv w:val="1"/>
      <w:marLeft w:val="0"/>
      <w:marRight w:val="0"/>
      <w:marTop w:val="0"/>
      <w:marBottom w:val="0"/>
      <w:divBdr>
        <w:top w:val="none" w:sz="0" w:space="0" w:color="auto"/>
        <w:left w:val="none" w:sz="0" w:space="0" w:color="auto"/>
        <w:bottom w:val="none" w:sz="0" w:space="0" w:color="auto"/>
        <w:right w:val="none" w:sz="0" w:space="0" w:color="auto"/>
      </w:divBdr>
    </w:div>
    <w:div w:id="847140612">
      <w:bodyDiv w:val="1"/>
      <w:marLeft w:val="0"/>
      <w:marRight w:val="0"/>
      <w:marTop w:val="0"/>
      <w:marBottom w:val="0"/>
      <w:divBdr>
        <w:top w:val="none" w:sz="0" w:space="0" w:color="auto"/>
        <w:left w:val="none" w:sz="0" w:space="0" w:color="auto"/>
        <w:bottom w:val="none" w:sz="0" w:space="0" w:color="auto"/>
        <w:right w:val="none" w:sz="0" w:space="0" w:color="auto"/>
      </w:divBdr>
    </w:div>
    <w:div w:id="876626491">
      <w:bodyDiv w:val="1"/>
      <w:marLeft w:val="0"/>
      <w:marRight w:val="0"/>
      <w:marTop w:val="0"/>
      <w:marBottom w:val="0"/>
      <w:divBdr>
        <w:top w:val="none" w:sz="0" w:space="0" w:color="auto"/>
        <w:left w:val="none" w:sz="0" w:space="0" w:color="auto"/>
        <w:bottom w:val="none" w:sz="0" w:space="0" w:color="auto"/>
        <w:right w:val="none" w:sz="0" w:space="0" w:color="auto"/>
      </w:divBdr>
    </w:div>
    <w:div w:id="953438845">
      <w:bodyDiv w:val="1"/>
      <w:marLeft w:val="0"/>
      <w:marRight w:val="0"/>
      <w:marTop w:val="0"/>
      <w:marBottom w:val="0"/>
      <w:divBdr>
        <w:top w:val="none" w:sz="0" w:space="0" w:color="auto"/>
        <w:left w:val="none" w:sz="0" w:space="0" w:color="auto"/>
        <w:bottom w:val="none" w:sz="0" w:space="0" w:color="auto"/>
        <w:right w:val="none" w:sz="0" w:space="0" w:color="auto"/>
      </w:divBdr>
    </w:div>
    <w:div w:id="990477408">
      <w:bodyDiv w:val="1"/>
      <w:marLeft w:val="0"/>
      <w:marRight w:val="0"/>
      <w:marTop w:val="0"/>
      <w:marBottom w:val="0"/>
      <w:divBdr>
        <w:top w:val="none" w:sz="0" w:space="0" w:color="auto"/>
        <w:left w:val="none" w:sz="0" w:space="0" w:color="auto"/>
        <w:bottom w:val="none" w:sz="0" w:space="0" w:color="auto"/>
        <w:right w:val="none" w:sz="0" w:space="0" w:color="auto"/>
      </w:divBdr>
    </w:div>
    <w:div w:id="1005210588">
      <w:bodyDiv w:val="1"/>
      <w:marLeft w:val="0"/>
      <w:marRight w:val="0"/>
      <w:marTop w:val="0"/>
      <w:marBottom w:val="0"/>
      <w:divBdr>
        <w:top w:val="none" w:sz="0" w:space="0" w:color="auto"/>
        <w:left w:val="none" w:sz="0" w:space="0" w:color="auto"/>
        <w:bottom w:val="none" w:sz="0" w:space="0" w:color="auto"/>
        <w:right w:val="none" w:sz="0" w:space="0" w:color="auto"/>
      </w:divBdr>
    </w:div>
    <w:div w:id="1074208736">
      <w:bodyDiv w:val="1"/>
      <w:marLeft w:val="0"/>
      <w:marRight w:val="0"/>
      <w:marTop w:val="0"/>
      <w:marBottom w:val="0"/>
      <w:divBdr>
        <w:top w:val="none" w:sz="0" w:space="0" w:color="auto"/>
        <w:left w:val="none" w:sz="0" w:space="0" w:color="auto"/>
        <w:bottom w:val="none" w:sz="0" w:space="0" w:color="auto"/>
        <w:right w:val="none" w:sz="0" w:space="0" w:color="auto"/>
      </w:divBdr>
    </w:div>
    <w:div w:id="1076321855">
      <w:bodyDiv w:val="1"/>
      <w:marLeft w:val="0"/>
      <w:marRight w:val="0"/>
      <w:marTop w:val="0"/>
      <w:marBottom w:val="0"/>
      <w:divBdr>
        <w:top w:val="none" w:sz="0" w:space="0" w:color="auto"/>
        <w:left w:val="none" w:sz="0" w:space="0" w:color="auto"/>
        <w:bottom w:val="none" w:sz="0" w:space="0" w:color="auto"/>
        <w:right w:val="none" w:sz="0" w:space="0" w:color="auto"/>
      </w:divBdr>
    </w:div>
    <w:div w:id="1119180179">
      <w:bodyDiv w:val="1"/>
      <w:marLeft w:val="0"/>
      <w:marRight w:val="0"/>
      <w:marTop w:val="0"/>
      <w:marBottom w:val="0"/>
      <w:divBdr>
        <w:top w:val="none" w:sz="0" w:space="0" w:color="auto"/>
        <w:left w:val="none" w:sz="0" w:space="0" w:color="auto"/>
        <w:bottom w:val="none" w:sz="0" w:space="0" w:color="auto"/>
        <w:right w:val="none" w:sz="0" w:space="0" w:color="auto"/>
      </w:divBdr>
    </w:div>
    <w:div w:id="1198467551">
      <w:bodyDiv w:val="1"/>
      <w:marLeft w:val="0"/>
      <w:marRight w:val="0"/>
      <w:marTop w:val="0"/>
      <w:marBottom w:val="0"/>
      <w:divBdr>
        <w:top w:val="none" w:sz="0" w:space="0" w:color="auto"/>
        <w:left w:val="none" w:sz="0" w:space="0" w:color="auto"/>
        <w:bottom w:val="none" w:sz="0" w:space="0" w:color="auto"/>
        <w:right w:val="none" w:sz="0" w:space="0" w:color="auto"/>
      </w:divBdr>
    </w:div>
    <w:div w:id="1278609957">
      <w:bodyDiv w:val="1"/>
      <w:marLeft w:val="0"/>
      <w:marRight w:val="0"/>
      <w:marTop w:val="0"/>
      <w:marBottom w:val="0"/>
      <w:divBdr>
        <w:top w:val="none" w:sz="0" w:space="0" w:color="auto"/>
        <w:left w:val="none" w:sz="0" w:space="0" w:color="auto"/>
        <w:bottom w:val="none" w:sz="0" w:space="0" w:color="auto"/>
        <w:right w:val="none" w:sz="0" w:space="0" w:color="auto"/>
      </w:divBdr>
    </w:div>
    <w:div w:id="1409155933">
      <w:bodyDiv w:val="1"/>
      <w:marLeft w:val="0"/>
      <w:marRight w:val="0"/>
      <w:marTop w:val="0"/>
      <w:marBottom w:val="0"/>
      <w:divBdr>
        <w:top w:val="none" w:sz="0" w:space="0" w:color="auto"/>
        <w:left w:val="none" w:sz="0" w:space="0" w:color="auto"/>
        <w:bottom w:val="none" w:sz="0" w:space="0" w:color="auto"/>
        <w:right w:val="none" w:sz="0" w:space="0" w:color="auto"/>
      </w:divBdr>
    </w:div>
    <w:div w:id="1489904027">
      <w:bodyDiv w:val="1"/>
      <w:marLeft w:val="0"/>
      <w:marRight w:val="0"/>
      <w:marTop w:val="0"/>
      <w:marBottom w:val="0"/>
      <w:divBdr>
        <w:top w:val="none" w:sz="0" w:space="0" w:color="auto"/>
        <w:left w:val="none" w:sz="0" w:space="0" w:color="auto"/>
        <w:bottom w:val="none" w:sz="0" w:space="0" w:color="auto"/>
        <w:right w:val="none" w:sz="0" w:space="0" w:color="auto"/>
      </w:divBdr>
    </w:div>
    <w:div w:id="1551376440">
      <w:bodyDiv w:val="1"/>
      <w:marLeft w:val="0"/>
      <w:marRight w:val="0"/>
      <w:marTop w:val="0"/>
      <w:marBottom w:val="0"/>
      <w:divBdr>
        <w:top w:val="none" w:sz="0" w:space="0" w:color="auto"/>
        <w:left w:val="none" w:sz="0" w:space="0" w:color="auto"/>
        <w:bottom w:val="none" w:sz="0" w:space="0" w:color="auto"/>
        <w:right w:val="none" w:sz="0" w:space="0" w:color="auto"/>
      </w:divBdr>
    </w:div>
    <w:div w:id="1570651595">
      <w:bodyDiv w:val="1"/>
      <w:marLeft w:val="0"/>
      <w:marRight w:val="0"/>
      <w:marTop w:val="0"/>
      <w:marBottom w:val="0"/>
      <w:divBdr>
        <w:top w:val="none" w:sz="0" w:space="0" w:color="auto"/>
        <w:left w:val="none" w:sz="0" w:space="0" w:color="auto"/>
        <w:bottom w:val="none" w:sz="0" w:space="0" w:color="auto"/>
        <w:right w:val="none" w:sz="0" w:space="0" w:color="auto"/>
      </w:divBdr>
    </w:div>
    <w:div w:id="1590701811">
      <w:bodyDiv w:val="1"/>
      <w:marLeft w:val="0"/>
      <w:marRight w:val="0"/>
      <w:marTop w:val="0"/>
      <w:marBottom w:val="0"/>
      <w:divBdr>
        <w:top w:val="none" w:sz="0" w:space="0" w:color="auto"/>
        <w:left w:val="none" w:sz="0" w:space="0" w:color="auto"/>
        <w:bottom w:val="none" w:sz="0" w:space="0" w:color="auto"/>
        <w:right w:val="none" w:sz="0" w:space="0" w:color="auto"/>
      </w:divBdr>
    </w:div>
    <w:div w:id="1617713926">
      <w:bodyDiv w:val="1"/>
      <w:marLeft w:val="0"/>
      <w:marRight w:val="0"/>
      <w:marTop w:val="0"/>
      <w:marBottom w:val="0"/>
      <w:divBdr>
        <w:top w:val="none" w:sz="0" w:space="0" w:color="auto"/>
        <w:left w:val="none" w:sz="0" w:space="0" w:color="auto"/>
        <w:bottom w:val="none" w:sz="0" w:space="0" w:color="auto"/>
        <w:right w:val="none" w:sz="0" w:space="0" w:color="auto"/>
      </w:divBdr>
    </w:div>
    <w:div w:id="1625193539">
      <w:bodyDiv w:val="1"/>
      <w:marLeft w:val="0"/>
      <w:marRight w:val="0"/>
      <w:marTop w:val="0"/>
      <w:marBottom w:val="0"/>
      <w:divBdr>
        <w:top w:val="none" w:sz="0" w:space="0" w:color="auto"/>
        <w:left w:val="none" w:sz="0" w:space="0" w:color="auto"/>
        <w:bottom w:val="none" w:sz="0" w:space="0" w:color="auto"/>
        <w:right w:val="none" w:sz="0" w:space="0" w:color="auto"/>
      </w:divBdr>
    </w:div>
    <w:div w:id="1677656407">
      <w:bodyDiv w:val="1"/>
      <w:marLeft w:val="0"/>
      <w:marRight w:val="0"/>
      <w:marTop w:val="0"/>
      <w:marBottom w:val="0"/>
      <w:divBdr>
        <w:top w:val="none" w:sz="0" w:space="0" w:color="auto"/>
        <w:left w:val="none" w:sz="0" w:space="0" w:color="auto"/>
        <w:bottom w:val="none" w:sz="0" w:space="0" w:color="auto"/>
        <w:right w:val="none" w:sz="0" w:space="0" w:color="auto"/>
      </w:divBdr>
    </w:div>
    <w:div w:id="1705669993">
      <w:bodyDiv w:val="1"/>
      <w:marLeft w:val="0"/>
      <w:marRight w:val="0"/>
      <w:marTop w:val="0"/>
      <w:marBottom w:val="0"/>
      <w:divBdr>
        <w:top w:val="none" w:sz="0" w:space="0" w:color="auto"/>
        <w:left w:val="none" w:sz="0" w:space="0" w:color="auto"/>
        <w:bottom w:val="none" w:sz="0" w:space="0" w:color="auto"/>
        <w:right w:val="none" w:sz="0" w:space="0" w:color="auto"/>
      </w:divBdr>
    </w:div>
    <w:div w:id="1858470252">
      <w:bodyDiv w:val="1"/>
      <w:marLeft w:val="0"/>
      <w:marRight w:val="0"/>
      <w:marTop w:val="0"/>
      <w:marBottom w:val="0"/>
      <w:divBdr>
        <w:top w:val="none" w:sz="0" w:space="0" w:color="auto"/>
        <w:left w:val="none" w:sz="0" w:space="0" w:color="auto"/>
        <w:bottom w:val="none" w:sz="0" w:space="0" w:color="auto"/>
        <w:right w:val="none" w:sz="0" w:space="0" w:color="auto"/>
      </w:divBdr>
    </w:div>
    <w:div w:id="1879276700">
      <w:bodyDiv w:val="1"/>
      <w:marLeft w:val="0"/>
      <w:marRight w:val="0"/>
      <w:marTop w:val="0"/>
      <w:marBottom w:val="0"/>
      <w:divBdr>
        <w:top w:val="none" w:sz="0" w:space="0" w:color="auto"/>
        <w:left w:val="none" w:sz="0" w:space="0" w:color="auto"/>
        <w:bottom w:val="none" w:sz="0" w:space="0" w:color="auto"/>
        <w:right w:val="none" w:sz="0" w:space="0" w:color="auto"/>
      </w:divBdr>
    </w:div>
    <w:div w:id="1902590640">
      <w:bodyDiv w:val="1"/>
      <w:marLeft w:val="0"/>
      <w:marRight w:val="0"/>
      <w:marTop w:val="0"/>
      <w:marBottom w:val="0"/>
      <w:divBdr>
        <w:top w:val="none" w:sz="0" w:space="0" w:color="auto"/>
        <w:left w:val="none" w:sz="0" w:space="0" w:color="auto"/>
        <w:bottom w:val="none" w:sz="0" w:space="0" w:color="auto"/>
        <w:right w:val="none" w:sz="0" w:space="0" w:color="auto"/>
      </w:divBdr>
    </w:div>
    <w:div w:id="1939754982">
      <w:bodyDiv w:val="1"/>
      <w:marLeft w:val="0"/>
      <w:marRight w:val="0"/>
      <w:marTop w:val="0"/>
      <w:marBottom w:val="0"/>
      <w:divBdr>
        <w:top w:val="none" w:sz="0" w:space="0" w:color="auto"/>
        <w:left w:val="none" w:sz="0" w:space="0" w:color="auto"/>
        <w:bottom w:val="none" w:sz="0" w:space="0" w:color="auto"/>
        <w:right w:val="none" w:sz="0" w:space="0" w:color="auto"/>
      </w:divBdr>
    </w:div>
    <w:div w:id="2073430013">
      <w:bodyDiv w:val="1"/>
      <w:marLeft w:val="0"/>
      <w:marRight w:val="0"/>
      <w:marTop w:val="0"/>
      <w:marBottom w:val="0"/>
      <w:divBdr>
        <w:top w:val="none" w:sz="0" w:space="0" w:color="auto"/>
        <w:left w:val="none" w:sz="0" w:space="0" w:color="auto"/>
        <w:bottom w:val="none" w:sz="0" w:space="0" w:color="auto"/>
        <w:right w:val="none" w:sz="0" w:space="0" w:color="auto"/>
      </w:divBdr>
    </w:div>
    <w:div w:id="2080131596">
      <w:bodyDiv w:val="1"/>
      <w:marLeft w:val="0"/>
      <w:marRight w:val="0"/>
      <w:marTop w:val="0"/>
      <w:marBottom w:val="0"/>
      <w:divBdr>
        <w:top w:val="none" w:sz="0" w:space="0" w:color="auto"/>
        <w:left w:val="none" w:sz="0" w:space="0" w:color="auto"/>
        <w:bottom w:val="none" w:sz="0" w:space="0" w:color="auto"/>
        <w:right w:val="none" w:sz="0" w:space="0" w:color="auto"/>
      </w:divBdr>
    </w:div>
    <w:div w:id="2126536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4200C5-EC85-4978-8118-B1DDE3EE99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291</TotalTime>
  <Pages>5</Pages>
  <Words>1037</Words>
  <Characters>5916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SARS</Company>
  <LinksUpToDate>false</LinksUpToDate>
  <CharactersWithSpaces>6940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Thabang Thinane</dc:creator>
  <cp:lastModifiedBy>Mzolisi Rungqu</cp:lastModifiedBy>
  <cp:revision>22</cp:revision>
  <cp:lastPrinted>2021-10-29T11:52:00Z</cp:lastPrinted>
  <dcterms:created xsi:type="dcterms:W3CDTF">2023-03-06T07:53:00Z</dcterms:created>
  <dcterms:modified xsi:type="dcterms:W3CDTF">2024-12-03T22:15:00Z</dcterms:modified>
</cp:coreProperties>
</file>