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38A15C09" w:rsidR="00CD1845" w:rsidRPr="000D4C7D" w:rsidRDefault="008C40A7" w:rsidP="00CD1845">
            <w:pPr>
              <w:rPr>
                <w:lang w:val="en-ZA" w:eastAsia="en-US"/>
              </w:rPr>
            </w:pPr>
            <w:r w:rsidRPr="000D4C7D">
              <w:rPr>
                <w:lang w:val="en-ZA" w:eastAsia="en-US"/>
              </w:rPr>
              <w:t>FIN-SCM-TEN-0</w:t>
            </w:r>
            <w:r w:rsidR="000D4C7D" w:rsidRPr="000D4C7D">
              <w:rPr>
                <w:lang w:val="en-ZA" w:eastAsia="en-US"/>
              </w:rPr>
              <w:t>2</w:t>
            </w:r>
            <w:r w:rsidR="00E83790">
              <w:rPr>
                <w:lang w:val="en-ZA" w:eastAsia="en-US"/>
              </w:rPr>
              <w:t>33</w:t>
            </w:r>
          </w:p>
        </w:tc>
      </w:tr>
      <w:tr w:rsidR="00CD1845" w14:paraId="65F4BFD4" w14:textId="77777777" w:rsidTr="00851733">
        <w:trPr>
          <w:trHeight w:val="740"/>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4CE3E08" w:rsidR="00CD1845" w:rsidRPr="000D4C7D" w:rsidRDefault="00E83790" w:rsidP="003B1532">
            <w:pPr>
              <w:jc w:val="both"/>
            </w:pPr>
            <w:r w:rsidRPr="0000555C">
              <w:rPr>
                <w:rStyle w:val="ui-provider"/>
              </w:rPr>
              <w:t>Appointment of a</w:t>
            </w:r>
            <w:r>
              <w:rPr>
                <w:rStyle w:val="ui-provider"/>
              </w:rPr>
              <w:t xml:space="preserve"> panel of supplier/s to supply</w:t>
            </w:r>
            <w:r w:rsidRPr="0000555C">
              <w:rPr>
                <w:rStyle w:val="ui-provider"/>
              </w:rPr>
              <w:t xml:space="preserve"> </w:t>
            </w:r>
            <w:r>
              <w:rPr>
                <w:rStyle w:val="ui-provider"/>
              </w:rPr>
              <w:t>c</w:t>
            </w:r>
            <w:r w:rsidRPr="00177A18">
              <w:rPr>
                <w:rStyle w:val="ui-provider"/>
              </w:rPr>
              <w:t>onsumable</w:t>
            </w:r>
            <w:r w:rsidR="00B53D42">
              <w:rPr>
                <w:rStyle w:val="ui-provider"/>
              </w:rPr>
              <w:t>s</w:t>
            </w:r>
            <w:r w:rsidRPr="00177A18">
              <w:rPr>
                <w:rStyle w:val="ui-provider"/>
              </w:rPr>
              <w:t xml:space="preserve"> for </w:t>
            </w:r>
            <w:r>
              <w:rPr>
                <w:rStyle w:val="ui-provider"/>
              </w:rPr>
              <w:t>s</w:t>
            </w:r>
            <w:r w:rsidRPr="00177A18">
              <w:rPr>
                <w:rStyle w:val="ui-provider"/>
              </w:rPr>
              <w:t xml:space="preserve">melter </w:t>
            </w:r>
            <w:r>
              <w:rPr>
                <w:rStyle w:val="ui-provider"/>
              </w:rPr>
              <w:t>p</w:t>
            </w:r>
            <w:r w:rsidRPr="00177A18">
              <w:rPr>
                <w:rStyle w:val="ui-provider"/>
              </w:rPr>
              <w:t>lant</w:t>
            </w:r>
            <w:r w:rsidR="00B53D42">
              <w:rPr>
                <w:rStyle w:val="ui-provider"/>
              </w:rPr>
              <w:t xml:space="preserve"> on </w:t>
            </w:r>
            <w:r w:rsidR="005D0E12">
              <w:rPr>
                <w:rStyle w:val="ui-provider"/>
              </w:rPr>
              <w:t>an as</w:t>
            </w:r>
            <w:r>
              <w:rPr>
                <w:rStyle w:val="ui-provider"/>
              </w:rPr>
              <w:t xml:space="preserve"> and when required</w:t>
            </w:r>
            <w:r w:rsidR="00B53D42">
              <w:rPr>
                <w:rStyle w:val="ui-provider"/>
              </w:rPr>
              <w:t xml:space="preserve"> basis</w:t>
            </w:r>
            <w:r>
              <w:rPr>
                <w:rStyle w:val="ui-provider"/>
              </w:rPr>
              <w:t xml:space="preserve"> for a period of 36 months.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1183B29A" w:rsidR="00CD1845" w:rsidRPr="000D4C7D" w:rsidRDefault="000D4C7D" w:rsidP="00EE08F2">
            <w:pPr>
              <w:rPr>
                <w:lang w:val="en-ZA" w:eastAsia="en-US"/>
              </w:rPr>
            </w:pPr>
            <w:r w:rsidRPr="000D4C7D">
              <w:rPr>
                <w:lang w:val="en-ZA" w:eastAsia="en-US"/>
              </w:rPr>
              <w:t>0</w:t>
            </w:r>
            <w:r w:rsidR="00E83790">
              <w:rPr>
                <w:lang w:val="en-ZA" w:eastAsia="en-US"/>
              </w:rPr>
              <w:t>1</w:t>
            </w:r>
            <w:r w:rsidRPr="000D4C7D">
              <w:rPr>
                <w:lang w:val="en-ZA" w:eastAsia="en-US"/>
              </w:rPr>
              <w:t xml:space="preserve"> Ju</w:t>
            </w:r>
            <w:r w:rsidR="00E83790">
              <w:rPr>
                <w:lang w:val="en-ZA" w:eastAsia="en-US"/>
              </w:rPr>
              <w:t>ly</w:t>
            </w:r>
            <w:r w:rsidR="004C4977" w:rsidRPr="000D4C7D">
              <w:rPr>
                <w:lang w:val="en-ZA" w:eastAsia="en-US"/>
              </w:rPr>
              <w:t xml:space="preserve"> 202</w:t>
            </w:r>
            <w:r w:rsidR="00D31FD8" w:rsidRPr="000D4C7D">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50FDFD" w14:textId="070731C0" w:rsidR="00656238"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DA29AED" w:rsidR="00484FDB" w:rsidRDefault="00484FDB" w:rsidP="00983E61">
      <w:pPr>
        <w:pStyle w:val="Title"/>
        <w:tabs>
          <w:tab w:val="center" w:pos="4747"/>
        </w:tabs>
        <w:outlineLvl w:val="9"/>
      </w:pPr>
      <w:r>
        <w:lastRenderedPageBreak/>
        <w:t>Table of Contents</w:t>
      </w:r>
      <w:r w:rsidR="00983E61">
        <w:tab/>
      </w:r>
    </w:p>
    <w:p w14:paraId="078AFB0B" w14:textId="77777777" w:rsidR="00F80D24" w:rsidRPr="008610B6" w:rsidRDefault="00F80D24" w:rsidP="008610B6">
      <w:pPr>
        <w:spacing w:before="0" w:after="0" w:line="240" w:lineRule="auto"/>
        <w:rPr>
          <w:sz w:val="6"/>
          <w:lang w:val="en-ZA" w:eastAsia="en-US"/>
        </w:rPr>
      </w:pPr>
    </w:p>
    <w:p w14:paraId="47BDCEEA" w14:textId="61B949E4" w:rsidR="00E83790"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30592358" w:history="1">
        <w:r w:rsidR="00E83790" w:rsidRPr="00D0084B">
          <w:rPr>
            <w:rStyle w:val="Hyperlink"/>
            <w:noProof/>
          </w:rPr>
          <w:t>SECTION 1</w:t>
        </w:r>
        <w:r w:rsidR="00E83790">
          <w:rPr>
            <w:noProof/>
            <w:webHidden/>
          </w:rPr>
          <w:tab/>
        </w:r>
        <w:r w:rsidR="00E83790">
          <w:rPr>
            <w:noProof/>
            <w:webHidden/>
          </w:rPr>
          <w:fldChar w:fldCharType="begin"/>
        </w:r>
        <w:r w:rsidR="00E83790">
          <w:rPr>
            <w:noProof/>
            <w:webHidden/>
          </w:rPr>
          <w:instrText xml:space="preserve"> PAGEREF _Toc230592358 \h </w:instrText>
        </w:r>
        <w:r w:rsidR="00E83790">
          <w:rPr>
            <w:noProof/>
            <w:webHidden/>
          </w:rPr>
        </w:r>
        <w:r w:rsidR="00E83790">
          <w:rPr>
            <w:noProof/>
            <w:webHidden/>
          </w:rPr>
          <w:fldChar w:fldCharType="separate"/>
        </w:r>
        <w:r w:rsidR="00E83790">
          <w:rPr>
            <w:noProof/>
            <w:webHidden/>
          </w:rPr>
          <w:t>3</w:t>
        </w:r>
        <w:r w:rsidR="00E83790">
          <w:rPr>
            <w:noProof/>
            <w:webHidden/>
          </w:rPr>
          <w:fldChar w:fldCharType="end"/>
        </w:r>
      </w:hyperlink>
    </w:p>
    <w:p w14:paraId="57B7BE26" w14:textId="72C1F053"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59" w:history="1">
        <w:r w:rsidRPr="00D0084B">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Introduction</w:t>
        </w:r>
        <w:r>
          <w:rPr>
            <w:noProof/>
            <w:webHidden/>
          </w:rPr>
          <w:tab/>
        </w:r>
        <w:r>
          <w:rPr>
            <w:noProof/>
            <w:webHidden/>
          </w:rPr>
          <w:fldChar w:fldCharType="begin"/>
        </w:r>
        <w:r>
          <w:rPr>
            <w:noProof/>
            <w:webHidden/>
          </w:rPr>
          <w:instrText xml:space="preserve"> PAGEREF _Toc230592359 \h </w:instrText>
        </w:r>
        <w:r>
          <w:rPr>
            <w:noProof/>
            <w:webHidden/>
          </w:rPr>
        </w:r>
        <w:r>
          <w:rPr>
            <w:noProof/>
            <w:webHidden/>
          </w:rPr>
          <w:fldChar w:fldCharType="separate"/>
        </w:r>
        <w:r>
          <w:rPr>
            <w:noProof/>
            <w:webHidden/>
          </w:rPr>
          <w:t>3</w:t>
        </w:r>
        <w:r>
          <w:rPr>
            <w:noProof/>
            <w:webHidden/>
          </w:rPr>
          <w:fldChar w:fldCharType="end"/>
        </w:r>
      </w:hyperlink>
    </w:p>
    <w:p w14:paraId="3F069B29" w14:textId="103A2E28"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0" w:history="1">
        <w:r w:rsidRPr="00D0084B">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Company Overview</w:t>
        </w:r>
        <w:r>
          <w:rPr>
            <w:noProof/>
            <w:webHidden/>
          </w:rPr>
          <w:tab/>
        </w:r>
        <w:r>
          <w:rPr>
            <w:noProof/>
            <w:webHidden/>
          </w:rPr>
          <w:fldChar w:fldCharType="begin"/>
        </w:r>
        <w:r>
          <w:rPr>
            <w:noProof/>
            <w:webHidden/>
          </w:rPr>
          <w:instrText xml:space="preserve"> PAGEREF _Toc230592360 \h </w:instrText>
        </w:r>
        <w:r>
          <w:rPr>
            <w:noProof/>
            <w:webHidden/>
          </w:rPr>
        </w:r>
        <w:r>
          <w:rPr>
            <w:noProof/>
            <w:webHidden/>
          </w:rPr>
          <w:fldChar w:fldCharType="separate"/>
        </w:r>
        <w:r>
          <w:rPr>
            <w:noProof/>
            <w:webHidden/>
          </w:rPr>
          <w:t>3</w:t>
        </w:r>
        <w:r>
          <w:rPr>
            <w:noProof/>
            <w:webHidden/>
          </w:rPr>
          <w:fldChar w:fldCharType="end"/>
        </w:r>
      </w:hyperlink>
    </w:p>
    <w:p w14:paraId="7B7B4830" w14:textId="3C327787"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61" w:history="1">
        <w:r w:rsidRPr="00D0084B">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Scope of Work</w:t>
        </w:r>
        <w:r>
          <w:rPr>
            <w:noProof/>
            <w:webHidden/>
          </w:rPr>
          <w:tab/>
        </w:r>
        <w:r>
          <w:rPr>
            <w:noProof/>
            <w:webHidden/>
          </w:rPr>
          <w:fldChar w:fldCharType="begin"/>
        </w:r>
        <w:r>
          <w:rPr>
            <w:noProof/>
            <w:webHidden/>
          </w:rPr>
          <w:instrText xml:space="preserve"> PAGEREF _Toc230592361 \h </w:instrText>
        </w:r>
        <w:r>
          <w:rPr>
            <w:noProof/>
            <w:webHidden/>
          </w:rPr>
        </w:r>
        <w:r>
          <w:rPr>
            <w:noProof/>
            <w:webHidden/>
          </w:rPr>
          <w:fldChar w:fldCharType="separate"/>
        </w:r>
        <w:r>
          <w:rPr>
            <w:noProof/>
            <w:webHidden/>
          </w:rPr>
          <w:t>3</w:t>
        </w:r>
        <w:r>
          <w:rPr>
            <w:noProof/>
            <w:webHidden/>
          </w:rPr>
          <w:fldChar w:fldCharType="end"/>
        </w:r>
      </w:hyperlink>
    </w:p>
    <w:p w14:paraId="438D408A" w14:textId="2B8BDAF5"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2" w:history="1">
        <w:r w:rsidRPr="00D0084B">
          <w:rPr>
            <w:rStyle w:val="Hyperlink"/>
            <w:noProof/>
          </w:rPr>
          <w:t>NECSA is seeking to appoint a panel of supplier/s to supply consumable for smelter plant as and when required for a period of 36 months.</w:t>
        </w:r>
        <w:r>
          <w:rPr>
            <w:noProof/>
            <w:webHidden/>
          </w:rPr>
          <w:tab/>
        </w:r>
        <w:r>
          <w:rPr>
            <w:noProof/>
            <w:webHidden/>
          </w:rPr>
          <w:fldChar w:fldCharType="begin"/>
        </w:r>
        <w:r>
          <w:rPr>
            <w:noProof/>
            <w:webHidden/>
          </w:rPr>
          <w:instrText xml:space="preserve"> PAGEREF _Toc230592362 \h </w:instrText>
        </w:r>
        <w:r>
          <w:rPr>
            <w:noProof/>
            <w:webHidden/>
          </w:rPr>
        </w:r>
        <w:r>
          <w:rPr>
            <w:noProof/>
            <w:webHidden/>
          </w:rPr>
          <w:fldChar w:fldCharType="separate"/>
        </w:r>
        <w:r>
          <w:rPr>
            <w:noProof/>
            <w:webHidden/>
          </w:rPr>
          <w:t>3</w:t>
        </w:r>
        <w:r>
          <w:rPr>
            <w:noProof/>
            <w:webHidden/>
          </w:rPr>
          <w:fldChar w:fldCharType="end"/>
        </w:r>
      </w:hyperlink>
    </w:p>
    <w:p w14:paraId="1CF1C594" w14:textId="6EC1A4F7"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3" w:history="1">
        <w:r w:rsidRPr="00D0084B">
          <w:rPr>
            <w:rStyle w:val="Hyperlink"/>
            <w:noProof/>
          </w:rPr>
          <w:t>The specification is in the attached annexure A.</w:t>
        </w:r>
        <w:r>
          <w:rPr>
            <w:noProof/>
            <w:webHidden/>
          </w:rPr>
          <w:tab/>
        </w:r>
        <w:r>
          <w:rPr>
            <w:noProof/>
            <w:webHidden/>
          </w:rPr>
          <w:fldChar w:fldCharType="begin"/>
        </w:r>
        <w:r>
          <w:rPr>
            <w:noProof/>
            <w:webHidden/>
          </w:rPr>
          <w:instrText xml:space="preserve"> PAGEREF _Toc230592363 \h </w:instrText>
        </w:r>
        <w:r>
          <w:rPr>
            <w:noProof/>
            <w:webHidden/>
          </w:rPr>
        </w:r>
        <w:r>
          <w:rPr>
            <w:noProof/>
            <w:webHidden/>
          </w:rPr>
          <w:fldChar w:fldCharType="separate"/>
        </w:r>
        <w:r>
          <w:rPr>
            <w:noProof/>
            <w:webHidden/>
          </w:rPr>
          <w:t>3</w:t>
        </w:r>
        <w:r>
          <w:rPr>
            <w:noProof/>
            <w:webHidden/>
          </w:rPr>
          <w:fldChar w:fldCharType="end"/>
        </w:r>
      </w:hyperlink>
    </w:p>
    <w:p w14:paraId="02357145" w14:textId="2F255201"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4" w:history="1">
        <w:r w:rsidRPr="00D0084B">
          <w:rPr>
            <w:rStyle w:val="Hyperlink"/>
            <w:noProof/>
          </w:rPr>
          <w:t>The Bill of Materials/RFQ (Annexure A) includes the specifications of the material regularly used by the smelter.</w:t>
        </w:r>
        <w:r>
          <w:rPr>
            <w:noProof/>
            <w:webHidden/>
          </w:rPr>
          <w:tab/>
        </w:r>
        <w:r>
          <w:rPr>
            <w:noProof/>
            <w:webHidden/>
          </w:rPr>
          <w:fldChar w:fldCharType="begin"/>
        </w:r>
        <w:r>
          <w:rPr>
            <w:noProof/>
            <w:webHidden/>
          </w:rPr>
          <w:instrText xml:space="preserve"> PAGEREF _Toc230592364 \h </w:instrText>
        </w:r>
        <w:r>
          <w:rPr>
            <w:noProof/>
            <w:webHidden/>
          </w:rPr>
        </w:r>
        <w:r>
          <w:rPr>
            <w:noProof/>
            <w:webHidden/>
          </w:rPr>
          <w:fldChar w:fldCharType="separate"/>
        </w:r>
        <w:r>
          <w:rPr>
            <w:noProof/>
            <w:webHidden/>
          </w:rPr>
          <w:t>3</w:t>
        </w:r>
        <w:r>
          <w:rPr>
            <w:noProof/>
            <w:webHidden/>
          </w:rPr>
          <w:fldChar w:fldCharType="end"/>
        </w:r>
      </w:hyperlink>
    </w:p>
    <w:p w14:paraId="574727E0" w14:textId="1D76D520"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5" w:history="1">
        <w:r w:rsidRPr="00D0084B">
          <w:rPr>
            <w:rStyle w:val="Hyperlink"/>
            <w:noProof/>
          </w:rPr>
          <w:t>Consumables shall, as and when required by Necsa, be requested from the service provider through request for quotations (RFQ).  The RFQs shall be sent to relevant suppliers sitting in the panel for a particular category.</w:t>
        </w:r>
        <w:r>
          <w:rPr>
            <w:noProof/>
            <w:webHidden/>
          </w:rPr>
          <w:tab/>
        </w:r>
        <w:r>
          <w:rPr>
            <w:noProof/>
            <w:webHidden/>
          </w:rPr>
          <w:fldChar w:fldCharType="begin"/>
        </w:r>
        <w:r>
          <w:rPr>
            <w:noProof/>
            <w:webHidden/>
          </w:rPr>
          <w:instrText xml:space="preserve"> PAGEREF _Toc230592365 \h </w:instrText>
        </w:r>
        <w:r>
          <w:rPr>
            <w:noProof/>
            <w:webHidden/>
          </w:rPr>
        </w:r>
        <w:r>
          <w:rPr>
            <w:noProof/>
            <w:webHidden/>
          </w:rPr>
          <w:fldChar w:fldCharType="separate"/>
        </w:r>
        <w:r>
          <w:rPr>
            <w:noProof/>
            <w:webHidden/>
          </w:rPr>
          <w:t>3</w:t>
        </w:r>
        <w:r>
          <w:rPr>
            <w:noProof/>
            <w:webHidden/>
          </w:rPr>
          <w:fldChar w:fldCharType="end"/>
        </w:r>
      </w:hyperlink>
    </w:p>
    <w:p w14:paraId="5FD1A4FA" w14:textId="52ABAD6B"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6" w:history="1">
        <w:r w:rsidRPr="00D0084B">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Applicable Necsa Policies</w:t>
        </w:r>
        <w:r>
          <w:rPr>
            <w:noProof/>
            <w:webHidden/>
          </w:rPr>
          <w:tab/>
        </w:r>
        <w:r>
          <w:rPr>
            <w:noProof/>
            <w:webHidden/>
          </w:rPr>
          <w:fldChar w:fldCharType="begin"/>
        </w:r>
        <w:r>
          <w:rPr>
            <w:noProof/>
            <w:webHidden/>
          </w:rPr>
          <w:instrText xml:space="preserve"> PAGEREF _Toc230592366 \h </w:instrText>
        </w:r>
        <w:r>
          <w:rPr>
            <w:noProof/>
            <w:webHidden/>
          </w:rPr>
        </w:r>
        <w:r>
          <w:rPr>
            <w:noProof/>
            <w:webHidden/>
          </w:rPr>
          <w:fldChar w:fldCharType="separate"/>
        </w:r>
        <w:r>
          <w:rPr>
            <w:noProof/>
            <w:webHidden/>
          </w:rPr>
          <w:t>4</w:t>
        </w:r>
        <w:r>
          <w:rPr>
            <w:noProof/>
            <w:webHidden/>
          </w:rPr>
          <w:fldChar w:fldCharType="end"/>
        </w:r>
      </w:hyperlink>
    </w:p>
    <w:p w14:paraId="08B2EB2F" w14:textId="78544B2F"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67" w:history="1">
        <w:r w:rsidRPr="00D0084B">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Applicable Necsa Procedures</w:t>
        </w:r>
        <w:r>
          <w:rPr>
            <w:noProof/>
            <w:webHidden/>
          </w:rPr>
          <w:tab/>
        </w:r>
        <w:r>
          <w:rPr>
            <w:noProof/>
            <w:webHidden/>
          </w:rPr>
          <w:fldChar w:fldCharType="begin"/>
        </w:r>
        <w:r>
          <w:rPr>
            <w:noProof/>
            <w:webHidden/>
          </w:rPr>
          <w:instrText xml:space="preserve"> PAGEREF _Toc230592367 \h </w:instrText>
        </w:r>
        <w:r>
          <w:rPr>
            <w:noProof/>
            <w:webHidden/>
          </w:rPr>
        </w:r>
        <w:r>
          <w:rPr>
            <w:noProof/>
            <w:webHidden/>
          </w:rPr>
          <w:fldChar w:fldCharType="separate"/>
        </w:r>
        <w:r>
          <w:rPr>
            <w:noProof/>
            <w:webHidden/>
          </w:rPr>
          <w:t>4</w:t>
        </w:r>
        <w:r>
          <w:rPr>
            <w:noProof/>
            <w:webHidden/>
          </w:rPr>
          <w:fldChar w:fldCharType="end"/>
        </w:r>
      </w:hyperlink>
    </w:p>
    <w:p w14:paraId="52F50DD0" w14:textId="137E6F57"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8" w:history="1">
        <w:r w:rsidRPr="00D0084B">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Requirements to Access Necsa Site</w:t>
        </w:r>
        <w:r>
          <w:rPr>
            <w:noProof/>
            <w:webHidden/>
          </w:rPr>
          <w:tab/>
        </w:r>
        <w:r>
          <w:rPr>
            <w:noProof/>
            <w:webHidden/>
          </w:rPr>
          <w:fldChar w:fldCharType="begin"/>
        </w:r>
        <w:r>
          <w:rPr>
            <w:noProof/>
            <w:webHidden/>
          </w:rPr>
          <w:instrText xml:space="preserve"> PAGEREF _Toc230592368 \h </w:instrText>
        </w:r>
        <w:r>
          <w:rPr>
            <w:noProof/>
            <w:webHidden/>
          </w:rPr>
        </w:r>
        <w:r>
          <w:rPr>
            <w:noProof/>
            <w:webHidden/>
          </w:rPr>
          <w:fldChar w:fldCharType="separate"/>
        </w:r>
        <w:r>
          <w:rPr>
            <w:noProof/>
            <w:webHidden/>
          </w:rPr>
          <w:t>4</w:t>
        </w:r>
        <w:r>
          <w:rPr>
            <w:noProof/>
            <w:webHidden/>
          </w:rPr>
          <w:fldChar w:fldCharType="end"/>
        </w:r>
      </w:hyperlink>
    </w:p>
    <w:p w14:paraId="1E1FD70E" w14:textId="3C50EB92"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69" w:history="1">
        <w:r w:rsidRPr="00D0084B">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Emergencies, Incidents, Accidents</w:t>
        </w:r>
        <w:r>
          <w:rPr>
            <w:noProof/>
            <w:webHidden/>
          </w:rPr>
          <w:tab/>
        </w:r>
        <w:r>
          <w:rPr>
            <w:noProof/>
            <w:webHidden/>
          </w:rPr>
          <w:fldChar w:fldCharType="begin"/>
        </w:r>
        <w:r>
          <w:rPr>
            <w:noProof/>
            <w:webHidden/>
          </w:rPr>
          <w:instrText xml:space="preserve"> PAGEREF _Toc230592369 \h </w:instrText>
        </w:r>
        <w:r>
          <w:rPr>
            <w:noProof/>
            <w:webHidden/>
          </w:rPr>
        </w:r>
        <w:r>
          <w:rPr>
            <w:noProof/>
            <w:webHidden/>
          </w:rPr>
          <w:fldChar w:fldCharType="separate"/>
        </w:r>
        <w:r>
          <w:rPr>
            <w:noProof/>
            <w:webHidden/>
          </w:rPr>
          <w:t>4</w:t>
        </w:r>
        <w:r>
          <w:rPr>
            <w:noProof/>
            <w:webHidden/>
          </w:rPr>
          <w:fldChar w:fldCharType="end"/>
        </w:r>
      </w:hyperlink>
    </w:p>
    <w:p w14:paraId="4689FC8B" w14:textId="09C37D31"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0" w:history="1">
        <w:r w:rsidRPr="00D0084B">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Necsa Health, Safety and Environmental Requirements</w:t>
        </w:r>
        <w:r>
          <w:rPr>
            <w:noProof/>
            <w:webHidden/>
          </w:rPr>
          <w:tab/>
        </w:r>
        <w:r>
          <w:rPr>
            <w:noProof/>
            <w:webHidden/>
          </w:rPr>
          <w:fldChar w:fldCharType="begin"/>
        </w:r>
        <w:r>
          <w:rPr>
            <w:noProof/>
            <w:webHidden/>
          </w:rPr>
          <w:instrText xml:space="preserve"> PAGEREF _Toc230592370 \h </w:instrText>
        </w:r>
        <w:r>
          <w:rPr>
            <w:noProof/>
            <w:webHidden/>
          </w:rPr>
        </w:r>
        <w:r>
          <w:rPr>
            <w:noProof/>
            <w:webHidden/>
          </w:rPr>
          <w:fldChar w:fldCharType="separate"/>
        </w:r>
        <w:r>
          <w:rPr>
            <w:noProof/>
            <w:webHidden/>
          </w:rPr>
          <w:t>4</w:t>
        </w:r>
        <w:r>
          <w:rPr>
            <w:noProof/>
            <w:webHidden/>
          </w:rPr>
          <w:fldChar w:fldCharType="end"/>
        </w:r>
      </w:hyperlink>
    </w:p>
    <w:p w14:paraId="36AA2CC6" w14:textId="2EF7F4BD"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1" w:history="1">
        <w:r w:rsidRPr="00D0084B">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Necsa Requirements for Quality</w:t>
        </w:r>
        <w:r>
          <w:rPr>
            <w:noProof/>
            <w:webHidden/>
          </w:rPr>
          <w:tab/>
        </w:r>
        <w:r>
          <w:rPr>
            <w:noProof/>
            <w:webHidden/>
          </w:rPr>
          <w:fldChar w:fldCharType="begin"/>
        </w:r>
        <w:r>
          <w:rPr>
            <w:noProof/>
            <w:webHidden/>
          </w:rPr>
          <w:instrText xml:space="preserve"> PAGEREF _Toc230592371 \h </w:instrText>
        </w:r>
        <w:r>
          <w:rPr>
            <w:noProof/>
            <w:webHidden/>
          </w:rPr>
        </w:r>
        <w:r>
          <w:rPr>
            <w:noProof/>
            <w:webHidden/>
          </w:rPr>
          <w:fldChar w:fldCharType="separate"/>
        </w:r>
        <w:r>
          <w:rPr>
            <w:noProof/>
            <w:webHidden/>
          </w:rPr>
          <w:t>5</w:t>
        </w:r>
        <w:r>
          <w:rPr>
            <w:noProof/>
            <w:webHidden/>
          </w:rPr>
          <w:fldChar w:fldCharType="end"/>
        </w:r>
      </w:hyperlink>
    </w:p>
    <w:p w14:paraId="39847E53" w14:textId="0E72F293"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2" w:history="1">
        <w:r w:rsidRPr="00D0084B">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Necsa Requirements for Project SHEQ</w:t>
        </w:r>
        <w:r>
          <w:rPr>
            <w:noProof/>
            <w:webHidden/>
          </w:rPr>
          <w:tab/>
        </w:r>
        <w:r>
          <w:rPr>
            <w:noProof/>
            <w:webHidden/>
          </w:rPr>
          <w:fldChar w:fldCharType="begin"/>
        </w:r>
        <w:r>
          <w:rPr>
            <w:noProof/>
            <w:webHidden/>
          </w:rPr>
          <w:instrText xml:space="preserve"> PAGEREF _Toc230592372 \h </w:instrText>
        </w:r>
        <w:r>
          <w:rPr>
            <w:noProof/>
            <w:webHidden/>
          </w:rPr>
        </w:r>
        <w:r>
          <w:rPr>
            <w:noProof/>
            <w:webHidden/>
          </w:rPr>
          <w:fldChar w:fldCharType="separate"/>
        </w:r>
        <w:r>
          <w:rPr>
            <w:noProof/>
            <w:webHidden/>
          </w:rPr>
          <w:t>5</w:t>
        </w:r>
        <w:r>
          <w:rPr>
            <w:noProof/>
            <w:webHidden/>
          </w:rPr>
          <w:fldChar w:fldCharType="end"/>
        </w:r>
      </w:hyperlink>
    </w:p>
    <w:p w14:paraId="2AEEFA30" w14:textId="648DF82A"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3" w:history="1">
        <w:r w:rsidRPr="00D0084B">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Confidentiality</w:t>
        </w:r>
        <w:r>
          <w:rPr>
            <w:noProof/>
            <w:webHidden/>
          </w:rPr>
          <w:tab/>
        </w:r>
        <w:r>
          <w:rPr>
            <w:noProof/>
            <w:webHidden/>
          </w:rPr>
          <w:fldChar w:fldCharType="begin"/>
        </w:r>
        <w:r>
          <w:rPr>
            <w:noProof/>
            <w:webHidden/>
          </w:rPr>
          <w:instrText xml:space="preserve"> PAGEREF _Toc230592373 \h </w:instrText>
        </w:r>
        <w:r>
          <w:rPr>
            <w:noProof/>
            <w:webHidden/>
          </w:rPr>
        </w:r>
        <w:r>
          <w:rPr>
            <w:noProof/>
            <w:webHidden/>
          </w:rPr>
          <w:fldChar w:fldCharType="separate"/>
        </w:r>
        <w:r>
          <w:rPr>
            <w:noProof/>
            <w:webHidden/>
          </w:rPr>
          <w:t>5</w:t>
        </w:r>
        <w:r>
          <w:rPr>
            <w:noProof/>
            <w:webHidden/>
          </w:rPr>
          <w:fldChar w:fldCharType="end"/>
        </w:r>
      </w:hyperlink>
    </w:p>
    <w:p w14:paraId="2D00DA95" w14:textId="14633623"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74" w:history="1">
        <w:r w:rsidRPr="00D0084B">
          <w:rPr>
            <w:rStyle w:val="Hyperlink"/>
            <w:noProof/>
          </w:rPr>
          <w:t>SECTION 2</w:t>
        </w:r>
        <w:r>
          <w:rPr>
            <w:noProof/>
            <w:webHidden/>
          </w:rPr>
          <w:tab/>
        </w:r>
        <w:r>
          <w:rPr>
            <w:noProof/>
            <w:webHidden/>
          </w:rPr>
          <w:fldChar w:fldCharType="begin"/>
        </w:r>
        <w:r>
          <w:rPr>
            <w:noProof/>
            <w:webHidden/>
          </w:rPr>
          <w:instrText xml:space="preserve"> PAGEREF _Toc230592374 \h </w:instrText>
        </w:r>
        <w:r>
          <w:rPr>
            <w:noProof/>
            <w:webHidden/>
          </w:rPr>
        </w:r>
        <w:r>
          <w:rPr>
            <w:noProof/>
            <w:webHidden/>
          </w:rPr>
          <w:fldChar w:fldCharType="separate"/>
        </w:r>
        <w:r>
          <w:rPr>
            <w:noProof/>
            <w:webHidden/>
          </w:rPr>
          <w:t>5</w:t>
        </w:r>
        <w:r>
          <w:rPr>
            <w:noProof/>
            <w:webHidden/>
          </w:rPr>
          <w:fldChar w:fldCharType="end"/>
        </w:r>
      </w:hyperlink>
    </w:p>
    <w:p w14:paraId="14CE4320" w14:textId="252BBAC5"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75" w:history="1">
        <w:r w:rsidRPr="00D0084B">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lang w:val="en-ZA"/>
          </w:rPr>
          <w:t>Instruction to Bidders</w:t>
        </w:r>
        <w:r>
          <w:rPr>
            <w:noProof/>
            <w:webHidden/>
          </w:rPr>
          <w:tab/>
        </w:r>
        <w:r>
          <w:rPr>
            <w:noProof/>
            <w:webHidden/>
          </w:rPr>
          <w:fldChar w:fldCharType="begin"/>
        </w:r>
        <w:r>
          <w:rPr>
            <w:noProof/>
            <w:webHidden/>
          </w:rPr>
          <w:instrText xml:space="preserve"> PAGEREF _Toc230592375 \h </w:instrText>
        </w:r>
        <w:r>
          <w:rPr>
            <w:noProof/>
            <w:webHidden/>
          </w:rPr>
        </w:r>
        <w:r>
          <w:rPr>
            <w:noProof/>
            <w:webHidden/>
          </w:rPr>
          <w:fldChar w:fldCharType="separate"/>
        </w:r>
        <w:r>
          <w:rPr>
            <w:noProof/>
            <w:webHidden/>
          </w:rPr>
          <w:t>5</w:t>
        </w:r>
        <w:r>
          <w:rPr>
            <w:noProof/>
            <w:webHidden/>
          </w:rPr>
          <w:fldChar w:fldCharType="end"/>
        </w:r>
      </w:hyperlink>
    </w:p>
    <w:p w14:paraId="47F1D08E" w14:textId="7BDE3287"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6" w:history="1">
        <w:r w:rsidRPr="00D0084B">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General</w:t>
        </w:r>
        <w:r>
          <w:rPr>
            <w:noProof/>
            <w:webHidden/>
          </w:rPr>
          <w:tab/>
        </w:r>
        <w:r>
          <w:rPr>
            <w:noProof/>
            <w:webHidden/>
          </w:rPr>
          <w:fldChar w:fldCharType="begin"/>
        </w:r>
        <w:r>
          <w:rPr>
            <w:noProof/>
            <w:webHidden/>
          </w:rPr>
          <w:instrText xml:space="preserve"> PAGEREF _Toc230592376 \h </w:instrText>
        </w:r>
        <w:r>
          <w:rPr>
            <w:noProof/>
            <w:webHidden/>
          </w:rPr>
        </w:r>
        <w:r>
          <w:rPr>
            <w:noProof/>
            <w:webHidden/>
          </w:rPr>
          <w:fldChar w:fldCharType="separate"/>
        </w:r>
        <w:r>
          <w:rPr>
            <w:noProof/>
            <w:webHidden/>
          </w:rPr>
          <w:t>5</w:t>
        </w:r>
        <w:r>
          <w:rPr>
            <w:noProof/>
            <w:webHidden/>
          </w:rPr>
          <w:fldChar w:fldCharType="end"/>
        </w:r>
      </w:hyperlink>
    </w:p>
    <w:p w14:paraId="22DABEB0" w14:textId="7CB4D160"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7" w:history="1">
        <w:r w:rsidRPr="00D0084B">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Bidder Information</w:t>
        </w:r>
        <w:r>
          <w:rPr>
            <w:noProof/>
            <w:webHidden/>
          </w:rPr>
          <w:tab/>
        </w:r>
        <w:r>
          <w:rPr>
            <w:noProof/>
            <w:webHidden/>
          </w:rPr>
          <w:fldChar w:fldCharType="begin"/>
        </w:r>
        <w:r>
          <w:rPr>
            <w:noProof/>
            <w:webHidden/>
          </w:rPr>
          <w:instrText xml:space="preserve"> PAGEREF _Toc230592377 \h </w:instrText>
        </w:r>
        <w:r>
          <w:rPr>
            <w:noProof/>
            <w:webHidden/>
          </w:rPr>
        </w:r>
        <w:r>
          <w:rPr>
            <w:noProof/>
            <w:webHidden/>
          </w:rPr>
          <w:fldChar w:fldCharType="separate"/>
        </w:r>
        <w:r>
          <w:rPr>
            <w:noProof/>
            <w:webHidden/>
          </w:rPr>
          <w:t>5</w:t>
        </w:r>
        <w:r>
          <w:rPr>
            <w:noProof/>
            <w:webHidden/>
          </w:rPr>
          <w:fldChar w:fldCharType="end"/>
        </w:r>
      </w:hyperlink>
    </w:p>
    <w:p w14:paraId="3CD23D61" w14:textId="5B44C915"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8" w:history="1">
        <w:r w:rsidRPr="00D0084B">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Consortium</w:t>
        </w:r>
        <w:r>
          <w:rPr>
            <w:noProof/>
            <w:webHidden/>
          </w:rPr>
          <w:tab/>
        </w:r>
        <w:r>
          <w:rPr>
            <w:noProof/>
            <w:webHidden/>
          </w:rPr>
          <w:fldChar w:fldCharType="begin"/>
        </w:r>
        <w:r>
          <w:rPr>
            <w:noProof/>
            <w:webHidden/>
          </w:rPr>
          <w:instrText xml:space="preserve"> PAGEREF _Toc230592378 \h </w:instrText>
        </w:r>
        <w:r>
          <w:rPr>
            <w:noProof/>
            <w:webHidden/>
          </w:rPr>
        </w:r>
        <w:r>
          <w:rPr>
            <w:noProof/>
            <w:webHidden/>
          </w:rPr>
          <w:fldChar w:fldCharType="separate"/>
        </w:r>
        <w:r>
          <w:rPr>
            <w:noProof/>
            <w:webHidden/>
          </w:rPr>
          <w:t>6</w:t>
        </w:r>
        <w:r>
          <w:rPr>
            <w:noProof/>
            <w:webHidden/>
          </w:rPr>
          <w:fldChar w:fldCharType="end"/>
        </w:r>
      </w:hyperlink>
    </w:p>
    <w:p w14:paraId="68898B1A" w14:textId="3C87AF38"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79" w:history="1">
        <w:r w:rsidRPr="00D0084B">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Sub-contracting</w:t>
        </w:r>
        <w:r>
          <w:rPr>
            <w:noProof/>
            <w:webHidden/>
          </w:rPr>
          <w:tab/>
        </w:r>
        <w:r>
          <w:rPr>
            <w:noProof/>
            <w:webHidden/>
          </w:rPr>
          <w:fldChar w:fldCharType="begin"/>
        </w:r>
        <w:r>
          <w:rPr>
            <w:noProof/>
            <w:webHidden/>
          </w:rPr>
          <w:instrText xml:space="preserve"> PAGEREF _Toc230592379 \h </w:instrText>
        </w:r>
        <w:r>
          <w:rPr>
            <w:noProof/>
            <w:webHidden/>
          </w:rPr>
        </w:r>
        <w:r>
          <w:rPr>
            <w:noProof/>
            <w:webHidden/>
          </w:rPr>
          <w:fldChar w:fldCharType="separate"/>
        </w:r>
        <w:r>
          <w:rPr>
            <w:noProof/>
            <w:webHidden/>
          </w:rPr>
          <w:t>6</w:t>
        </w:r>
        <w:r>
          <w:rPr>
            <w:noProof/>
            <w:webHidden/>
          </w:rPr>
          <w:fldChar w:fldCharType="end"/>
        </w:r>
      </w:hyperlink>
    </w:p>
    <w:p w14:paraId="7FAA4E9D" w14:textId="59623049"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0" w:history="1">
        <w:r w:rsidRPr="00D0084B">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Necsa’s Bidding Rights</w:t>
        </w:r>
        <w:r>
          <w:rPr>
            <w:noProof/>
            <w:webHidden/>
          </w:rPr>
          <w:tab/>
        </w:r>
        <w:r>
          <w:rPr>
            <w:noProof/>
            <w:webHidden/>
          </w:rPr>
          <w:fldChar w:fldCharType="begin"/>
        </w:r>
        <w:r>
          <w:rPr>
            <w:noProof/>
            <w:webHidden/>
          </w:rPr>
          <w:instrText xml:space="preserve"> PAGEREF _Toc230592380 \h </w:instrText>
        </w:r>
        <w:r>
          <w:rPr>
            <w:noProof/>
            <w:webHidden/>
          </w:rPr>
        </w:r>
        <w:r>
          <w:rPr>
            <w:noProof/>
            <w:webHidden/>
          </w:rPr>
          <w:fldChar w:fldCharType="separate"/>
        </w:r>
        <w:r>
          <w:rPr>
            <w:noProof/>
            <w:webHidden/>
          </w:rPr>
          <w:t>6</w:t>
        </w:r>
        <w:r>
          <w:rPr>
            <w:noProof/>
            <w:webHidden/>
          </w:rPr>
          <w:fldChar w:fldCharType="end"/>
        </w:r>
      </w:hyperlink>
    </w:p>
    <w:p w14:paraId="4396EC00" w14:textId="7642AD17"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1" w:history="1">
        <w:r w:rsidRPr="00D0084B">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Bidding Process</w:t>
        </w:r>
        <w:r>
          <w:rPr>
            <w:noProof/>
            <w:webHidden/>
          </w:rPr>
          <w:tab/>
        </w:r>
        <w:r>
          <w:rPr>
            <w:noProof/>
            <w:webHidden/>
          </w:rPr>
          <w:fldChar w:fldCharType="begin"/>
        </w:r>
        <w:r>
          <w:rPr>
            <w:noProof/>
            <w:webHidden/>
          </w:rPr>
          <w:instrText xml:space="preserve"> PAGEREF _Toc230592381 \h </w:instrText>
        </w:r>
        <w:r>
          <w:rPr>
            <w:noProof/>
            <w:webHidden/>
          </w:rPr>
        </w:r>
        <w:r>
          <w:rPr>
            <w:noProof/>
            <w:webHidden/>
          </w:rPr>
          <w:fldChar w:fldCharType="separate"/>
        </w:r>
        <w:r>
          <w:rPr>
            <w:noProof/>
            <w:webHidden/>
          </w:rPr>
          <w:t>7</w:t>
        </w:r>
        <w:r>
          <w:rPr>
            <w:noProof/>
            <w:webHidden/>
          </w:rPr>
          <w:fldChar w:fldCharType="end"/>
        </w:r>
      </w:hyperlink>
    </w:p>
    <w:p w14:paraId="0FE8855C" w14:textId="08093F7A"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2" w:history="1">
        <w:r w:rsidRPr="00D0084B">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Bid Submission Requirements</w:t>
        </w:r>
        <w:r>
          <w:rPr>
            <w:noProof/>
            <w:webHidden/>
          </w:rPr>
          <w:tab/>
        </w:r>
        <w:r>
          <w:rPr>
            <w:noProof/>
            <w:webHidden/>
          </w:rPr>
          <w:fldChar w:fldCharType="begin"/>
        </w:r>
        <w:r>
          <w:rPr>
            <w:noProof/>
            <w:webHidden/>
          </w:rPr>
          <w:instrText xml:space="preserve"> PAGEREF _Toc230592382 \h </w:instrText>
        </w:r>
        <w:r>
          <w:rPr>
            <w:noProof/>
            <w:webHidden/>
          </w:rPr>
        </w:r>
        <w:r>
          <w:rPr>
            <w:noProof/>
            <w:webHidden/>
          </w:rPr>
          <w:fldChar w:fldCharType="separate"/>
        </w:r>
        <w:r>
          <w:rPr>
            <w:noProof/>
            <w:webHidden/>
          </w:rPr>
          <w:t>8</w:t>
        </w:r>
        <w:r>
          <w:rPr>
            <w:noProof/>
            <w:webHidden/>
          </w:rPr>
          <w:fldChar w:fldCharType="end"/>
        </w:r>
      </w:hyperlink>
    </w:p>
    <w:p w14:paraId="6650C73A" w14:textId="3165D5F0"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83" w:history="1">
        <w:r w:rsidRPr="00D0084B">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Eligibility Requirements</w:t>
        </w:r>
        <w:r>
          <w:rPr>
            <w:noProof/>
            <w:webHidden/>
          </w:rPr>
          <w:tab/>
        </w:r>
        <w:r>
          <w:rPr>
            <w:noProof/>
            <w:webHidden/>
          </w:rPr>
          <w:fldChar w:fldCharType="begin"/>
        </w:r>
        <w:r>
          <w:rPr>
            <w:noProof/>
            <w:webHidden/>
          </w:rPr>
          <w:instrText xml:space="preserve"> PAGEREF _Toc230592383 \h </w:instrText>
        </w:r>
        <w:r>
          <w:rPr>
            <w:noProof/>
            <w:webHidden/>
          </w:rPr>
        </w:r>
        <w:r>
          <w:rPr>
            <w:noProof/>
            <w:webHidden/>
          </w:rPr>
          <w:fldChar w:fldCharType="separate"/>
        </w:r>
        <w:r>
          <w:rPr>
            <w:noProof/>
            <w:webHidden/>
          </w:rPr>
          <w:t>8</w:t>
        </w:r>
        <w:r>
          <w:rPr>
            <w:noProof/>
            <w:webHidden/>
          </w:rPr>
          <w:fldChar w:fldCharType="end"/>
        </w:r>
      </w:hyperlink>
    </w:p>
    <w:p w14:paraId="43F7EDBD" w14:textId="1D838287"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4" w:history="1">
        <w:r w:rsidRPr="00D0084B">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Pre-qualification Criteria</w:t>
        </w:r>
        <w:r>
          <w:rPr>
            <w:noProof/>
            <w:webHidden/>
          </w:rPr>
          <w:tab/>
        </w:r>
        <w:r>
          <w:rPr>
            <w:noProof/>
            <w:webHidden/>
          </w:rPr>
          <w:fldChar w:fldCharType="begin"/>
        </w:r>
        <w:r>
          <w:rPr>
            <w:noProof/>
            <w:webHidden/>
          </w:rPr>
          <w:instrText xml:space="preserve"> PAGEREF _Toc230592384 \h </w:instrText>
        </w:r>
        <w:r>
          <w:rPr>
            <w:noProof/>
            <w:webHidden/>
          </w:rPr>
        </w:r>
        <w:r>
          <w:rPr>
            <w:noProof/>
            <w:webHidden/>
          </w:rPr>
          <w:fldChar w:fldCharType="separate"/>
        </w:r>
        <w:r>
          <w:rPr>
            <w:noProof/>
            <w:webHidden/>
          </w:rPr>
          <w:t>8</w:t>
        </w:r>
        <w:r>
          <w:rPr>
            <w:noProof/>
            <w:webHidden/>
          </w:rPr>
          <w:fldChar w:fldCharType="end"/>
        </w:r>
      </w:hyperlink>
    </w:p>
    <w:p w14:paraId="19683432" w14:textId="1C2776A9"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5" w:history="1">
        <w:r w:rsidRPr="00D0084B">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Preference points and Price evaluation</w:t>
        </w:r>
        <w:r>
          <w:rPr>
            <w:noProof/>
            <w:webHidden/>
          </w:rPr>
          <w:tab/>
        </w:r>
        <w:r>
          <w:rPr>
            <w:noProof/>
            <w:webHidden/>
          </w:rPr>
          <w:fldChar w:fldCharType="begin"/>
        </w:r>
        <w:r>
          <w:rPr>
            <w:noProof/>
            <w:webHidden/>
          </w:rPr>
          <w:instrText xml:space="preserve"> PAGEREF _Toc230592385 \h </w:instrText>
        </w:r>
        <w:r>
          <w:rPr>
            <w:noProof/>
            <w:webHidden/>
          </w:rPr>
        </w:r>
        <w:r>
          <w:rPr>
            <w:noProof/>
            <w:webHidden/>
          </w:rPr>
          <w:fldChar w:fldCharType="separate"/>
        </w:r>
        <w:r>
          <w:rPr>
            <w:noProof/>
            <w:webHidden/>
          </w:rPr>
          <w:t>9</w:t>
        </w:r>
        <w:r>
          <w:rPr>
            <w:noProof/>
            <w:webHidden/>
          </w:rPr>
          <w:fldChar w:fldCharType="end"/>
        </w:r>
      </w:hyperlink>
    </w:p>
    <w:p w14:paraId="4DA70F0C" w14:textId="6765E95E" w:rsidR="00E83790" w:rsidRDefault="00E8379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30592386" w:history="1">
        <w:r w:rsidRPr="00D0084B">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D0084B">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_Toc230592386 \h </w:instrText>
        </w:r>
        <w:r>
          <w:rPr>
            <w:noProof/>
            <w:webHidden/>
          </w:rPr>
        </w:r>
        <w:r>
          <w:rPr>
            <w:noProof/>
            <w:webHidden/>
          </w:rPr>
          <w:fldChar w:fldCharType="separate"/>
        </w:r>
        <w:r>
          <w:rPr>
            <w:noProof/>
            <w:webHidden/>
          </w:rPr>
          <w:t>9</w:t>
        </w:r>
        <w:r>
          <w:rPr>
            <w:noProof/>
            <w:webHidden/>
          </w:rPr>
          <w:fldChar w:fldCharType="end"/>
        </w:r>
      </w:hyperlink>
    </w:p>
    <w:p w14:paraId="1CF911A2" w14:textId="38672999"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87" w:history="1">
        <w:r w:rsidRPr="00D0084B">
          <w:rPr>
            <w:rStyle w:val="Hyperlink"/>
            <w:noProof/>
          </w:rPr>
          <w:t>SECTION 3</w:t>
        </w:r>
        <w:r>
          <w:rPr>
            <w:noProof/>
            <w:webHidden/>
          </w:rPr>
          <w:tab/>
        </w:r>
        <w:r>
          <w:rPr>
            <w:noProof/>
            <w:webHidden/>
          </w:rPr>
          <w:fldChar w:fldCharType="begin"/>
        </w:r>
        <w:r>
          <w:rPr>
            <w:noProof/>
            <w:webHidden/>
          </w:rPr>
          <w:instrText xml:space="preserve"> PAGEREF _Toc230592387 \h </w:instrText>
        </w:r>
        <w:r>
          <w:rPr>
            <w:noProof/>
            <w:webHidden/>
          </w:rPr>
        </w:r>
        <w:r>
          <w:rPr>
            <w:noProof/>
            <w:webHidden/>
          </w:rPr>
          <w:fldChar w:fldCharType="separate"/>
        </w:r>
        <w:r>
          <w:rPr>
            <w:noProof/>
            <w:webHidden/>
          </w:rPr>
          <w:t>10</w:t>
        </w:r>
        <w:r>
          <w:rPr>
            <w:noProof/>
            <w:webHidden/>
          </w:rPr>
          <w:fldChar w:fldCharType="end"/>
        </w:r>
      </w:hyperlink>
    </w:p>
    <w:p w14:paraId="1A263844" w14:textId="4E580F03"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88" w:history="1">
        <w:r w:rsidRPr="00D0084B">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Returnable documents Checklist</w:t>
        </w:r>
        <w:r>
          <w:rPr>
            <w:noProof/>
            <w:webHidden/>
          </w:rPr>
          <w:tab/>
        </w:r>
        <w:r>
          <w:rPr>
            <w:noProof/>
            <w:webHidden/>
          </w:rPr>
          <w:fldChar w:fldCharType="begin"/>
        </w:r>
        <w:r>
          <w:rPr>
            <w:noProof/>
            <w:webHidden/>
          </w:rPr>
          <w:instrText xml:space="preserve"> PAGEREF _Toc230592388 \h </w:instrText>
        </w:r>
        <w:r>
          <w:rPr>
            <w:noProof/>
            <w:webHidden/>
          </w:rPr>
        </w:r>
        <w:r>
          <w:rPr>
            <w:noProof/>
            <w:webHidden/>
          </w:rPr>
          <w:fldChar w:fldCharType="separate"/>
        </w:r>
        <w:r>
          <w:rPr>
            <w:noProof/>
            <w:webHidden/>
          </w:rPr>
          <w:t>10</w:t>
        </w:r>
        <w:r>
          <w:rPr>
            <w:noProof/>
            <w:webHidden/>
          </w:rPr>
          <w:fldChar w:fldCharType="end"/>
        </w:r>
      </w:hyperlink>
    </w:p>
    <w:p w14:paraId="474935F6" w14:textId="1FAC1D53" w:rsidR="00E83790" w:rsidRDefault="00E8379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30592389" w:history="1">
        <w:r w:rsidRPr="00D0084B">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D0084B">
          <w:rPr>
            <w:rStyle w:val="Hyperlink"/>
            <w:noProof/>
          </w:rPr>
          <w:t>Bidder Information</w:t>
        </w:r>
        <w:r>
          <w:rPr>
            <w:noProof/>
            <w:webHidden/>
          </w:rPr>
          <w:tab/>
        </w:r>
        <w:r>
          <w:rPr>
            <w:noProof/>
            <w:webHidden/>
          </w:rPr>
          <w:fldChar w:fldCharType="begin"/>
        </w:r>
        <w:r>
          <w:rPr>
            <w:noProof/>
            <w:webHidden/>
          </w:rPr>
          <w:instrText xml:space="preserve"> PAGEREF _Toc230592389 \h </w:instrText>
        </w:r>
        <w:r>
          <w:rPr>
            <w:noProof/>
            <w:webHidden/>
          </w:rPr>
        </w:r>
        <w:r>
          <w:rPr>
            <w:noProof/>
            <w:webHidden/>
          </w:rPr>
          <w:fldChar w:fldCharType="separate"/>
        </w:r>
        <w:r>
          <w:rPr>
            <w:noProof/>
            <w:webHidden/>
          </w:rPr>
          <w:t>11</w:t>
        </w:r>
        <w:r>
          <w:rPr>
            <w:noProof/>
            <w:webHidden/>
          </w:rPr>
          <w:fldChar w:fldCharType="end"/>
        </w:r>
      </w:hyperlink>
    </w:p>
    <w:p w14:paraId="5EA7ED1E" w14:textId="43CD4E16"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0" w:history="1">
        <w:r w:rsidRPr="00D0084B">
          <w:rPr>
            <w:rStyle w:val="Hyperlink"/>
            <w:noProof/>
          </w:rPr>
          <w:t>Scope and Roles</w:t>
        </w:r>
        <w:r>
          <w:rPr>
            <w:noProof/>
            <w:webHidden/>
          </w:rPr>
          <w:tab/>
        </w:r>
        <w:r>
          <w:rPr>
            <w:noProof/>
            <w:webHidden/>
          </w:rPr>
          <w:fldChar w:fldCharType="begin"/>
        </w:r>
        <w:r>
          <w:rPr>
            <w:noProof/>
            <w:webHidden/>
          </w:rPr>
          <w:instrText xml:space="preserve"> PAGEREF _Toc230592390 \h </w:instrText>
        </w:r>
        <w:r>
          <w:rPr>
            <w:noProof/>
            <w:webHidden/>
          </w:rPr>
        </w:r>
        <w:r>
          <w:rPr>
            <w:noProof/>
            <w:webHidden/>
          </w:rPr>
          <w:fldChar w:fldCharType="separate"/>
        </w:r>
        <w:r>
          <w:rPr>
            <w:noProof/>
            <w:webHidden/>
          </w:rPr>
          <w:t>15</w:t>
        </w:r>
        <w:r>
          <w:rPr>
            <w:noProof/>
            <w:webHidden/>
          </w:rPr>
          <w:fldChar w:fldCharType="end"/>
        </w:r>
      </w:hyperlink>
    </w:p>
    <w:p w14:paraId="6B406E10" w14:textId="58501508"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1" w:history="1">
        <w:r w:rsidRPr="00D0084B">
          <w:rPr>
            <w:rStyle w:val="Hyperlink"/>
            <w:noProof/>
          </w:rPr>
          <w:t>Definitions</w:t>
        </w:r>
        <w:r>
          <w:rPr>
            <w:noProof/>
            <w:webHidden/>
          </w:rPr>
          <w:tab/>
        </w:r>
        <w:r>
          <w:rPr>
            <w:noProof/>
            <w:webHidden/>
          </w:rPr>
          <w:fldChar w:fldCharType="begin"/>
        </w:r>
        <w:r>
          <w:rPr>
            <w:noProof/>
            <w:webHidden/>
          </w:rPr>
          <w:instrText xml:space="preserve"> PAGEREF _Toc230592391 \h </w:instrText>
        </w:r>
        <w:r>
          <w:rPr>
            <w:noProof/>
            <w:webHidden/>
          </w:rPr>
        </w:r>
        <w:r>
          <w:rPr>
            <w:noProof/>
            <w:webHidden/>
          </w:rPr>
          <w:fldChar w:fldCharType="separate"/>
        </w:r>
        <w:r>
          <w:rPr>
            <w:noProof/>
            <w:webHidden/>
          </w:rPr>
          <w:t>15</w:t>
        </w:r>
        <w:r>
          <w:rPr>
            <w:noProof/>
            <w:webHidden/>
          </w:rPr>
          <w:fldChar w:fldCharType="end"/>
        </w:r>
      </w:hyperlink>
    </w:p>
    <w:p w14:paraId="21CB57AC" w14:textId="25A9D2DB"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2" w:history="1">
        <w:r w:rsidRPr="00D0084B">
          <w:rPr>
            <w:rStyle w:val="Hyperlink"/>
            <w:noProof/>
          </w:rPr>
          <w:t>The Processing</w:t>
        </w:r>
        <w:r>
          <w:rPr>
            <w:noProof/>
            <w:webHidden/>
          </w:rPr>
          <w:tab/>
        </w:r>
        <w:r>
          <w:rPr>
            <w:noProof/>
            <w:webHidden/>
          </w:rPr>
          <w:fldChar w:fldCharType="begin"/>
        </w:r>
        <w:r>
          <w:rPr>
            <w:noProof/>
            <w:webHidden/>
          </w:rPr>
          <w:instrText xml:space="preserve"> PAGEREF _Toc230592392 \h </w:instrText>
        </w:r>
        <w:r>
          <w:rPr>
            <w:noProof/>
            <w:webHidden/>
          </w:rPr>
        </w:r>
        <w:r>
          <w:rPr>
            <w:noProof/>
            <w:webHidden/>
          </w:rPr>
          <w:fldChar w:fldCharType="separate"/>
        </w:r>
        <w:r>
          <w:rPr>
            <w:noProof/>
            <w:webHidden/>
          </w:rPr>
          <w:t>16</w:t>
        </w:r>
        <w:r>
          <w:rPr>
            <w:noProof/>
            <w:webHidden/>
          </w:rPr>
          <w:fldChar w:fldCharType="end"/>
        </w:r>
      </w:hyperlink>
    </w:p>
    <w:p w14:paraId="10EF1EB4" w14:textId="5E648A8A"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3" w:history="1">
        <w:r w:rsidRPr="00D0084B">
          <w:rPr>
            <w:rStyle w:val="Hyperlink"/>
            <w:noProof/>
          </w:rPr>
          <w:t>Rights of data subjects</w:t>
        </w:r>
        <w:r>
          <w:rPr>
            <w:noProof/>
            <w:webHidden/>
          </w:rPr>
          <w:tab/>
        </w:r>
        <w:r>
          <w:rPr>
            <w:noProof/>
            <w:webHidden/>
          </w:rPr>
          <w:fldChar w:fldCharType="begin"/>
        </w:r>
        <w:r>
          <w:rPr>
            <w:noProof/>
            <w:webHidden/>
          </w:rPr>
          <w:instrText xml:space="preserve"> PAGEREF _Toc230592393 \h </w:instrText>
        </w:r>
        <w:r>
          <w:rPr>
            <w:noProof/>
            <w:webHidden/>
          </w:rPr>
        </w:r>
        <w:r>
          <w:rPr>
            <w:noProof/>
            <w:webHidden/>
          </w:rPr>
          <w:fldChar w:fldCharType="separate"/>
        </w:r>
        <w:r>
          <w:rPr>
            <w:noProof/>
            <w:webHidden/>
          </w:rPr>
          <w:t>16</w:t>
        </w:r>
        <w:r>
          <w:rPr>
            <w:noProof/>
            <w:webHidden/>
          </w:rPr>
          <w:fldChar w:fldCharType="end"/>
        </w:r>
      </w:hyperlink>
    </w:p>
    <w:p w14:paraId="4079A23A" w14:textId="42444D31"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4" w:history="1">
        <w:r w:rsidRPr="00D0084B">
          <w:rPr>
            <w:rStyle w:val="Hyperlink"/>
            <w:noProof/>
          </w:rPr>
          <w:t>Obligations and rights of the Responsible Party</w:t>
        </w:r>
        <w:r>
          <w:rPr>
            <w:noProof/>
            <w:webHidden/>
          </w:rPr>
          <w:tab/>
        </w:r>
        <w:r>
          <w:rPr>
            <w:noProof/>
            <w:webHidden/>
          </w:rPr>
          <w:fldChar w:fldCharType="begin"/>
        </w:r>
        <w:r>
          <w:rPr>
            <w:noProof/>
            <w:webHidden/>
          </w:rPr>
          <w:instrText xml:space="preserve"> PAGEREF _Toc230592394 \h </w:instrText>
        </w:r>
        <w:r>
          <w:rPr>
            <w:noProof/>
            <w:webHidden/>
          </w:rPr>
        </w:r>
        <w:r>
          <w:rPr>
            <w:noProof/>
            <w:webHidden/>
          </w:rPr>
          <w:fldChar w:fldCharType="separate"/>
        </w:r>
        <w:r>
          <w:rPr>
            <w:noProof/>
            <w:webHidden/>
          </w:rPr>
          <w:t>17</w:t>
        </w:r>
        <w:r>
          <w:rPr>
            <w:noProof/>
            <w:webHidden/>
          </w:rPr>
          <w:fldChar w:fldCharType="end"/>
        </w:r>
      </w:hyperlink>
    </w:p>
    <w:p w14:paraId="155165D0" w14:textId="5771704D"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5" w:history="1">
        <w:r w:rsidRPr="00D0084B">
          <w:rPr>
            <w:rStyle w:val="Hyperlink"/>
            <w:noProof/>
          </w:rPr>
          <w:t>Obligations of the Operator</w:t>
        </w:r>
        <w:r>
          <w:rPr>
            <w:noProof/>
            <w:webHidden/>
          </w:rPr>
          <w:tab/>
        </w:r>
        <w:r>
          <w:rPr>
            <w:noProof/>
            <w:webHidden/>
          </w:rPr>
          <w:fldChar w:fldCharType="begin"/>
        </w:r>
        <w:r>
          <w:rPr>
            <w:noProof/>
            <w:webHidden/>
          </w:rPr>
          <w:instrText xml:space="preserve"> PAGEREF _Toc230592395 \h </w:instrText>
        </w:r>
        <w:r>
          <w:rPr>
            <w:noProof/>
            <w:webHidden/>
          </w:rPr>
        </w:r>
        <w:r>
          <w:rPr>
            <w:noProof/>
            <w:webHidden/>
          </w:rPr>
          <w:fldChar w:fldCharType="separate"/>
        </w:r>
        <w:r>
          <w:rPr>
            <w:noProof/>
            <w:webHidden/>
          </w:rPr>
          <w:t>17</w:t>
        </w:r>
        <w:r>
          <w:rPr>
            <w:noProof/>
            <w:webHidden/>
          </w:rPr>
          <w:fldChar w:fldCharType="end"/>
        </w:r>
      </w:hyperlink>
    </w:p>
    <w:p w14:paraId="6EBB8EC3" w14:textId="0C66429D"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6" w:history="1">
        <w:r w:rsidRPr="00D0084B">
          <w:rPr>
            <w:rStyle w:val="Hyperlink"/>
            <w:noProof/>
          </w:rPr>
          <w:t>Duration and Applicable Law</w:t>
        </w:r>
        <w:r>
          <w:rPr>
            <w:noProof/>
            <w:webHidden/>
          </w:rPr>
          <w:tab/>
        </w:r>
        <w:r>
          <w:rPr>
            <w:noProof/>
            <w:webHidden/>
          </w:rPr>
          <w:fldChar w:fldCharType="begin"/>
        </w:r>
        <w:r>
          <w:rPr>
            <w:noProof/>
            <w:webHidden/>
          </w:rPr>
          <w:instrText xml:space="preserve"> PAGEREF _Toc230592396 \h </w:instrText>
        </w:r>
        <w:r>
          <w:rPr>
            <w:noProof/>
            <w:webHidden/>
          </w:rPr>
        </w:r>
        <w:r>
          <w:rPr>
            <w:noProof/>
            <w:webHidden/>
          </w:rPr>
          <w:fldChar w:fldCharType="separate"/>
        </w:r>
        <w:r>
          <w:rPr>
            <w:noProof/>
            <w:webHidden/>
          </w:rPr>
          <w:t>18</w:t>
        </w:r>
        <w:r>
          <w:rPr>
            <w:noProof/>
            <w:webHidden/>
          </w:rPr>
          <w:fldChar w:fldCharType="end"/>
        </w:r>
      </w:hyperlink>
    </w:p>
    <w:p w14:paraId="2C60C381" w14:textId="513F9362" w:rsidR="00E83790" w:rsidRDefault="00E8379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30592397" w:history="1">
        <w:r w:rsidRPr="00D0084B">
          <w:rPr>
            <w:rStyle w:val="Hyperlink"/>
            <w:noProof/>
          </w:rPr>
          <w:t>Signatures</w:t>
        </w:r>
        <w:r>
          <w:rPr>
            <w:noProof/>
            <w:webHidden/>
          </w:rPr>
          <w:tab/>
        </w:r>
        <w:r>
          <w:rPr>
            <w:noProof/>
            <w:webHidden/>
          </w:rPr>
          <w:fldChar w:fldCharType="begin"/>
        </w:r>
        <w:r>
          <w:rPr>
            <w:noProof/>
            <w:webHidden/>
          </w:rPr>
          <w:instrText xml:space="preserve"> PAGEREF _Toc230592397 \h </w:instrText>
        </w:r>
        <w:r>
          <w:rPr>
            <w:noProof/>
            <w:webHidden/>
          </w:rPr>
        </w:r>
        <w:r>
          <w:rPr>
            <w:noProof/>
            <w:webHidden/>
          </w:rPr>
          <w:fldChar w:fldCharType="separate"/>
        </w:r>
        <w:r>
          <w:rPr>
            <w:noProof/>
            <w:webHidden/>
          </w:rPr>
          <w:t>18</w:t>
        </w:r>
        <w:r>
          <w:rPr>
            <w:noProof/>
            <w:webHidden/>
          </w:rPr>
          <w:fldChar w:fldCharType="end"/>
        </w:r>
      </w:hyperlink>
    </w:p>
    <w:p w14:paraId="4187A4C1" w14:textId="1738FEA9" w:rsidR="009F2F70" w:rsidRDefault="00550A62">
      <w:pPr>
        <w:widowControl/>
        <w:spacing w:before="0" w:after="200"/>
        <w:outlineLvl w:val="9"/>
      </w:pPr>
      <w:r>
        <w:rPr>
          <w:rFonts w:ascii="Arial Bold" w:hAnsi="Arial Bold"/>
          <w:sz w:val="28"/>
        </w:rPr>
        <w:fldChar w:fldCharType="end"/>
      </w:r>
    </w:p>
    <w:p w14:paraId="0BC85336" w14:textId="77777777" w:rsidR="00D6488C" w:rsidRDefault="00D6488C" w:rsidP="00D6488C">
      <w:pPr>
        <w:pStyle w:val="Index1"/>
      </w:pPr>
      <w:bookmarkStart w:id="0" w:name="_Toc230592358"/>
      <w:bookmarkEnd w:id="0"/>
    </w:p>
    <w:p w14:paraId="1F2D02F4" w14:textId="77777777" w:rsidR="00484FDB" w:rsidRPr="00FB1E06" w:rsidRDefault="00484FDB" w:rsidP="005E71C3">
      <w:pPr>
        <w:pStyle w:val="Index2"/>
      </w:pPr>
      <w:bookmarkStart w:id="1" w:name="_Toc230592359"/>
      <w:r w:rsidRPr="00FB1E06">
        <w:t>Introduction</w:t>
      </w:r>
      <w:bookmarkEnd w:id="1"/>
    </w:p>
    <w:p w14:paraId="1CD7174B" w14:textId="77777777" w:rsidR="009D79A3" w:rsidRPr="00FB1E06" w:rsidRDefault="009D79A3" w:rsidP="00983E61">
      <w:pPr>
        <w:pStyle w:val="Index3"/>
      </w:pPr>
      <w:bookmarkStart w:id="2" w:name="_Toc230592360"/>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230592361"/>
      <w:r w:rsidRPr="00A5183C">
        <w:t>Scope of Work</w:t>
      </w:r>
      <w:bookmarkEnd w:id="3"/>
    </w:p>
    <w:p w14:paraId="7F7FBBE2" w14:textId="77777777" w:rsidR="008536F0" w:rsidRDefault="008536F0" w:rsidP="008536F0">
      <w:pPr>
        <w:pStyle w:val="1Paragraph"/>
        <w:ind w:left="0"/>
      </w:pPr>
    </w:p>
    <w:p w14:paraId="4B24E503" w14:textId="79BB38A7" w:rsidR="00E83790" w:rsidRDefault="00E83790" w:rsidP="00E83790">
      <w:pPr>
        <w:pStyle w:val="Index3"/>
        <w:numPr>
          <w:ilvl w:val="0"/>
          <w:numId w:val="0"/>
        </w:numPr>
        <w:ind w:left="851"/>
      </w:pPr>
      <w:bookmarkStart w:id="4" w:name="_Toc230592362"/>
      <w:bookmarkStart w:id="5" w:name="_Toc116629000"/>
      <w:r>
        <w:t xml:space="preserve">NECSA is seeking to appoint a panel of supplier/s to supply consumable for smelter plant </w:t>
      </w:r>
      <w:r w:rsidR="00B53D42">
        <w:t xml:space="preserve">on an </w:t>
      </w:r>
      <w:r>
        <w:t>as and when required</w:t>
      </w:r>
      <w:r w:rsidR="00B53D42">
        <w:t xml:space="preserve"> basis</w:t>
      </w:r>
      <w:r>
        <w:t xml:space="preserve"> for a period of 36 months.</w:t>
      </w:r>
      <w:bookmarkEnd w:id="4"/>
    </w:p>
    <w:p w14:paraId="61727336" w14:textId="77777777" w:rsidR="00E83790" w:rsidRDefault="00E83790" w:rsidP="00E83790">
      <w:pPr>
        <w:pStyle w:val="Index3"/>
        <w:numPr>
          <w:ilvl w:val="0"/>
          <w:numId w:val="0"/>
        </w:numPr>
        <w:ind w:left="851"/>
      </w:pPr>
    </w:p>
    <w:p w14:paraId="7EBAD79F" w14:textId="77777777" w:rsidR="00E83790" w:rsidRDefault="00E83790" w:rsidP="00E83790">
      <w:pPr>
        <w:pStyle w:val="Index3"/>
        <w:numPr>
          <w:ilvl w:val="0"/>
          <w:numId w:val="0"/>
        </w:numPr>
        <w:ind w:left="851" w:hanging="851"/>
      </w:pPr>
      <w:bookmarkStart w:id="6" w:name="_Toc230592363"/>
      <w:r>
        <w:t>The specification is in the attached annexure A.</w:t>
      </w:r>
      <w:bookmarkEnd w:id="6"/>
    </w:p>
    <w:p w14:paraId="60EEFC60" w14:textId="77777777" w:rsidR="00E83790" w:rsidRDefault="00E83790" w:rsidP="00E83790">
      <w:pPr>
        <w:pStyle w:val="Index3"/>
        <w:numPr>
          <w:ilvl w:val="0"/>
          <w:numId w:val="0"/>
        </w:numPr>
        <w:ind w:left="851"/>
      </w:pPr>
      <w:r>
        <w:t xml:space="preserve"> </w:t>
      </w:r>
    </w:p>
    <w:p w14:paraId="4B54D467" w14:textId="68F0CB3D" w:rsidR="00E83790" w:rsidRDefault="00E83790" w:rsidP="00E83790">
      <w:pPr>
        <w:pStyle w:val="Index3"/>
        <w:numPr>
          <w:ilvl w:val="0"/>
          <w:numId w:val="0"/>
        </w:numPr>
        <w:ind w:left="851"/>
      </w:pPr>
      <w:bookmarkStart w:id="7" w:name="_Toc230592364"/>
      <w:r>
        <w:t>The Bill of Materials/RFQ (Annexure A) includes the specifications of the material regularly used by the smelter.</w:t>
      </w:r>
      <w:bookmarkEnd w:id="7"/>
    </w:p>
    <w:p w14:paraId="106551FB" w14:textId="77777777" w:rsidR="00E83790" w:rsidRDefault="00E83790" w:rsidP="00E83790">
      <w:pPr>
        <w:pStyle w:val="Index3"/>
        <w:numPr>
          <w:ilvl w:val="0"/>
          <w:numId w:val="0"/>
        </w:numPr>
        <w:ind w:left="851"/>
      </w:pPr>
    </w:p>
    <w:p w14:paraId="2F9423AD" w14:textId="2A18ADAA" w:rsidR="008C0230" w:rsidRPr="00E10392" w:rsidRDefault="00E83790" w:rsidP="00E83790">
      <w:pPr>
        <w:pStyle w:val="Index3"/>
        <w:numPr>
          <w:ilvl w:val="0"/>
          <w:numId w:val="0"/>
        </w:numPr>
        <w:ind w:left="851"/>
        <w:rPr>
          <w:lang w:val="en-US"/>
        </w:rPr>
      </w:pPr>
      <w:bookmarkStart w:id="8" w:name="_Toc230592365"/>
      <w:r>
        <w:t xml:space="preserve">Consumables shall, as and when required by </w:t>
      </w:r>
      <w:proofErr w:type="spellStart"/>
      <w:r>
        <w:t>Necsa</w:t>
      </w:r>
      <w:proofErr w:type="spellEnd"/>
      <w:r>
        <w:t>, be requested from the service provider</w:t>
      </w:r>
      <w:r w:rsidR="00B53D42">
        <w:t>s in the panel</w:t>
      </w:r>
      <w:r>
        <w:t xml:space="preserve"> through request for quotations (RFQ).  The RFQs shall be sent to </w:t>
      </w:r>
      <w:r>
        <w:lastRenderedPageBreak/>
        <w:t>relevant suppliers sitting in the panel for a particular category.</w:t>
      </w:r>
      <w:bookmarkEnd w:id="5"/>
      <w:bookmarkEnd w:id="8"/>
      <w:r w:rsidR="00FC1FD1">
        <w:t xml:space="preserve"> How will these RFQs be evaluated</w:t>
      </w:r>
      <w:r w:rsidR="005D0E12">
        <w:t xml:space="preserve"> on price and specific goals stated on paragraph 5.3.2.</w:t>
      </w:r>
    </w:p>
    <w:p w14:paraId="711B6C19" w14:textId="77777777" w:rsidR="00232BB0" w:rsidRPr="00232BB0" w:rsidRDefault="00232BB0" w:rsidP="00232BB0">
      <w:pPr>
        <w:ind w:left="720"/>
      </w:pPr>
    </w:p>
    <w:p w14:paraId="01DE1F4E" w14:textId="77777777" w:rsidR="009D79A3" w:rsidRDefault="00213098" w:rsidP="00983E61">
      <w:pPr>
        <w:pStyle w:val="Index3"/>
      </w:pPr>
      <w:bookmarkStart w:id="9" w:name="_Toc230592366"/>
      <w:r>
        <w:t xml:space="preserve">Applicable </w:t>
      </w:r>
      <w:proofErr w:type="spellStart"/>
      <w:r>
        <w:t>Necsa</w:t>
      </w:r>
      <w:proofErr w:type="spellEnd"/>
      <w:r>
        <w:t xml:space="preserve"> Policies</w:t>
      </w:r>
      <w:bookmarkEnd w:id="9"/>
    </w:p>
    <w:p w14:paraId="4163AD8E" w14:textId="77777777" w:rsidR="00213098" w:rsidRDefault="006B719C" w:rsidP="00474489">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10"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10"/>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11" w:name="_Toc230592367"/>
      <w:r w:rsidRPr="005B1AF4">
        <w:t>Applicable Necsa Procedures</w:t>
      </w:r>
      <w:bookmarkEnd w:id="11"/>
    </w:p>
    <w:p w14:paraId="6D720269" w14:textId="77777777" w:rsidR="006B719C" w:rsidRPr="00A0106E" w:rsidRDefault="006B719C" w:rsidP="00983E61">
      <w:pPr>
        <w:pStyle w:val="Index3"/>
      </w:pPr>
      <w:bookmarkStart w:id="12" w:name="_Toc230592368"/>
      <w:r w:rsidRPr="00A0106E">
        <w:t xml:space="preserve">Requirements to Access </w:t>
      </w:r>
      <w:proofErr w:type="spellStart"/>
      <w:r w:rsidRPr="00A0106E">
        <w:t>Necsa</w:t>
      </w:r>
      <w:proofErr w:type="spellEnd"/>
      <w:r w:rsidRPr="00A0106E">
        <w:t xml:space="preserve"> Site</w:t>
      </w:r>
      <w:bookmarkEnd w:id="12"/>
    </w:p>
    <w:p w14:paraId="49D36B08" w14:textId="77777777" w:rsidR="00AE1249" w:rsidRPr="00A0106E" w:rsidRDefault="00AE1249" w:rsidP="00474489">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474489">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983E61">
      <w:pPr>
        <w:pStyle w:val="Index3"/>
      </w:pPr>
      <w:bookmarkStart w:id="13" w:name="_Toc230592369"/>
      <w:r w:rsidRPr="00A0106E">
        <w:t>Emergencies, Incidents, Accidents</w:t>
      </w:r>
      <w:bookmarkEnd w:id="13"/>
    </w:p>
    <w:p w14:paraId="3E95F933" w14:textId="77777777" w:rsidR="00931917" w:rsidRPr="00A0106E" w:rsidRDefault="00931917" w:rsidP="00983E61">
      <w:pPr>
        <w:pStyle w:val="Index3"/>
      </w:pPr>
      <w:bookmarkStart w:id="14" w:name="_Toc230592370"/>
      <w:proofErr w:type="spellStart"/>
      <w:r w:rsidRPr="00A0106E">
        <w:lastRenderedPageBreak/>
        <w:t>Necsa</w:t>
      </w:r>
      <w:proofErr w:type="spellEnd"/>
      <w:r w:rsidRPr="00A0106E">
        <w:t xml:space="preserve"> Health, Safety and Environmental Requirements</w:t>
      </w:r>
      <w:bookmarkEnd w:id="14"/>
    </w:p>
    <w:p w14:paraId="1A85E8F4" w14:textId="5F2D5868"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983E61">
      <w:pPr>
        <w:pStyle w:val="Index3"/>
      </w:pPr>
      <w:bookmarkStart w:id="15" w:name="_Toc230592371"/>
      <w:proofErr w:type="spellStart"/>
      <w:r w:rsidRPr="00A0106E">
        <w:t>Necsa</w:t>
      </w:r>
      <w:proofErr w:type="spellEnd"/>
      <w:r w:rsidRPr="00A0106E">
        <w:t xml:space="preserve"> Requirements for Quality</w:t>
      </w:r>
      <w:bookmarkEnd w:id="15"/>
    </w:p>
    <w:p w14:paraId="169388E1" w14:textId="1003D994"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983E61">
      <w:pPr>
        <w:pStyle w:val="Index3"/>
      </w:pPr>
      <w:bookmarkStart w:id="16" w:name="_Toc230592372"/>
      <w:proofErr w:type="spellStart"/>
      <w:r>
        <w:t>Necsa</w:t>
      </w:r>
      <w:proofErr w:type="spellEnd"/>
      <w:r>
        <w:t xml:space="preserve"> Requirements for Project SHEQ</w:t>
      </w:r>
      <w:bookmarkEnd w:id="16"/>
    </w:p>
    <w:p w14:paraId="7E05E025" w14:textId="77777777" w:rsidR="00544FC3" w:rsidRPr="00544FC3" w:rsidRDefault="00544FC3" w:rsidP="00474489">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983E61">
      <w:pPr>
        <w:pStyle w:val="Index3"/>
      </w:pPr>
      <w:bookmarkStart w:id="17" w:name="_Toc230592373"/>
      <w:r>
        <w:t>Confidentiality</w:t>
      </w:r>
      <w:bookmarkEnd w:id="17"/>
    </w:p>
    <w:p w14:paraId="1C35D708" w14:textId="77777777" w:rsidR="00554C52" w:rsidRDefault="00554C52" w:rsidP="00474489">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474489">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474489">
      <w:pPr>
        <w:pStyle w:val="Index4"/>
        <w:numPr>
          <w:ilvl w:val="0"/>
          <w:numId w:val="0"/>
        </w:numPr>
        <w:ind w:left="851"/>
      </w:pPr>
    </w:p>
    <w:p w14:paraId="6FE863C6" w14:textId="77777777" w:rsidR="009171F1" w:rsidRDefault="009171F1" w:rsidP="00D6488C">
      <w:pPr>
        <w:pStyle w:val="Index1"/>
      </w:pPr>
      <w:bookmarkStart w:id="18" w:name="_Toc230592374"/>
      <w:bookmarkEnd w:id="18"/>
    </w:p>
    <w:p w14:paraId="414896C5" w14:textId="77777777" w:rsidR="00D6488C" w:rsidRPr="005E71C3" w:rsidRDefault="00D6488C" w:rsidP="005E71C3">
      <w:pPr>
        <w:pStyle w:val="Index2"/>
        <w:numPr>
          <w:ilvl w:val="1"/>
          <w:numId w:val="12"/>
        </w:numPr>
        <w:rPr>
          <w:lang w:val="en-ZA"/>
        </w:rPr>
      </w:pPr>
      <w:bookmarkStart w:id="19" w:name="_Toc230592375"/>
      <w:r w:rsidRPr="005E71C3">
        <w:rPr>
          <w:lang w:val="en-ZA"/>
        </w:rPr>
        <w:t>Instruction to Bidders</w:t>
      </w:r>
      <w:bookmarkEnd w:id="19"/>
    </w:p>
    <w:p w14:paraId="18CCD684" w14:textId="77777777" w:rsidR="00A42E16" w:rsidRPr="00A42E16" w:rsidRDefault="00A42E16" w:rsidP="00983E61">
      <w:pPr>
        <w:pStyle w:val="Index3"/>
      </w:pPr>
      <w:bookmarkStart w:id="20" w:name="_Toc230592376"/>
      <w:r w:rsidRPr="00A42E16">
        <w:t>General</w:t>
      </w:r>
      <w:bookmarkEnd w:id="20"/>
    </w:p>
    <w:p w14:paraId="054E3C5B"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983E61">
      <w:pPr>
        <w:pStyle w:val="Index3"/>
      </w:pPr>
      <w:bookmarkStart w:id="21" w:name="_Toc230592377"/>
      <w:r>
        <w:t>Bidder Information</w:t>
      </w:r>
      <w:bookmarkEnd w:id="21"/>
    </w:p>
    <w:p w14:paraId="0C71FBFB" w14:textId="3F01DD0B"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474489">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474489">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w:t>
      </w:r>
      <w:r w:rsidRPr="00CF6AC3">
        <w:lastRenderedPageBreak/>
        <w:t>and safely.</w:t>
      </w:r>
    </w:p>
    <w:p w14:paraId="6CA53C15"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474489">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43CB3177" w14:textId="57226E14" w:rsidR="00983E61" w:rsidRDefault="00983E61" w:rsidP="00474489">
      <w:pPr>
        <w:pStyle w:val="Index4"/>
      </w:pPr>
      <w:r>
        <w:t xml:space="preserve">The winning bidder will be subjected to reliability check conducted by </w:t>
      </w:r>
      <w:proofErr w:type="spellStart"/>
      <w:r>
        <w:t>Necsa</w:t>
      </w:r>
      <w:proofErr w:type="spellEnd"/>
      <w:r>
        <w:t xml:space="preserve"> and SSA</w:t>
      </w:r>
    </w:p>
    <w:p w14:paraId="6190CC94" w14:textId="77777777" w:rsidR="00DA39DC" w:rsidRDefault="00DA39DC" w:rsidP="00983E61">
      <w:pPr>
        <w:pStyle w:val="Index3"/>
      </w:pPr>
      <w:bookmarkStart w:id="22" w:name="_Toc230592378"/>
      <w:r>
        <w:t>Consortium</w:t>
      </w:r>
      <w:bookmarkEnd w:id="22"/>
    </w:p>
    <w:p w14:paraId="0B053D4F"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983E61">
      <w:pPr>
        <w:pStyle w:val="Index3"/>
      </w:pPr>
      <w:bookmarkStart w:id="23" w:name="_Toc230592379"/>
      <w:r>
        <w:t>Sub-contracting</w:t>
      </w:r>
      <w:bookmarkEnd w:id="23"/>
    </w:p>
    <w:p w14:paraId="7CABD58E" w14:textId="77777777" w:rsidR="00DA39DC" w:rsidRPr="004D17C6" w:rsidRDefault="00DA39DC" w:rsidP="00474489">
      <w:pPr>
        <w:pStyle w:val="Index4"/>
      </w:pPr>
      <w:r w:rsidRPr="004D17C6">
        <w:t>Bidders must detail any work to be sub-contracted, and the proposed sub-contractor(s) to be used.</w:t>
      </w:r>
    </w:p>
    <w:p w14:paraId="672CB66C" w14:textId="77777777" w:rsidR="00DA39DC" w:rsidRPr="004D17C6" w:rsidRDefault="00DA39DC" w:rsidP="00474489">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474489">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Pr="00603D56" w:rsidRDefault="00F80D24" w:rsidP="00983E61">
      <w:pPr>
        <w:pStyle w:val="Index3"/>
      </w:pPr>
      <w:bookmarkStart w:id="24" w:name="_Toc230592380"/>
      <w:proofErr w:type="spellStart"/>
      <w:r w:rsidRPr="00603D56">
        <w:t>Necsa’s</w:t>
      </w:r>
      <w:proofErr w:type="spellEnd"/>
      <w:r w:rsidRPr="00603D56">
        <w:t xml:space="preserve"> Bidding </w:t>
      </w:r>
      <w:r w:rsidR="003B5673" w:rsidRPr="00603D56">
        <w:t>Rights</w:t>
      </w:r>
      <w:bookmarkEnd w:id="24"/>
    </w:p>
    <w:p w14:paraId="1C8270F9" w14:textId="77777777" w:rsidR="00BF4F02" w:rsidRPr="00BF4F02" w:rsidRDefault="00BF4F02" w:rsidP="00BF4F02">
      <w:pPr>
        <w:pStyle w:val="1Paragraph"/>
      </w:pPr>
    </w:p>
    <w:p w14:paraId="1AEFC658" w14:textId="77777777" w:rsidR="00F80D24" w:rsidRDefault="00F80D24" w:rsidP="00474489">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0E453E2" w:rsidR="00BF4F02" w:rsidRPr="00736ED3" w:rsidRDefault="00603D56" w:rsidP="00BF4F02">
      <w:pPr>
        <w:pStyle w:val="Index5"/>
        <w:rPr>
          <w:lang w:val="en-ZA"/>
        </w:rPr>
      </w:pPr>
      <w:r>
        <w:t>A</w:t>
      </w:r>
      <w:r w:rsidR="00BF4F02">
        <w:t>ward the bid in part or in full</w:t>
      </w:r>
    </w:p>
    <w:p w14:paraId="530F9FA0" w14:textId="73B74E8E" w:rsidR="00BF4F02" w:rsidRPr="00736ED3" w:rsidRDefault="00BF4F02" w:rsidP="00BF4F02">
      <w:pPr>
        <w:pStyle w:val="Index5"/>
        <w:rPr>
          <w:lang w:val="en-ZA"/>
        </w:rPr>
      </w:pPr>
      <w:r w:rsidRPr="00736ED3">
        <w:rPr>
          <w:lang w:val="en-ZA"/>
        </w:rPr>
        <w:lastRenderedPageBreak/>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474489">
      <w:pPr>
        <w:pStyle w:val="Index4"/>
      </w:pPr>
      <w:r w:rsidRPr="006D6438">
        <w:t>Negotiations with the bidders.</w:t>
      </w:r>
    </w:p>
    <w:p w14:paraId="4DBC329E"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474489">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474489">
      <w:pPr>
        <w:pStyle w:val="Index4"/>
      </w:pPr>
      <w:proofErr w:type="spellStart"/>
      <w:r>
        <w:t>Necsa</w:t>
      </w:r>
      <w:proofErr w:type="spellEnd"/>
      <w:r>
        <w:t xml:space="preserve"> will not necessarily accept the lowest or any tender, and it reserves the right to accept a tender as a whole or in part.</w:t>
      </w:r>
    </w:p>
    <w:p w14:paraId="299559CB" w14:textId="77777777" w:rsidR="00786A37" w:rsidRDefault="00786A37" w:rsidP="00474489">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474489">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474489">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474489">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474489">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983E61">
      <w:pPr>
        <w:pStyle w:val="Index3"/>
      </w:pPr>
      <w:bookmarkStart w:id="25" w:name="_Toc230592381"/>
      <w:r>
        <w:t>Bidding Process</w:t>
      </w:r>
      <w:bookmarkEnd w:id="25"/>
    </w:p>
    <w:p w14:paraId="46FEE3DB" w14:textId="77777777" w:rsidR="00F80D24" w:rsidRDefault="003B5673" w:rsidP="00474489">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474489">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lastRenderedPageBreak/>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6A1F7CDA"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983E61">
      <w:pPr>
        <w:pStyle w:val="Index3"/>
      </w:pPr>
      <w:bookmarkStart w:id="26" w:name="_Toc230592382"/>
      <w:r>
        <w:t>Bid Submission Requirements</w:t>
      </w:r>
      <w:bookmarkEnd w:id="26"/>
    </w:p>
    <w:p w14:paraId="52323116" w14:textId="77777777" w:rsidR="00FA4A35" w:rsidRPr="00B10893" w:rsidRDefault="00FA4A35" w:rsidP="00474489">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134B3A3B"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30BA4BC0" w14:textId="77777777" w:rsidR="00996B49" w:rsidRDefault="00996B49" w:rsidP="00474489">
      <w:pPr>
        <w:pStyle w:val="Index4"/>
        <w:numPr>
          <w:ilvl w:val="0"/>
          <w:numId w:val="0"/>
        </w:numPr>
      </w:pPr>
    </w:p>
    <w:p w14:paraId="4C7B2A0E" w14:textId="77777777" w:rsidR="0047600F" w:rsidRPr="00656238" w:rsidRDefault="0047600F" w:rsidP="005E71C3">
      <w:pPr>
        <w:pStyle w:val="Index2"/>
      </w:pPr>
      <w:bookmarkStart w:id="27" w:name="_Toc230592383"/>
      <w:r w:rsidRPr="00656238">
        <w:t>Eligibility Requirements</w:t>
      </w:r>
      <w:bookmarkEnd w:id="27"/>
    </w:p>
    <w:p w14:paraId="2C0944A9" w14:textId="77777777" w:rsidR="0047600F" w:rsidRDefault="0047600F" w:rsidP="00983E61">
      <w:pPr>
        <w:pStyle w:val="Index3"/>
      </w:pPr>
      <w:bookmarkStart w:id="28" w:name="_Toc230592384"/>
      <w:r>
        <w:t>Pre-qualification Criteria</w:t>
      </w:r>
      <w:bookmarkEnd w:id="28"/>
    </w:p>
    <w:p w14:paraId="7A9BDE9C" w14:textId="77777777" w:rsidR="0047600F" w:rsidRDefault="006E040B" w:rsidP="0047600F">
      <w:pPr>
        <w:pStyle w:val="1Paragraph"/>
      </w:pPr>
      <w:r w:rsidRPr="006E040B">
        <w:t>Non-compliance to the following pre-qualification criteria will result in automatic disqualification:</w:t>
      </w:r>
    </w:p>
    <w:p w14:paraId="6FD18B9D" w14:textId="77777777" w:rsidR="00603D5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602"/>
        <w:gridCol w:w="1158"/>
      </w:tblGrid>
      <w:tr w:rsidR="00603D56" w14:paraId="2380334D" w14:textId="77777777" w:rsidTr="00E83790">
        <w:trPr>
          <w:trHeight w:val="350"/>
        </w:trPr>
        <w:tc>
          <w:tcPr>
            <w:tcW w:w="629" w:type="dxa"/>
            <w:shd w:val="clear" w:color="auto" w:fill="EBE8D2"/>
          </w:tcPr>
          <w:p w14:paraId="5BCD9F62" w14:textId="77777777" w:rsidR="00603D56" w:rsidRDefault="00603D56" w:rsidP="00121E59">
            <w:pPr>
              <w:pStyle w:val="TableParagraph"/>
              <w:spacing w:before="59"/>
              <w:ind w:left="86" w:right="80"/>
              <w:jc w:val="center"/>
              <w:rPr>
                <w:b/>
                <w:sz w:val="20"/>
              </w:rPr>
            </w:pPr>
            <w:r>
              <w:rPr>
                <w:b/>
                <w:sz w:val="20"/>
              </w:rPr>
              <w:t>Item</w:t>
            </w:r>
          </w:p>
        </w:tc>
        <w:tc>
          <w:tcPr>
            <w:tcW w:w="7602" w:type="dxa"/>
            <w:shd w:val="clear" w:color="auto" w:fill="EBE8D2"/>
          </w:tcPr>
          <w:p w14:paraId="7A68522B" w14:textId="77777777" w:rsidR="00603D56" w:rsidRDefault="00603D56" w:rsidP="00121E59">
            <w:pPr>
              <w:pStyle w:val="TableParagraph"/>
              <w:spacing w:before="59"/>
              <w:ind w:left="107"/>
              <w:rPr>
                <w:b/>
                <w:sz w:val="20"/>
              </w:rPr>
            </w:pPr>
            <w:r>
              <w:rPr>
                <w:b/>
                <w:sz w:val="20"/>
              </w:rPr>
              <w:t>Requirement</w:t>
            </w:r>
          </w:p>
        </w:tc>
        <w:tc>
          <w:tcPr>
            <w:tcW w:w="1158" w:type="dxa"/>
            <w:shd w:val="clear" w:color="auto" w:fill="EBE8D2"/>
          </w:tcPr>
          <w:p w14:paraId="0F2542CC" w14:textId="77777777" w:rsidR="00603D56" w:rsidRDefault="00603D56" w:rsidP="00121E59">
            <w:pPr>
              <w:pStyle w:val="TableParagraph"/>
              <w:spacing w:before="59"/>
              <w:ind w:left="107"/>
              <w:rPr>
                <w:b/>
                <w:sz w:val="20"/>
              </w:rPr>
            </w:pPr>
            <w:r>
              <w:rPr>
                <w:b/>
                <w:sz w:val="20"/>
              </w:rPr>
              <w:t>Yes/No</w:t>
            </w:r>
          </w:p>
        </w:tc>
      </w:tr>
      <w:tr w:rsidR="00603D56" w14:paraId="445399A5" w14:textId="77777777" w:rsidTr="00E83790">
        <w:trPr>
          <w:trHeight w:val="350"/>
        </w:trPr>
        <w:tc>
          <w:tcPr>
            <w:tcW w:w="629" w:type="dxa"/>
          </w:tcPr>
          <w:p w14:paraId="083CC461" w14:textId="77777777" w:rsidR="00603D56" w:rsidRDefault="00603D56" w:rsidP="00121E59">
            <w:pPr>
              <w:pStyle w:val="TableParagraph"/>
              <w:spacing w:before="59"/>
              <w:ind w:left="9"/>
              <w:jc w:val="center"/>
              <w:rPr>
                <w:sz w:val="20"/>
              </w:rPr>
            </w:pPr>
            <w:r>
              <w:rPr>
                <w:w w:val="99"/>
                <w:sz w:val="20"/>
              </w:rPr>
              <w:t>1.</w:t>
            </w:r>
          </w:p>
        </w:tc>
        <w:tc>
          <w:tcPr>
            <w:tcW w:w="7602" w:type="dxa"/>
          </w:tcPr>
          <w:p w14:paraId="1E466195" w14:textId="77777777" w:rsidR="00603D56" w:rsidRDefault="00603D56" w:rsidP="00121E59">
            <w:pPr>
              <w:pStyle w:val="TableParagraph"/>
              <w:spacing w:before="59"/>
              <w:ind w:left="107"/>
              <w:rPr>
                <w:sz w:val="20"/>
              </w:rPr>
            </w:pPr>
            <w:r>
              <w:rPr>
                <w:sz w:val="20"/>
              </w:rPr>
              <w:t>Bidder</w:t>
            </w:r>
            <w:r>
              <w:rPr>
                <w:spacing w:val="-5"/>
                <w:sz w:val="20"/>
              </w:rPr>
              <w:t xml:space="preserve"> </w:t>
            </w:r>
            <w:r>
              <w:rPr>
                <w:sz w:val="20"/>
              </w:rPr>
              <w:t>company</w:t>
            </w:r>
            <w:r>
              <w:rPr>
                <w:spacing w:val="-7"/>
                <w:sz w:val="20"/>
              </w:rPr>
              <w:t xml:space="preserve"> </w:t>
            </w:r>
            <w:r>
              <w:rPr>
                <w:sz w:val="20"/>
              </w:rPr>
              <w:t>information</w:t>
            </w:r>
            <w:r>
              <w:rPr>
                <w:spacing w:val="-7"/>
                <w:sz w:val="20"/>
              </w:rPr>
              <w:t xml:space="preserve"> </w:t>
            </w:r>
            <w:r>
              <w:rPr>
                <w:sz w:val="20"/>
              </w:rPr>
              <w:t>(Paragraph</w:t>
            </w:r>
            <w:r>
              <w:rPr>
                <w:spacing w:val="-4"/>
                <w:sz w:val="20"/>
              </w:rPr>
              <w:t xml:space="preserve"> </w:t>
            </w:r>
            <w:r>
              <w:rPr>
                <w:sz w:val="20"/>
              </w:rPr>
              <w:t>7)</w:t>
            </w:r>
          </w:p>
        </w:tc>
        <w:tc>
          <w:tcPr>
            <w:tcW w:w="1158" w:type="dxa"/>
          </w:tcPr>
          <w:p w14:paraId="0D1A4848" w14:textId="77777777" w:rsidR="00603D56" w:rsidRDefault="00603D56" w:rsidP="00121E59">
            <w:pPr>
              <w:pStyle w:val="TableParagraph"/>
              <w:rPr>
                <w:rFonts w:ascii="Times New Roman"/>
                <w:sz w:val="20"/>
              </w:rPr>
            </w:pPr>
          </w:p>
        </w:tc>
      </w:tr>
      <w:tr w:rsidR="00BB592C" w14:paraId="1B5598B4" w14:textId="77777777" w:rsidTr="00E83790">
        <w:trPr>
          <w:trHeight w:val="350"/>
        </w:trPr>
        <w:tc>
          <w:tcPr>
            <w:tcW w:w="629" w:type="dxa"/>
          </w:tcPr>
          <w:p w14:paraId="31E7A6F3" w14:textId="0FF28EC9" w:rsidR="00BB592C" w:rsidRPr="00731061" w:rsidRDefault="00E80F25" w:rsidP="00121E59">
            <w:pPr>
              <w:pStyle w:val="TableParagraph"/>
              <w:spacing w:before="59"/>
              <w:ind w:left="9"/>
              <w:jc w:val="center"/>
              <w:rPr>
                <w:w w:val="99"/>
                <w:sz w:val="20"/>
              </w:rPr>
            </w:pPr>
            <w:r w:rsidRPr="00731061">
              <w:rPr>
                <w:w w:val="99"/>
                <w:sz w:val="20"/>
              </w:rPr>
              <w:t>2</w:t>
            </w:r>
            <w:r w:rsidR="00BB592C" w:rsidRPr="00731061">
              <w:rPr>
                <w:w w:val="99"/>
                <w:sz w:val="20"/>
              </w:rPr>
              <w:t>.</w:t>
            </w:r>
          </w:p>
        </w:tc>
        <w:tc>
          <w:tcPr>
            <w:tcW w:w="7602" w:type="dxa"/>
          </w:tcPr>
          <w:p w14:paraId="1EFC817C" w14:textId="50C5B35D" w:rsidR="00BB592C" w:rsidRPr="00731061" w:rsidRDefault="00E83790" w:rsidP="00121E59">
            <w:pPr>
              <w:pStyle w:val="TableParagraph"/>
              <w:spacing w:before="59"/>
              <w:ind w:left="107"/>
              <w:rPr>
                <w:sz w:val="20"/>
              </w:rPr>
            </w:pPr>
            <w:r>
              <w:rPr>
                <w:sz w:val="20"/>
                <w:szCs w:val="20"/>
              </w:rPr>
              <w:t>Bidder to clearly indicate which category</w:t>
            </w:r>
            <w:r w:rsidR="00B53D42">
              <w:rPr>
                <w:sz w:val="20"/>
                <w:szCs w:val="20"/>
              </w:rPr>
              <w:t>/Categories</w:t>
            </w:r>
            <w:r>
              <w:rPr>
                <w:sz w:val="20"/>
                <w:szCs w:val="20"/>
              </w:rPr>
              <w:t xml:space="preserve"> they are going to be bidding for out of the four categories (refer to annexure A)</w:t>
            </w:r>
          </w:p>
        </w:tc>
        <w:tc>
          <w:tcPr>
            <w:tcW w:w="1158" w:type="dxa"/>
          </w:tcPr>
          <w:p w14:paraId="58003748" w14:textId="77777777" w:rsidR="00BB592C" w:rsidRDefault="00BB592C" w:rsidP="00121E59">
            <w:pPr>
              <w:pStyle w:val="TableParagraph"/>
              <w:rPr>
                <w:rFonts w:ascii="Times New Roman"/>
                <w:sz w:val="20"/>
              </w:rPr>
            </w:pPr>
          </w:p>
        </w:tc>
      </w:tr>
      <w:tr w:rsidR="00BB592C" w14:paraId="65864BF5" w14:textId="77777777" w:rsidTr="00E83790">
        <w:trPr>
          <w:trHeight w:val="350"/>
        </w:trPr>
        <w:tc>
          <w:tcPr>
            <w:tcW w:w="629" w:type="dxa"/>
          </w:tcPr>
          <w:p w14:paraId="2F0CE6F2" w14:textId="5D80D48F" w:rsidR="00BB592C" w:rsidRPr="00731061" w:rsidRDefault="00E80F25" w:rsidP="00121E59">
            <w:pPr>
              <w:pStyle w:val="TableParagraph"/>
              <w:spacing w:before="59"/>
              <w:ind w:left="9"/>
              <w:jc w:val="center"/>
              <w:rPr>
                <w:w w:val="99"/>
                <w:sz w:val="20"/>
              </w:rPr>
            </w:pPr>
            <w:r w:rsidRPr="00731061">
              <w:rPr>
                <w:w w:val="99"/>
                <w:sz w:val="20"/>
              </w:rPr>
              <w:t>3</w:t>
            </w:r>
            <w:r w:rsidR="00BB592C" w:rsidRPr="00731061">
              <w:rPr>
                <w:w w:val="99"/>
                <w:sz w:val="20"/>
              </w:rPr>
              <w:t>.</w:t>
            </w:r>
          </w:p>
        </w:tc>
        <w:tc>
          <w:tcPr>
            <w:tcW w:w="7602" w:type="dxa"/>
          </w:tcPr>
          <w:p w14:paraId="1D04B02D" w14:textId="785FC8C7" w:rsidR="00BB592C" w:rsidRPr="00E83790" w:rsidRDefault="005D0E12" w:rsidP="00E83790">
            <w:pPr>
              <w:jc w:val="both"/>
              <w:rPr>
                <w:rFonts w:cs="Times New Roman"/>
                <w:iCs w:val="0"/>
                <w:color w:val="000000"/>
                <w:sz w:val="20"/>
                <w:szCs w:val="20"/>
                <w:lang w:val="en-ZA" w:eastAsia="en-US"/>
              </w:rPr>
            </w:pPr>
            <w:r w:rsidRPr="005D0E12">
              <w:rPr>
                <w:rFonts w:cs="Times New Roman"/>
                <w:color w:val="000000"/>
                <w:sz w:val="20"/>
                <w:szCs w:val="20"/>
                <w:lang w:eastAsia="en-US"/>
              </w:rPr>
              <w:t>Bidder to submit 3 reference letters/ testimonials. Only reference letters indicating that the bidder delivered goods for a minimum of R200 000,00 will be accepted.</w:t>
            </w:r>
          </w:p>
        </w:tc>
        <w:tc>
          <w:tcPr>
            <w:tcW w:w="1158" w:type="dxa"/>
          </w:tcPr>
          <w:p w14:paraId="57E77527" w14:textId="77777777" w:rsidR="00BB592C" w:rsidRDefault="00BB592C" w:rsidP="00121E59">
            <w:pPr>
              <w:pStyle w:val="TableParagraph"/>
              <w:rPr>
                <w:rFonts w:ascii="Times New Roman"/>
                <w:sz w:val="20"/>
              </w:rPr>
            </w:pPr>
          </w:p>
        </w:tc>
      </w:tr>
      <w:tr w:rsidR="00E83790" w14:paraId="1F9F65B4" w14:textId="77777777" w:rsidTr="00E83790">
        <w:trPr>
          <w:trHeight w:val="350"/>
        </w:trPr>
        <w:tc>
          <w:tcPr>
            <w:tcW w:w="629" w:type="dxa"/>
          </w:tcPr>
          <w:p w14:paraId="40D3ED8C" w14:textId="0203411C" w:rsidR="00E83790" w:rsidRPr="00731061" w:rsidRDefault="00E83790" w:rsidP="00121E59">
            <w:pPr>
              <w:pStyle w:val="TableParagraph"/>
              <w:spacing w:before="59"/>
              <w:ind w:left="9"/>
              <w:jc w:val="center"/>
              <w:rPr>
                <w:w w:val="99"/>
                <w:sz w:val="20"/>
              </w:rPr>
            </w:pPr>
            <w:r>
              <w:rPr>
                <w:w w:val="99"/>
                <w:sz w:val="20"/>
              </w:rPr>
              <w:lastRenderedPageBreak/>
              <w:t>4.</w:t>
            </w:r>
          </w:p>
        </w:tc>
        <w:tc>
          <w:tcPr>
            <w:tcW w:w="7602" w:type="dxa"/>
          </w:tcPr>
          <w:p w14:paraId="26A3F86F" w14:textId="77777777" w:rsidR="00E83790" w:rsidRPr="00E83790" w:rsidRDefault="00E83790" w:rsidP="00E83790">
            <w:pPr>
              <w:jc w:val="both"/>
              <w:rPr>
                <w:rFonts w:cs="Times New Roman"/>
                <w:iCs w:val="0"/>
                <w:color w:val="000000"/>
                <w:sz w:val="20"/>
                <w:szCs w:val="20"/>
                <w:lang w:val="en-ZA" w:eastAsia="en-US"/>
              </w:rPr>
            </w:pPr>
            <w:r w:rsidRPr="00E83790">
              <w:rPr>
                <w:rFonts w:cs="Times New Roman"/>
                <w:iCs w:val="0"/>
                <w:color w:val="000000"/>
                <w:sz w:val="20"/>
                <w:szCs w:val="20"/>
                <w:lang w:val="en-ZA" w:eastAsia="en-US"/>
              </w:rPr>
              <w:t>Delivery Lead Time – Summary for Bidders:</w:t>
            </w:r>
          </w:p>
          <w:p w14:paraId="7B7E8327" w14:textId="4AB22301" w:rsidR="00E83790" w:rsidRPr="00E83790" w:rsidRDefault="00E83790" w:rsidP="00E83790">
            <w:pPr>
              <w:jc w:val="both"/>
              <w:rPr>
                <w:rFonts w:cs="Times New Roman"/>
                <w:iCs w:val="0"/>
                <w:color w:val="000000"/>
                <w:sz w:val="20"/>
                <w:szCs w:val="20"/>
                <w:lang w:val="en-ZA" w:eastAsia="en-US"/>
              </w:rPr>
            </w:pPr>
            <w:r w:rsidRPr="00E83790">
              <w:rPr>
                <w:rFonts w:cs="Times New Roman"/>
                <w:iCs w:val="0"/>
                <w:color w:val="000000"/>
                <w:sz w:val="20"/>
                <w:szCs w:val="20"/>
                <w:lang w:val="en-ZA" w:eastAsia="en-US"/>
              </w:rPr>
              <w:t>Bidders must submit a document stating the lead time from receipt of the Purchase Order to delivery of goods/services</w:t>
            </w:r>
            <w:r w:rsidR="005D0E12">
              <w:rPr>
                <w:rFonts w:cs="Times New Roman"/>
                <w:iCs w:val="0"/>
                <w:color w:val="000000"/>
                <w:sz w:val="20"/>
                <w:szCs w:val="20"/>
                <w:lang w:val="en-ZA" w:eastAsia="en-US"/>
              </w:rPr>
              <w:t xml:space="preserve"> of not more than three weeks.</w:t>
            </w:r>
          </w:p>
          <w:p w14:paraId="1D4CF040" w14:textId="77777777" w:rsidR="00E83790" w:rsidRPr="00E83790" w:rsidRDefault="00E83790" w:rsidP="00E83790">
            <w:pPr>
              <w:jc w:val="both"/>
              <w:rPr>
                <w:rFonts w:cs="Times New Roman"/>
                <w:iCs w:val="0"/>
                <w:color w:val="000000"/>
                <w:sz w:val="20"/>
                <w:szCs w:val="20"/>
                <w:lang w:val="en-ZA" w:eastAsia="en-US"/>
              </w:rPr>
            </w:pPr>
          </w:p>
        </w:tc>
        <w:tc>
          <w:tcPr>
            <w:tcW w:w="1158" w:type="dxa"/>
          </w:tcPr>
          <w:p w14:paraId="2BA9794E" w14:textId="77777777" w:rsidR="00E83790" w:rsidRDefault="00E83790" w:rsidP="00121E59">
            <w:pPr>
              <w:pStyle w:val="TableParagraph"/>
              <w:rPr>
                <w:rFonts w:ascii="Times New Roman"/>
                <w:sz w:val="20"/>
              </w:rPr>
            </w:pPr>
          </w:p>
        </w:tc>
      </w:tr>
      <w:tr w:rsidR="00E83790" w14:paraId="13BD5FAC" w14:textId="77777777" w:rsidTr="00E83790">
        <w:trPr>
          <w:trHeight w:val="350"/>
        </w:trPr>
        <w:tc>
          <w:tcPr>
            <w:tcW w:w="629" w:type="dxa"/>
          </w:tcPr>
          <w:p w14:paraId="2C84EA33" w14:textId="72A8C377" w:rsidR="00E83790" w:rsidRDefault="00E83790" w:rsidP="00121E59">
            <w:pPr>
              <w:pStyle w:val="TableParagraph"/>
              <w:spacing w:before="59"/>
              <w:ind w:left="9"/>
              <w:jc w:val="center"/>
              <w:rPr>
                <w:w w:val="99"/>
                <w:sz w:val="20"/>
              </w:rPr>
            </w:pPr>
            <w:r>
              <w:rPr>
                <w:w w:val="99"/>
                <w:sz w:val="20"/>
              </w:rPr>
              <w:t>5.</w:t>
            </w:r>
          </w:p>
        </w:tc>
        <w:tc>
          <w:tcPr>
            <w:tcW w:w="7602" w:type="dxa"/>
          </w:tcPr>
          <w:p w14:paraId="02196865" w14:textId="630C038D" w:rsidR="00E83790" w:rsidRPr="00E83790" w:rsidRDefault="00E83790" w:rsidP="00E83790">
            <w:pPr>
              <w:jc w:val="both"/>
              <w:rPr>
                <w:rFonts w:cs="Times New Roman"/>
                <w:iCs w:val="0"/>
                <w:color w:val="000000"/>
                <w:sz w:val="20"/>
                <w:szCs w:val="20"/>
                <w:lang w:val="en-ZA" w:eastAsia="en-US"/>
              </w:rPr>
            </w:pPr>
            <w:r>
              <w:t xml:space="preserve">POPIA Document number </w:t>
            </w:r>
            <w:r w:rsidRPr="006F313C">
              <w:t>Document number:</w:t>
            </w:r>
            <w:r>
              <w:t xml:space="preserve"> FIN-SCM-AGR-0002</w:t>
            </w:r>
          </w:p>
        </w:tc>
        <w:tc>
          <w:tcPr>
            <w:tcW w:w="1158" w:type="dxa"/>
          </w:tcPr>
          <w:p w14:paraId="23C69135" w14:textId="77777777" w:rsidR="00E83790" w:rsidRDefault="00E83790" w:rsidP="00121E59">
            <w:pPr>
              <w:pStyle w:val="TableParagraph"/>
              <w:rPr>
                <w:rFonts w:ascii="Times New Roman"/>
                <w:sz w:val="20"/>
              </w:rPr>
            </w:pPr>
          </w:p>
        </w:tc>
      </w:tr>
    </w:tbl>
    <w:p w14:paraId="22CD05EF" w14:textId="77777777" w:rsidR="00704AFC" w:rsidRDefault="00704AFC" w:rsidP="00704AFC">
      <w:pPr>
        <w:pStyle w:val="Index3"/>
        <w:numPr>
          <w:ilvl w:val="0"/>
          <w:numId w:val="0"/>
        </w:numPr>
        <w:ind w:left="851"/>
      </w:pPr>
    </w:p>
    <w:p w14:paraId="530A26B6" w14:textId="77777777" w:rsidR="00BB592C" w:rsidRPr="00BB592C" w:rsidRDefault="00BB592C" w:rsidP="00BB592C">
      <w:pPr>
        <w:pStyle w:val="1Paragraph"/>
        <w:ind w:left="0"/>
      </w:pPr>
    </w:p>
    <w:p w14:paraId="7F825802" w14:textId="5334B8F4" w:rsidR="00777F53" w:rsidRPr="00996B49" w:rsidRDefault="00143AE7" w:rsidP="00983E61">
      <w:pPr>
        <w:pStyle w:val="Index3"/>
      </w:pPr>
      <w:bookmarkStart w:id="29" w:name="_Toc230592385"/>
      <w:bookmarkStart w:id="30" w:name="_Toc511198085"/>
      <w:bookmarkStart w:id="31" w:name="_Hlk133378355"/>
      <w:r w:rsidRPr="00996B49">
        <w:t>Preference points and Price evaluation</w:t>
      </w:r>
      <w:bookmarkEnd w:id="29"/>
      <w:r w:rsidRPr="00996B49">
        <w:t xml:space="preserve"> </w:t>
      </w:r>
    </w:p>
    <w:p w14:paraId="4677363E"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474489">
      <w:pPr>
        <w:pStyle w:val="Index4"/>
        <w:numPr>
          <w:ilvl w:val="0"/>
          <w:numId w:val="0"/>
        </w:numPr>
        <w:ind w:left="851"/>
      </w:pPr>
    </w:p>
    <w:p w14:paraId="5D092F0A" w14:textId="77777777" w:rsidR="00777F53" w:rsidRPr="00D93AAA" w:rsidRDefault="00777F53" w:rsidP="00983E61">
      <w:pPr>
        <w:pStyle w:val="Index3"/>
      </w:pPr>
      <w:bookmarkStart w:id="32" w:name="_Toc125008753"/>
      <w:bookmarkStart w:id="33" w:name="_Toc135389245"/>
      <w:bookmarkStart w:id="34" w:name="_Toc137638302"/>
      <w:bookmarkStart w:id="35" w:name="_Toc230592386"/>
      <w:r w:rsidRPr="00D93AAA">
        <w:t>80/20 preference point system for acquisition of goods or services for Rand value equal to or above R30 000 and up to R50 million</w:t>
      </w:r>
      <w:bookmarkEnd w:id="32"/>
      <w:bookmarkEnd w:id="33"/>
      <w:bookmarkEnd w:id="34"/>
      <w:bookmarkEnd w:id="35"/>
    </w:p>
    <w:p w14:paraId="445E8666"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44E60482"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561560E3"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474489">
      <w:pPr>
        <w:pStyle w:val="Index4"/>
      </w:pPr>
      <w:r w:rsidRPr="00D93AAA">
        <w:lastRenderedPageBreak/>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0715EEB9"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0084681F" w14:textId="2FE5FBBD" w:rsidR="00777F53" w:rsidRPr="003D5E89" w:rsidRDefault="00777F53" w:rsidP="00474489">
      <w:pPr>
        <w:pStyle w:val="Index4"/>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474489">
      <w:pPr>
        <w:pStyle w:val="Index4"/>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26C9678" w14:textId="634871A4" w:rsidR="007358C1" w:rsidRPr="006778B2"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bookmarkEnd w:id="30"/>
      <w:bookmarkEnd w:id="31"/>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6" w:name="_Toc230592387"/>
      <w:bookmarkEnd w:id="36"/>
    </w:p>
    <w:p w14:paraId="619F87DF" w14:textId="77777777" w:rsidR="00DA39DC" w:rsidRPr="00C95C94" w:rsidRDefault="00DA39DC" w:rsidP="005E71C3">
      <w:pPr>
        <w:pStyle w:val="Index2"/>
        <w:numPr>
          <w:ilvl w:val="1"/>
          <w:numId w:val="13"/>
        </w:numPr>
      </w:pPr>
      <w:bookmarkStart w:id="37" w:name="_Toc230592388"/>
      <w:r w:rsidRPr="00C95C94">
        <w:t>Returnable documents</w:t>
      </w:r>
      <w:r w:rsidR="00292449" w:rsidRPr="00C95C94">
        <w:t xml:space="preserve"> C</w:t>
      </w:r>
      <w:r w:rsidR="002D3216" w:rsidRPr="00C95C94">
        <w:t>hecklist</w:t>
      </w:r>
      <w:bookmarkEnd w:id="37"/>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474489">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9E13AC">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lastRenderedPageBreak/>
              <w:t>5</w:t>
            </w:r>
          </w:p>
        </w:tc>
        <w:tc>
          <w:tcPr>
            <w:tcW w:w="4180" w:type="dxa"/>
          </w:tcPr>
          <w:p w14:paraId="7225B1B0" w14:textId="77777777" w:rsidR="00EE52CC" w:rsidRDefault="00EE52CC" w:rsidP="009E13A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56EF8F58" w:rsidR="00196EE8" w:rsidRDefault="00196EE8" w:rsidP="009E13AC">
            <w:pPr>
              <w:pStyle w:val="Index4"/>
              <w:numPr>
                <w:ilvl w:val="0"/>
                <w:numId w:val="0"/>
              </w:numPr>
              <w:ind w:left="851" w:hanging="851"/>
            </w:pPr>
            <w:r>
              <w:t>SBD 3.</w:t>
            </w:r>
            <w:r w:rsidR="00474489">
              <w:t>1</w:t>
            </w:r>
            <w:r>
              <w:t xml:space="preserve">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9E13AC">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983E61" w14:paraId="388675AD" w14:textId="77777777" w:rsidTr="00EE52CC">
        <w:tc>
          <w:tcPr>
            <w:tcW w:w="562" w:type="dxa"/>
          </w:tcPr>
          <w:p w14:paraId="722440D2" w14:textId="2B51B413" w:rsidR="00983E61" w:rsidRDefault="00983E61" w:rsidP="00983E61">
            <w:pPr>
              <w:jc w:val="both"/>
            </w:pPr>
            <w:r>
              <w:t>13</w:t>
            </w:r>
          </w:p>
        </w:tc>
        <w:tc>
          <w:tcPr>
            <w:tcW w:w="4180" w:type="dxa"/>
          </w:tcPr>
          <w:p w14:paraId="73D7BCE9" w14:textId="7EEA7BD2" w:rsidR="00983E61" w:rsidRDefault="00983E61" w:rsidP="00983E61">
            <w:pPr>
              <w:jc w:val="both"/>
            </w:pPr>
            <w:r>
              <w:t xml:space="preserve">Bidder Company Information </w:t>
            </w:r>
          </w:p>
        </w:tc>
        <w:tc>
          <w:tcPr>
            <w:tcW w:w="3617" w:type="dxa"/>
          </w:tcPr>
          <w:p w14:paraId="367723F7" w14:textId="46171BA4" w:rsidR="00983E61" w:rsidRDefault="00983E61" w:rsidP="00983E61">
            <w:pPr>
              <w:jc w:val="both"/>
            </w:pPr>
            <w:r>
              <w:t>Complete and sign the supplied pro forma document</w:t>
            </w:r>
          </w:p>
        </w:tc>
        <w:tc>
          <w:tcPr>
            <w:tcW w:w="1126" w:type="dxa"/>
          </w:tcPr>
          <w:p w14:paraId="13AB952C" w14:textId="77777777" w:rsidR="00983E61" w:rsidRDefault="00983E61" w:rsidP="00983E61">
            <w:pPr>
              <w:jc w:val="both"/>
            </w:pPr>
          </w:p>
        </w:tc>
      </w:tr>
    </w:tbl>
    <w:p w14:paraId="1BA99956" w14:textId="77777777" w:rsidR="006A4548" w:rsidRDefault="006A4548" w:rsidP="00F83C1D">
      <w:pPr>
        <w:spacing w:line="240" w:lineRule="auto"/>
        <w:jc w:val="both"/>
      </w:pPr>
    </w:p>
    <w:p w14:paraId="68ACBB53" w14:textId="22E9F65D" w:rsidR="004C4977" w:rsidRDefault="004C4977" w:rsidP="00F83C1D">
      <w:pPr>
        <w:spacing w:line="240" w:lineRule="auto"/>
        <w:jc w:val="both"/>
      </w:pPr>
    </w:p>
    <w:p w14:paraId="169C452F" w14:textId="77777777" w:rsidR="003B0F32" w:rsidRPr="00F02CA8" w:rsidRDefault="00DA39DC" w:rsidP="005E71C3">
      <w:pPr>
        <w:pStyle w:val="Index2"/>
      </w:pPr>
      <w:bookmarkStart w:id="38" w:name="_Toc230592389"/>
      <w:r w:rsidRPr="00F02CA8">
        <w:t>B</w:t>
      </w:r>
      <w:r w:rsidR="00F616A4">
        <w:t>idder</w:t>
      </w:r>
      <w:r w:rsidRPr="00F02CA8">
        <w:t xml:space="preserve"> I</w:t>
      </w:r>
      <w:r w:rsidR="00F616A4">
        <w:t>nformation</w:t>
      </w:r>
      <w:bookmarkEnd w:id="38"/>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lastRenderedPageBreak/>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B14C89" w:rsidRDefault="006E6BE0" w:rsidP="00B14C89">
      <w:pPr>
        <w:jc w:val="center"/>
        <w:rPr>
          <w:i/>
          <w:iCs w:val="0"/>
        </w:rPr>
      </w:pPr>
      <w:r w:rsidRPr="00B14C89">
        <w:rPr>
          <w:i/>
          <w:iCs w:val="0"/>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w:t>
      </w:r>
      <w:r w:rsidRPr="006F313C">
        <w:rPr>
          <w:snapToGrid w:val="0"/>
          <w:lang w:eastAsia="en-US"/>
        </w:rPr>
        <w:lastRenderedPageBreak/>
        <w:t xml:space="preserve">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1BC9FA2C" w14:textId="77777777" w:rsidR="006E6BE0" w:rsidRPr="006F313C" w:rsidRDefault="006E6BE0" w:rsidP="006E6BE0">
      <w:pPr>
        <w:pStyle w:val="Heading1"/>
        <w:ind w:hanging="720"/>
        <w:rPr>
          <w:color w:val="auto"/>
        </w:rPr>
      </w:pPr>
      <w:bookmarkStart w:id="39" w:name="_Toc230592390"/>
      <w:r w:rsidRPr="006F313C">
        <w:rPr>
          <w:color w:val="auto"/>
        </w:rPr>
        <w:t>Scope and Roles</w:t>
      </w:r>
      <w:bookmarkEnd w:id="39"/>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0" w:name="_Toc230592391"/>
      <w:r w:rsidRPr="006F313C">
        <w:rPr>
          <w:color w:val="auto"/>
        </w:rPr>
        <w:t>Definitions</w:t>
      </w:r>
      <w:bookmarkEnd w:id="40"/>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lastRenderedPageBreak/>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1" w:name="_Toc230592392"/>
      <w:r w:rsidRPr="006F313C">
        <w:rPr>
          <w:color w:val="auto"/>
        </w:rPr>
        <w:t>The Processing</w:t>
      </w:r>
      <w:bookmarkEnd w:id="41"/>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67DCF5A9" w14:textId="77777777" w:rsidR="003B1532" w:rsidRDefault="003B1532" w:rsidP="006E6BE0">
      <w:pPr>
        <w:pStyle w:val="Heading1"/>
        <w:rPr>
          <w:color w:val="auto"/>
        </w:rPr>
      </w:pPr>
    </w:p>
    <w:p w14:paraId="1F7F2153" w14:textId="154A8BAC" w:rsidR="006E6BE0" w:rsidRPr="006F313C" w:rsidRDefault="006E6BE0" w:rsidP="006E6BE0">
      <w:pPr>
        <w:pStyle w:val="Heading1"/>
        <w:rPr>
          <w:color w:val="auto"/>
        </w:rPr>
      </w:pPr>
      <w:bookmarkStart w:id="42" w:name="_Toc230592393"/>
      <w:r w:rsidRPr="006F313C">
        <w:rPr>
          <w:color w:val="auto"/>
        </w:rPr>
        <w:t>Rights of data subjects</w:t>
      </w:r>
      <w:bookmarkEnd w:id="42"/>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6227E970" w14:textId="77777777" w:rsidR="008C100B"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3BC466C6" w14:textId="77777777" w:rsidR="008C100B" w:rsidRPr="006F313C"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2115E2CB" w14:textId="77777777" w:rsidR="006E6BE0" w:rsidRPr="006F313C" w:rsidRDefault="006E6BE0" w:rsidP="006E6BE0">
      <w:pPr>
        <w:pStyle w:val="Heading1"/>
        <w:rPr>
          <w:color w:val="auto"/>
        </w:rPr>
      </w:pPr>
      <w:bookmarkStart w:id="43" w:name="_Toc230592394"/>
      <w:r w:rsidRPr="006F313C">
        <w:rPr>
          <w:color w:val="auto"/>
        </w:rPr>
        <w:t>Obligations and rights of the Responsible Party</w:t>
      </w:r>
      <w:bookmarkEnd w:id="43"/>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4" w:name="_Toc230592395"/>
      <w:r w:rsidRPr="006F313C">
        <w:rPr>
          <w:color w:val="auto"/>
        </w:rPr>
        <w:t>Obligations of the Operator</w:t>
      </w:r>
      <w:bookmarkEnd w:id="44"/>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128D4EDB" w14:textId="77777777" w:rsidR="008C100B"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3BECC9C1" w14:textId="77777777" w:rsidR="008C100B" w:rsidRPr="006F313C"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72BC4889" w14:textId="77777777" w:rsidR="006E6BE0" w:rsidRPr="006F313C" w:rsidRDefault="006E6BE0" w:rsidP="006E6BE0">
      <w:pPr>
        <w:pStyle w:val="Heading1"/>
        <w:rPr>
          <w:color w:val="auto"/>
        </w:rPr>
      </w:pPr>
      <w:bookmarkStart w:id="45" w:name="_Toc230592396"/>
      <w:r w:rsidRPr="006F313C">
        <w:rPr>
          <w:color w:val="auto"/>
        </w:rPr>
        <w:lastRenderedPageBreak/>
        <w:t>Duration and Applicable Law</w:t>
      </w:r>
      <w:bookmarkEnd w:id="45"/>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6" w:name="_Toc230592397"/>
      <w:r w:rsidRPr="006F313C">
        <w:rPr>
          <w:color w:val="auto"/>
        </w:rPr>
        <w:t>Signatures</w:t>
      </w:r>
      <w:bookmarkEnd w:id="46"/>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5F09319E" w14:textId="260D7D81"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8C100B">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6A353903" w:rsidR="006E6BE0" w:rsidRPr="006F313C" w:rsidRDefault="006E6BE0" w:rsidP="00B948B5">
            <w:pPr>
              <w:spacing w:after="0" w:line="240" w:lineRule="auto"/>
              <w:textAlignment w:val="baseline"/>
              <w:rPr>
                <w:szCs w:val="24"/>
              </w:rPr>
            </w:pPr>
            <w:r w:rsidRPr="006F313C">
              <w:rPr>
                <w:szCs w:val="24"/>
              </w:rPr>
              <w:t> </w:t>
            </w: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60F8E98F" w14:textId="44616DFB" w:rsidR="006E6BE0" w:rsidRPr="00E83790" w:rsidRDefault="006E6BE0" w:rsidP="00E83790">
      <w:pPr>
        <w:spacing w:after="0" w:line="240" w:lineRule="auto"/>
        <w:textAlignment w:val="baseline"/>
        <w:rPr>
          <w:szCs w:val="24"/>
        </w:rPr>
      </w:pPr>
    </w:p>
    <w:sectPr w:rsidR="006E6BE0" w:rsidRPr="00E83790" w:rsidSect="0055344F">
      <w:headerReference w:type="default" r:id="rId11"/>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4F73" w14:textId="77777777" w:rsidR="0073615C" w:rsidRDefault="0073615C" w:rsidP="00CD1845">
      <w:pPr>
        <w:spacing w:before="0" w:after="0" w:line="240" w:lineRule="auto"/>
      </w:pPr>
      <w:r>
        <w:separator/>
      </w:r>
    </w:p>
    <w:p w14:paraId="1B23D6EE" w14:textId="77777777" w:rsidR="0073615C" w:rsidRDefault="0073615C"/>
  </w:endnote>
  <w:endnote w:type="continuationSeparator" w:id="0">
    <w:p w14:paraId="1A74B80C" w14:textId="77777777" w:rsidR="0073615C" w:rsidRDefault="0073615C" w:rsidP="00CD1845">
      <w:pPr>
        <w:spacing w:before="0" w:after="0" w:line="240" w:lineRule="auto"/>
      </w:pPr>
      <w:r>
        <w:continuationSeparator/>
      </w:r>
    </w:p>
    <w:p w14:paraId="0AC56D6B" w14:textId="77777777" w:rsidR="0073615C" w:rsidRDefault="0073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4B0C" w14:textId="77777777" w:rsidR="0073615C" w:rsidRDefault="0073615C" w:rsidP="00CD1845">
      <w:pPr>
        <w:spacing w:before="0" w:after="0" w:line="240" w:lineRule="auto"/>
      </w:pPr>
      <w:r>
        <w:separator/>
      </w:r>
    </w:p>
    <w:p w14:paraId="08C002A6" w14:textId="77777777" w:rsidR="0073615C" w:rsidRDefault="0073615C"/>
  </w:footnote>
  <w:footnote w:type="continuationSeparator" w:id="0">
    <w:p w14:paraId="2ADBB7F3" w14:textId="77777777" w:rsidR="0073615C" w:rsidRDefault="0073615C" w:rsidP="00CD1845">
      <w:pPr>
        <w:spacing w:before="0" w:after="0" w:line="240" w:lineRule="auto"/>
      </w:pPr>
      <w:r>
        <w:continuationSeparator/>
      </w:r>
    </w:p>
    <w:p w14:paraId="4A2CAD48" w14:textId="77777777" w:rsidR="0073615C" w:rsidRDefault="00736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0C3A" w14:textId="72C54FAE" w:rsidR="007206E0" w:rsidRPr="007206E0" w:rsidRDefault="007206E0">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71093"/>
    <w:multiLevelType w:val="hybridMultilevel"/>
    <w:tmpl w:val="0D4C5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6"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7" w15:restartNumberingAfterBreak="0">
    <w:nsid w:val="5FC30324"/>
    <w:multiLevelType w:val="multilevel"/>
    <w:tmpl w:val="DC66D6FA"/>
    <w:numStyleLink w:val="ACSListStyle"/>
  </w:abstractNum>
  <w:abstractNum w:abstractNumId="2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0"/>
  </w:num>
  <w:num w:numId="2" w16cid:durableId="1455446398">
    <w:abstractNumId w:val="5"/>
  </w:num>
  <w:num w:numId="3" w16cid:durableId="236675952">
    <w:abstractNumId w:val="4"/>
  </w:num>
  <w:num w:numId="4" w16cid:durableId="1817607055">
    <w:abstractNumId w:val="17"/>
  </w:num>
  <w:num w:numId="5" w16cid:durableId="1050690789">
    <w:abstractNumId w:val="2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9"/>
  </w:num>
  <w:num w:numId="7" w16cid:durableId="1227371664">
    <w:abstractNumId w:val="12"/>
  </w:num>
  <w:num w:numId="8" w16cid:durableId="134614312">
    <w:abstractNumId w:val="25"/>
  </w:num>
  <w:num w:numId="9" w16cid:durableId="1964383686">
    <w:abstractNumId w:val="7"/>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1"/>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8"/>
  </w:num>
  <w:num w:numId="19" w16cid:durableId="674304335">
    <w:abstractNumId w:val="16"/>
  </w:num>
  <w:num w:numId="20" w16cid:durableId="867572746">
    <w:abstractNumId w:val="26"/>
  </w:num>
  <w:num w:numId="21" w16cid:durableId="129981831">
    <w:abstractNumId w:val="24"/>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1"/>
  </w:num>
  <w:num w:numId="27" w16cid:durableId="1744528886">
    <w:abstractNumId w:val="23"/>
  </w:num>
  <w:num w:numId="28" w16cid:durableId="1378238183">
    <w:abstractNumId w:val="18"/>
  </w:num>
  <w:num w:numId="29" w16cid:durableId="1146166041">
    <w:abstractNumId w:val="32"/>
  </w:num>
  <w:num w:numId="30" w16cid:durableId="160128277">
    <w:abstractNumId w:val="10"/>
  </w:num>
  <w:num w:numId="31" w16cid:durableId="324554064">
    <w:abstractNumId w:val="34"/>
  </w:num>
  <w:num w:numId="32" w16cid:durableId="608196441">
    <w:abstractNumId w:val="19"/>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3"/>
  </w:num>
  <w:num w:numId="39" w16cid:durableId="1093815304">
    <w:abstractNumId w:val="22"/>
  </w:num>
  <w:num w:numId="40" w16cid:durableId="705757998">
    <w:abstractNumId w:val="30"/>
  </w:num>
  <w:num w:numId="41" w16cid:durableId="1061097733">
    <w:abstractNumId w:val="8"/>
  </w:num>
  <w:num w:numId="42" w16cid:durableId="11366839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35C5"/>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6F9"/>
    <w:rsid w:val="00076F5E"/>
    <w:rsid w:val="00081095"/>
    <w:rsid w:val="00081E58"/>
    <w:rsid w:val="00084C02"/>
    <w:rsid w:val="00094AF5"/>
    <w:rsid w:val="00094BBA"/>
    <w:rsid w:val="00096AA6"/>
    <w:rsid w:val="00097E34"/>
    <w:rsid w:val="000A211B"/>
    <w:rsid w:val="000A22D6"/>
    <w:rsid w:val="000A6660"/>
    <w:rsid w:val="000B07DB"/>
    <w:rsid w:val="000B095C"/>
    <w:rsid w:val="000B3020"/>
    <w:rsid w:val="000B4937"/>
    <w:rsid w:val="000B4C6E"/>
    <w:rsid w:val="000B7A91"/>
    <w:rsid w:val="000C2C64"/>
    <w:rsid w:val="000C390C"/>
    <w:rsid w:val="000C3A65"/>
    <w:rsid w:val="000C44C2"/>
    <w:rsid w:val="000D4C7D"/>
    <w:rsid w:val="000E070F"/>
    <w:rsid w:val="000E63F3"/>
    <w:rsid w:val="000F6CD7"/>
    <w:rsid w:val="0010102C"/>
    <w:rsid w:val="00101956"/>
    <w:rsid w:val="0010557F"/>
    <w:rsid w:val="0010656A"/>
    <w:rsid w:val="001123AD"/>
    <w:rsid w:val="00114A95"/>
    <w:rsid w:val="001221C6"/>
    <w:rsid w:val="00131B24"/>
    <w:rsid w:val="00133FF7"/>
    <w:rsid w:val="00137086"/>
    <w:rsid w:val="00142079"/>
    <w:rsid w:val="00143076"/>
    <w:rsid w:val="00143AE7"/>
    <w:rsid w:val="001445BC"/>
    <w:rsid w:val="001470DC"/>
    <w:rsid w:val="00153833"/>
    <w:rsid w:val="00155EAC"/>
    <w:rsid w:val="001669B4"/>
    <w:rsid w:val="00174F96"/>
    <w:rsid w:val="0018044C"/>
    <w:rsid w:val="00183AC8"/>
    <w:rsid w:val="001860A0"/>
    <w:rsid w:val="00186582"/>
    <w:rsid w:val="00193C44"/>
    <w:rsid w:val="0019587D"/>
    <w:rsid w:val="00196EE8"/>
    <w:rsid w:val="001A0B85"/>
    <w:rsid w:val="001A1831"/>
    <w:rsid w:val="001A440E"/>
    <w:rsid w:val="001B218A"/>
    <w:rsid w:val="001B5C29"/>
    <w:rsid w:val="001B62A0"/>
    <w:rsid w:val="001C0355"/>
    <w:rsid w:val="001C4EAB"/>
    <w:rsid w:val="001D0780"/>
    <w:rsid w:val="001D0E7C"/>
    <w:rsid w:val="001D3CE3"/>
    <w:rsid w:val="001D4236"/>
    <w:rsid w:val="001D4D86"/>
    <w:rsid w:val="001D644F"/>
    <w:rsid w:val="001D6A5F"/>
    <w:rsid w:val="001E5E44"/>
    <w:rsid w:val="001F6668"/>
    <w:rsid w:val="001F7EDC"/>
    <w:rsid w:val="00200F33"/>
    <w:rsid w:val="00213098"/>
    <w:rsid w:val="00213B92"/>
    <w:rsid w:val="00215A55"/>
    <w:rsid w:val="0021630F"/>
    <w:rsid w:val="00216F92"/>
    <w:rsid w:val="00222530"/>
    <w:rsid w:val="00230068"/>
    <w:rsid w:val="00230145"/>
    <w:rsid w:val="00231D93"/>
    <w:rsid w:val="00232BB0"/>
    <w:rsid w:val="002336B3"/>
    <w:rsid w:val="00233C07"/>
    <w:rsid w:val="00235C1E"/>
    <w:rsid w:val="00242F04"/>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A791E"/>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87927"/>
    <w:rsid w:val="003900CE"/>
    <w:rsid w:val="003912DA"/>
    <w:rsid w:val="003929E9"/>
    <w:rsid w:val="00395CAC"/>
    <w:rsid w:val="00397AE8"/>
    <w:rsid w:val="003A235B"/>
    <w:rsid w:val="003A6821"/>
    <w:rsid w:val="003A6A8B"/>
    <w:rsid w:val="003B0F32"/>
    <w:rsid w:val="003B1532"/>
    <w:rsid w:val="003B2BDA"/>
    <w:rsid w:val="003B5673"/>
    <w:rsid w:val="003D5ADD"/>
    <w:rsid w:val="003D6F6C"/>
    <w:rsid w:val="003D76A3"/>
    <w:rsid w:val="003E10BA"/>
    <w:rsid w:val="003E57F9"/>
    <w:rsid w:val="003E6760"/>
    <w:rsid w:val="003F3C15"/>
    <w:rsid w:val="003F46AD"/>
    <w:rsid w:val="00401102"/>
    <w:rsid w:val="004027CD"/>
    <w:rsid w:val="00403418"/>
    <w:rsid w:val="00414D47"/>
    <w:rsid w:val="00420AB8"/>
    <w:rsid w:val="00423B45"/>
    <w:rsid w:val="0042653B"/>
    <w:rsid w:val="00434728"/>
    <w:rsid w:val="00442920"/>
    <w:rsid w:val="004513DE"/>
    <w:rsid w:val="0045269F"/>
    <w:rsid w:val="004547A5"/>
    <w:rsid w:val="004554D8"/>
    <w:rsid w:val="00455875"/>
    <w:rsid w:val="004606C1"/>
    <w:rsid w:val="00461119"/>
    <w:rsid w:val="0046111A"/>
    <w:rsid w:val="00466F20"/>
    <w:rsid w:val="0047318E"/>
    <w:rsid w:val="00474489"/>
    <w:rsid w:val="00474D06"/>
    <w:rsid w:val="0047600F"/>
    <w:rsid w:val="00477235"/>
    <w:rsid w:val="004831B8"/>
    <w:rsid w:val="00484FDB"/>
    <w:rsid w:val="00487FAC"/>
    <w:rsid w:val="00492E44"/>
    <w:rsid w:val="004974B5"/>
    <w:rsid w:val="004A1C2F"/>
    <w:rsid w:val="004B22F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E5C34"/>
    <w:rsid w:val="004F29FF"/>
    <w:rsid w:val="004F457D"/>
    <w:rsid w:val="00501FDB"/>
    <w:rsid w:val="00517220"/>
    <w:rsid w:val="00536661"/>
    <w:rsid w:val="00544FC3"/>
    <w:rsid w:val="00546104"/>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91853"/>
    <w:rsid w:val="005B1AF4"/>
    <w:rsid w:val="005B1E63"/>
    <w:rsid w:val="005B1F78"/>
    <w:rsid w:val="005B5700"/>
    <w:rsid w:val="005B664E"/>
    <w:rsid w:val="005C070C"/>
    <w:rsid w:val="005C3E6E"/>
    <w:rsid w:val="005D0E12"/>
    <w:rsid w:val="005D49A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793"/>
    <w:rsid w:val="006E6BE0"/>
    <w:rsid w:val="006E7A53"/>
    <w:rsid w:val="006F01AE"/>
    <w:rsid w:val="006F114D"/>
    <w:rsid w:val="006F1EE6"/>
    <w:rsid w:val="00700DCF"/>
    <w:rsid w:val="0070278B"/>
    <w:rsid w:val="00704AFC"/>
    <w:rsid w:val="00705CCE"/>
    <w:rsid w:val="0071520B"/>
    <w:rsid w:val="007206E0"/>
    <w:rsid w:val="0072398B"/>
    <w:rsid w:val="00730AF7"/>
    <w:rsid w:val="00730C33"/>
    <w:rsid w:val="00731061"/>
    <w:rsid w:val="00734950"/>
    <w:rsid w:val="007358C1"/>
    <w:rsid w:val="0073615C"/>
    <w:rsid w:val="00736C07"/>
    <w:rsid w:val="00753D7A"/>
    <w:rsid w:val="0075487B"/>
    <w:rsid w:val="007606C6"/>
    <w:rsid w:val="007622D8"/>
    <w:rsid w:val="007641D7"/>
    <w:rsid w:val="00764497"/>
    <w:rsid w:val="00765515"/>
    <w:rsid w:val="007700C3"/>
    <w:rsid w:val="00770568"/>
    <w:rsid w:val="0077136F"/>
    <w:rsid w:val="00771B0F"/>
    <w:rsid w:val="00774358"/>
    <w:rsid w:val="00776DD7"/>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4E73"/>
    <w:rsid w:val="007D66F8"/>
    <w:rsid w:val="007D6F0B"/>
    <w:rsid w:val="007D715D"/>
    <w:rsid w:val="007E35E4"/>
    <w:rsid w:val="007F2FFA"/>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1CFF"/>
    <w:rsid w:val="008536F0"/>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95C7B"/>
    <w:rsid w:val="008A0405"/>
    <w:rsid w:val="008A1DCF"/>
    <w:rsid w:val="008A22D5"/>
    <w:rsid w:val="008A3D02"/>
    <w:rsid w:val="008A615F"/>
    <w:rsid w:val="008B29C4"/>
    <w:rsid w:val="008B398A"/>
    <w:rsid w:val="008B6833"/>
    <w:rsid w:val="008C0230"/>
    <w:rsid w:val="008C100B"/>
    <w:rsid w:val="008C40A7"/>
    <w:rsid w:val="008D46A4"/>
    <w:rsid w:val="008D5104"/>
    <w:rsid w:val="008D6541"/>
    <w:rsid w:val="008E2E29"/>
    <w:rsid w:val="008E588B"/>
    <w:rsid w:val="008F65E8"/>
    <w:rsid w:val="008F6C51"/>
    <w:rsid w:val="008F6DED"/>
    <w:rsid w:val="00903C5D"/>
    <w:rsid w:val="00905170"/>
    <w:rsid w:val="009053E3"/>
    <w:rsid w:val="00905ABB"/>
    <w:rsid w:val="00905AE4"/>
    <w:rsid w:val="00910C2B"/>
    <w:rsid w:val="00910C2C"/>
    <w:rsid w:val="00912D7E"/>
    <w:rsid w:val="00914A4B"/>
    <w:rsid w:val="00916204"/>
    <w:rsid w:val="009171F1"/>
    <w:rsid w:val="00926678"/>
    <w:rsid w:val="00931917"/>
    <w:rsid w:val="00942B8D"/>
    <w:rsid w:val="00966EA2"/>
    <w:rsid w:val="009742E0"/>
    <w:rsid w:val="0097678F"/>
    <w:rsid w:val="0098279B"/>
    <w:rsid w:val="00983E61"/>
    <w:rsid w:val="00985EAD"/>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3AC"/>
    <w:rsid w:val="009E16BF"/>
    <w:rsid w:val="009E22B6"/>
    <w:rsid w:val="009E2B01"/>
    <w:rsid w:val="009F1E71"/>
    <w:rsid w:val="009F2952"/>
    <w:rsid w:val="009F2F70"/>
    <w:rsid w:val="009F70F8"/>
    <w:rsid w:val="00A00833"/>
    <w:rsid w:val="00A0106E"/>
    <w:rsid w:val="00A12620"/>
    <w:rsid w:val="00A1576A"/>
    <w:rsid w:val="00A17B9F"/>
    <w:rsid w:val="00A20A36"/>
    <w:rsid w:val="00A2135F"/>
    <w:rsid w:val="00A276E8"/>
    <w:rsid w:val="00A32C75"/>
    <w:rsid w:val="00A357CF"/>
    <w:rsid w:val="00A369AF"/>
    <w:rsid w:val="00A40B79"/>
    <w:rsid w:val="00A42E16"/>
    <w:rsid w:val="00A4708E"/>
    <w:rsid w:val="00A5183C"/>
    <w:rsid w:val="00A5626A"/>
    <w:rsid w:val="00A63339"/>
    <w:rsid w:val="00A65231"/>
    <w:rsid w:val="00A66E07"/>
    <w:rsid w:val="00A705B6"/>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FF4"/>
    <w:rsid w:val="00B14C89"/>
    <w:rsid w:val="00B1769F"/>
    <w:rsid w:val="00B24500"/>
    <w:rsid w:val="00B25BC1"/>
    <w:rsid w:val="00B316BC"/>
    <w:rsid w:val="00B32398"/>
    <w:rsid w:val="00B32CCB"/>
    <w:rsid w:val="00B341B9"/>
    <w:rsid w:val="00B40443"/>
    <w:rsid w:val="00B40F07"/>
    <w:rsid w:val="00B43E85"/>
    <w:rsid w:val="00B53D42"/>
    <w:rsid w:val="00B5527F"/>
    <w:rsid w:val="00B56AB0"/>
    <w:rsid w:val="00B629F5"/>
    <w:rsid w:val="00B64EF1"/>
    <w:rsid w:val="00B6512B"/>
    <w:rsid w:val="00B67838"/>
    <w:rsid w:val="00B737DB"/>
    <w:rsid w:val="00B768B2"/>
    <w:rsid w:val="00B83E99"/>
    <w:rsid w:val="00B87664"/>
    <w:rsid w:val="00B87D31"/>
    <w:rsid w:val="00B90128"/>
    <w:rsid w:val="00B95D4B"/>
    <w:rsid w:val="00BB06C4"/>
    <w:rsid w:val="00BB0E4C"/>
    <w:rsid w:val="00BB2597"/>
    <w:rsid w:val="00BB30B8"/>
    <w:rsid w:val="00BB447F"/>
    <w:rsid w:val="00BB592C"/>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6C17"/>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A248C"/>
    <w:rsid w:val="00CB01CB"/>
    <w:rsid w:val="00CB0908"/>
    <w:rsid w:val="00CC7C2E"/>
    <w:rsid w:val="00CD1845"/>
    <w:rsid w:val="00CD3071"/>
    <w:rsid w:val="00CD3A7E"/>
    <w:rsid w:val="00CE0B71"/>
    <w:rsid w:val="00CE212F"/>
    <w:rsid w:val="00CF7841"/>
    <w:rsid w:val="00D116B1"/>
    <w:rsid w:val="00D116CE"/>
    <w:rsid w:val="00D13789"/>
    <w:rsid w:val="00D21C2C"/>
    <w:rsid w:val="00D25348"/>
    <w:rsid w:val="00D2742E"/>
    <w:rsid w:val="00D31FD8"/>
    <w:rsid w:val="00D348D0"/>
    <w:rsid w:val="00D354E0"/>
    <w:rsid w:val="00D36F9C"/>
    <w:rsid w:val="00D43505"/>
    <w:rsid w:val="00D43C55"/>
    <w:rsid w:val="00D44E46"/>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4558"/>
    <w:rsid w:val="00E0536F"/>
    <w:rsid w:val="00E075CD"/>
    <w:rsid w:val="00E11D39"/>
    <w:rsid w:val="00E16A45"/>
    <w:rsid w:val="00E210E1"/>
    <w:rsid w:val="00E247EB"/>
    <w:rsid w:val="00E24B1E"/>
    <w:rsid w:val="00E256B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25"/>
    <w:rsid w:val="00E83790"/>
    <w:rsid w:val="00E854C1"/>
    <w:rsid w:val="00E87E22"/>
    <w:rsid w:val="00E917CE"/>
    <w:rsid w:val="00E9599A"/>
    <w:rsid w:val="00E96F0E"/>
    <w:rsid w:val="00E97EDD"/>
    <w:rsid w:val="00EB32E4"/>
    <w:rsid w:val="00EC0993"/>
    <w:rsid w:val="00EC22C1"/>
    <w:rsid w:val="00EC5BA9"/>
    <w:rsid w:val="00ED0A58"/>
    <w:rsid w:val="00ED41E8"/>
    <w:rsid w:val="00ED5934"/>
    <w:rsid w:val="00ED730D"/>
    <w:rsid w:val="00ED76CB"/>
    <w:rsid w:val="00ED79CD"/>
    <w:rsid w:val="00EE08F2"/>
    <w:rsid w:val="00EE3146"/>
    <w:rsid w:val="00EE3FC4"/>
    <w:rsid w:val="00EE52CC"/>
    <w:rsid w:val="00EE77CA"/>
    <w:rsid w:val="00EF0568"/>
    <w:rsid w:val="00EF1512"/>
    <w:rsid w:val="00EF1790"/>
    <w:rsid w:val="00EF7564"/>
    <w:rsid w:val="00F01342"/>
    <w:rsid w:val="00F02373"/>
    <w:rsid w:val="00F02AAF"/>
    <w:rsid w:val="00F02CA8"/>
    <w:rsid w:val="00F03E3C"/>
    <w:rsid w:val="00F045D4"/>
    <w:rsid w:val="00F06182"/>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75E02"/>
    <w:rsid w:val="00F802D3"/>
    <w:rsid w:val="00F80D24"/>
    <w:rsid w:val="00F81C79"/>
    <w:rsid w:val="00F83C1D"/>
    <w:rsid w:val="00F943E3"/>
    <w:rsid w:val="00FA01CD"/>
    <w:rsid w:val="00FA4A35"/>
    <w:rsid w:val="00FA7AFE"/>
    <w:rsid w:val="00FB1E06"/>
    <w:rsid w:val="00FC1FD1"/>
    <w:rsid w:val="00FC5B79"/>
    <w:rsid w:val="00FC677B"/>
    <w:rsid w:val="00FD1931"/>
    <w:rsid w:val="00FD71F8"/>
    <w:rsid w:val="00FD77AF"/>
    <w:rsid w:val="00FE1D29"/>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paragraph" w:styleId="NormalWeb">
    <w:name w:val="Normal (Web)"/>
    <w:basedOn w:val="Normal"/>
    <w:uiPriority w:val="99"/>
    <w:semiHidden/>
    <w:unhideWhenUsed/>
    <w:rsid w:val="00731061"/>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ui-provider">
    <w:name w:val="ui-provider"/>
    <w:basedOn w:val="DefaultParagraphFont"/>
    <w:rsid w:val="00E8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cp:revision>
  <cp:lastPrinted>2026-04-01T09:09:00Z</cp:lastPrinted>
  <dcterms:created xsi:type="dcterms:W3CDTF">2026-05-04T09:48:00Z</dcterms:created>
  <dcterms:modified xsi:type="dcterms:W3CDTF">2026-05-25T07:35:00Z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