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A7F5" w14:textId="77777777" w:rsidR="001B43CB" w:rsidRDefault="001B43CB" w:rsidP="005E71C3">
      <w:pPr>
        <w:pStyle w:val="Index2"/>
        <w:sectPr w:rsidR="001B43CB" w:rsidSect="0055344F">
          <w:pgSz w:w="11906" w:h="16838" w:code="9"/>
          <w:pgMar w:top="851" w:right="851" w:bottom="851" w:left="1560" w:header="567" w:footer="0" w:gutter="0"/>
          <w:cols w:space="708"/>
          <w:docGrid w:linePitch="360"/>
        </w:sectPr>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lastRenderedPageBreak/>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 POPIA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r w:rsidRPr="006F313C">
        <w:rPr>
          <w:bCs/>
          <w:snapToGrid w:val="0"/>
          <w:lang w:eastAsia="en-US"/>
        </w:rPr>
        <w:t>entered into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“Necsa”)</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bookmarkStart w:id="0" w:name="_Toc213763414"/>
      <w:r w:rsidRPr="006F313C">
        <w:rPr>
          <w:i/>
          <w:snapToGrid w:val="0"/>
          <w:lang w:eastAsia="en-US"/>
        </w:rPr>
        <w:t>And</w:t>
      </w:r>
      <w:bookmarkEnd w:id="0"/>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6C3162A2" w14:textId="77777777" w:rsidR="006E6BE0" w:rsidRPr="006F313C" w:rsidRDefault="006E6BE0" w:rsidP="006E6BE0">
      <w:pPr>
        <w:jc w:val="center"/>
        <w:rPr>
          <w:lang w:val="en-US"/>
        </w:rPr>
      </w:pPr>
    </w:p>
    <w:p w14:paraId="3DA1DFC8" w14:textId="77777777" w:rsidR="006E6BE0" w:rsidRPr="006F313C" w:rsidRDefault="006E6BE0" w:rsidP="006E6BE0">
      <w:pPr>
        <w:jc w:val="center"/>
        <w:rPr>
          <w:lang w:val="en-US"/>
        </w:rPr>
      </w:pPr>
    </w:p>
    <w:p w14:paraId="0612CA1C" w14:textId="77777777" w:rsidR="006E6BE0" w:rsidRPr="006F313C" w:rsidRDefault="006E6BE0" w:rsidP="006E6BE0">
      <w:pPr>
        <w:jc w:val="center"/>
        <w:rPr>
          <w:lang w:val="en-US"/>
        </w:rPr>
      </w:pPr>
    </w:p>
    <w:p w14:paraId="19E04E78" w14:textId="77777777" w:rsidR="006E6BE0" w:rsidRPr="006F313C" w:rsidRDefault="006E6BE0" w:rsidP="006E6BE0">
      <w:pPr>
        <w:jc w:val="center"/>
        <w:rPr>
          <w:lang w:val="en-US"/>
        </w:rPr>
      </w:pPr>
    </w:p>
    <w:p w14:paraId="4D2F1135" w14:textId="77777777" w:rsidR="006E6BE0" w:rsidRPr="006F313C" w:rsidRDefault="006E6BE0" w:rsidP="006E6BE0">
      <w:pPr>
        <w:jc w:val="center"/>
        <w:rPr>
          <w:lang w:val="en-US"/>
        </w:rPr>
      </w:pPr>
    </w:p>
    <w:p w14:paraId="21B40043" w14:textId="77777777" w:rsidR="006E6BE0" w:rsidRPr="006F313C" w:rsidRDefault="006E6BE0" w:rsidP="006E6BE0">
      <w:pPr>
        <w:rPr>
          <w:lang w:val="en-US"/>
        </w:rPr>
      </w:pPr>
    </w:p>
    <w:p w14:paraId="117AD44C" w14:textId="77777777" w:rsidR="006E6BE0" w:rsidRPr="006F313C" w:rsidRDefault="006E6BE0" w:rsidP="006E6BE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t> </w:t>
      </w:r>
    </w:p>
    <w:p w14:paraId="1BC9FA2C" w14:textId="77777777" w:rsidR="006E6BE0" w:rsidRPr="006F313C" w:rsidRDefault="006E6BE0" w:rsidP="006E6BE0">
      <w:pPr>
        <w:pStyle w:val="Heading1"/>
        <w:ind w:hanging="720"/>
        <w:rPr>
          <w:color w:val="auto"/>
        </w:rPr>
      </w:pPr>
      <w:bookmarkStart w:id="1" w:name="_Toc213763415"/>
      <w:r w:rsidRPr="006F313C">
        <w:rPr>
          <w:color w:val="auto"/>
        </w:rPr>
        <w:lastRenderedPageBreak/>
        <w:t>Scope and Roles</w:t>
      </w:r>
      <w:bookmarkEnd w:id="1"/>
      <w:r w:rsidRPr="006F313C">
        <w:rPr>
          <w:color w:val="auto"/>
        </w:rPr>
        <w:t>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 xml:space="preserve">For purposes of this agreement, The Responsible Party and The Operator agree that The Responsible Party is the Responsible Party of </w:t>
      </w:r>
      <w:proofErr w:type="gramStart"/>
      <w:r w:rsidRPr="006F313C">
        <w:rPr>
          <w:szCs w:val="24"/>
          <w:lang w:val="en-US"/>
        </w:rPr>
        <w:t>the Personal</w:t>
      </w:r>
      <w:proofErr w:type="gramEnd"/>
      <w:r w:rsidRPr="006F313C">
        <w:rPr>
          <w:szCs w:val="24"/>
          <w:lang w:val="en-US"/>
        </w:rPr>
        <w:t xml:space="preserve">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0173E37C" w14:textId="77777777" w:rsidR="006E6BE0" w:rsidRPr="006F313C" w:rsidRDefault="006E6BE0" w:rsidP="006E6BE0">
      <w:pPr>
        <w:pStyle w:val="Heading1"/>
        <w:rPr>
          <w:color w:val="auto"/>
        </w:rPr>
      </w:pPr>
      <w:bookmarkStart w:id="2" w:name="_Toc213763416"/>
      <w:r w:rsidRPr="006F313C">
        <w:rPr>
          <w:color w:val="auto"/>
        </w:rPr>
        <w:t>Definitions</w:t>
      </w:r>
      <w:bookmarkEnd w:id="2"/>
      <w:r w:rsidRPr="006F313C">
        <w:rPr>
          <w:color w:val="auto"/>
        </w:rPr>
        <w:t>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with regard to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w:t>
            </w:r>
            <w:proofErr w:type="spellStart"/>
            <w:r w:rsidRPr="006F313C">
              <w:rPr>
                <w:szCs w:val="24"/>
                <w:lang w:val="en-US"/>
              </w:rPr>
              <w:t>authorised</w:t>
            </w:r>
            <w:proofErr w:type="spellEnd"/>
            <w:r w:rsidRPr="006F313C">
              <w:rPr>
                <w:szCs w:val="24"/>
                <w:lang w:val="en-US"/>
              </w:rPr>
              <w:t>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bookmarkStart w:id="3" w:name="_Toc213763417"/>
      <w:r w:rsidRPr="006F313C">
        <w:rPr>
          <w:color w:val="auto"/>
        </w:rPr>
        <w:t>The Processing</w:t>
      </w:r>
      <w:bookmarkEnd w:id="3"/>
      <w:r w:rsidRPr="006F313C">
        <w:rPr>
          <w:color w:val="auto"/>
        </w:rPr>
        <w:t>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w:t>
      </w:r>
      <w:r w:rsidRPr="006F313C">
        <w:rPr>
          <w:szCs w:val="24"/>
        </w:rPr>
        <w:lastRenderedPageBreak/>
        <w:t xml:space="preserve">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bookmarkStart w:id="4" w:name="_Toc213763418"/>
      <w:r w:rsidRPr="006F313C">
        <w:rPr>
          <w:color w:val="auto"/>
        </w:rPr>
        <w:t>Rights of data subjects</w:t>
      </w:r>
      <w:bookmarkEnd w:id="4"/>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his, her or its personal information has been accessed or acquired by an unauthorised person;</w:t>
      </w:r>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establish whether a responsible party holds personal information of that data subject and to request access to his, her or its personal;</w:t>
      </w:r>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request, where necessary, the correction, destruction or deletion of his, her or its personal information;</w:t>
      </w:r>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on reasonable grounds relating to his, her or its particular situation to the processing of his, her or its personal;</w:t>
      </w:r>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to the processing of his, her or its personal information, at any time for purposes of direct marketing;</w:t>
      </w:r>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have his, her or its personal information processed for purposes of direct marketing by means of unsolicited electronic;</w:t>
      </w:r>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be subject, under certain circumstances, to a decision which is based solely on the basis of the automated processing of his, her or its personal information intended to provide a profile of such;</w:t>
      </w:r>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bookmarkStart w:id="5" w:name="_Toc213763419"/>
      <w:r w:rsidRPr="006F313C">
        <w:rPr>
          <w:color w:val="auto"/>
        </w:rPr>
        <w:t>Obligations and rights of the Responsible Party</w:t>
      </w:r>
      <w:bookmarkEnd w:id="5"/>
      <w:r w:rsidRPr="006F313C">
        <w:rPr>
          <w:color w:val="auto"/>
        </w:rPr>
        <w:t xml:space="preserve">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roofErr w:type="gramStart"/>
      <w:r w:rsidRPr="006F313C">
        <w:rPr>
          <w:szCs w:val="24"/>
        </w:rPr>
        <w:t>Taking into account</w:t>
      </w:r>
      <w:proofErr w:type="gramEnd"/>
      <w:r w:rsidRPr="006F313C">
        <w:rPr>
          <w:szCs w:val="24"/>
        </w:rPr>
        <w: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In particular, such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bookmarkStart w:id="6" w:name="_Toc213763420"/>
      <w:r w:rsidRPr="006F313C">
        <w:rPr>
          <w:color w:val="auto"/>
        </w:rPr>
        <w:lastRenderedPageBreak/>
        <w:t>Obligations of the Operator</w:t>
      </w:r>
      <w:bookmarkEnd w:id="6"/>
      <w:r w:rsidRPr="006F313C">
        <w:rPr>
          <w:color w:val="auto"/>
        </w:rPr>
        <w:t>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Process the Personal Information only on documented instructions from the Responsible Party;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Ensure that persons authorised to process the Personal Information have committed themselves to confidentiality or are under an appropriate statutory obligation of confidentiality;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Take all measures required by the POPI ACT, </w:t>
      </w:r>
      <w:proofErr w:type="gramStart"/>
      <w:r w:rsidRPr="006F313C">
        <w:rPr>
          <w:szCs w:val="24"/>
        </w:rPr>
        <w:t>namely</w:t>
      </w:r>
      <w:proofErr w:type="gramEnd"/>
      <w:r w:rsidRPr="006F313C">
        <w:rPr>
          <w:szCs w:val="24"/>
        </w:rPr>
        <w:t xml:space="preserve"> to implement appropriate technical and organisational measures to ensure a level of security appropriate to the risk to the rights and freedoms of natural persons;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Not engage another Operator (Sub-Operator) without the prior authorisation of the Responsible Party. In cases where another Operator is engaged, the Sub-Operator must be subject to the same contractual terms as described in this Agreement;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in ensuring compliance with the obligations pursuant to the POPI Act, relating to security of Processing, Personal Information Breaches and data protection impact assessments;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72BC4889" w14:textId="77777777" w:rsidR="006E6BE0" w:rsidRPr="006F313C" w:rsidRDefault="006E6BE0" w:rsidP="006E6BE0">
      <w:pPr>
        <w:pStyle w:val="Heading1"/>
        <w:rPr>
          <w:color w:val="auto"/>
        </w:rPr>
      </w:pPr>
      <w:bookmarkStart w:id="7" w:name="_Toc213763421"/>
      <w:r w:rsidRPr="006F313C">
        <w:rPr>
          <w:color w:val="auto"/>
        </w:rPr>
        <w:t>Duration and Applicable Law</w:t>
      </w:r>
      <w:bookmarkEnd w:id="7"/>
      <w:r w:rsidRPr="006F313C">
        <w:rPr>
          <w:color w:val="auto"/>
        </w:rPr>
        <w:t>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bookmarkStart w:id="8" w:name="_Toc213763422"/>
      <w:r w:rsidRPr="006F313C">
        <w:rPr>
          <w:color w:val="auto"/>
        </w:rPr>
        <w:t>Signatures</w:t>
      </w:r>
      <w:bookmarkEnd w:id="8"/>
      <w:r w:rsidRPr="006F313C">
        <w:rPr>
          <w:color w:val="auto"/>
        </w:rPr>
        <w:t>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lastRenderedPageBreak/>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5344F">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6DEB4" w14:textId="77777777" w:rsidR="00397652" w:rsidRDefault="00397652" w:rsidP="00CD1845">
      <w:pPr>
        <w:spacing w:before="0" w:after="0" w:line="240" w:lineRule="auto"/>
      </w:pPr>
      <w:r>
        <w:separator/>
      </w:r>
    </w:p>
    <w:p w14:paraId="753A7CAC" w14:textId="77777777" w:rsidR="00397652" w:rsidRDefault="00397652"/>
  </w:endnote>
  <w:endnote w:type="continuationSeparator" w:id="0">
    <w:p w14:paraId="76EA522A" w14:textId="77777777" w:rsidR="00397652" w:rsidRDefault="00397652" w:rsidP="00CD1845">
      <w:pPr>
        <w:spacing w:before="0" w:after="0" w:line="240" w:lineRule="auto"/>
      </w:pPr>
      <w:r>
        <w:continuationSeparator/>
      </w:r>
    </w:p>
    <w:p w14:paraId="165F1B15" w14:textId="77777777" w:rsidR="00397652" w:rsidRDefault="00397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CEC4" w14:textId="77777777" w:rsidR="00397652" w:rsidRDefault="00397652" w:rsidP="00CD1845">
      <w:pPr>
        <w:spacing w:before="0" w:after="0" w:line="240" w:lineRule="auto"/>
      </w:pPr>
      <w:r>
        <w:separator/>
      </w:r>
    </w:p>
    <w:p w14:paraId="390A150A" w14:textId="77777777" w:rsidR="00397652" w:rsidRDefault="00397652"/>
  </w:footnote>
  <w:footnote w:type="continuationSeparator" w:id="0">
    <w:p w14:paraId="720B92C3" w14:textId="77777777" w:rsidR="00397652" w:rsidRDefault="00397652" w:rsidP="00CD1845">
      <w:pPr>
        <w:spacing w:before="0" w:after="0" w:line="240" w:lineRule="auto"/>
      </w:pPr>
      <w:r>
        <w:continuationSeparator/>
      </w:r>
    </w:p>
    <w:p w14:paraId="410A2F09" w14:textId="77777777" w:rsidR="00397652" w:rsidRDefault="003976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A10CA2"/>
    <w:multiLevelType w:val="hybridMultilevel"/>
    <w:tmpl w:val="AA0865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8F2D5E"/>
    <w:multiLevelType w:val="hybridMultilevel"/>
    <w:tmpl w:val="52E21966"/>
    <w:lvl w:ilvl="0" w:tplc="1C090013">
      <w:start w:val="1"/>
      <w:numFmt w:val="upperRoman"/>
      <w:lvlText w:val="%1."/>
      <w:lvlJc w:val="righ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897EE2"/>
    <w:multiLevelType w:val="multilevel"/>
    <w:tmpl w:val="9CA0228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3"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5"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F9E35EE"/>
    <w:multiLevelType w:val="hybridMultilevel"/>
    <w:tmpl w:val="5D0276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3"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7"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5FC30324"/>
    <w:multiLevelType w:val="multilevel"/>
    <w:tmpl w:val="DC66D6FA"/>
    <w:numStyleLink w:val="ACSListStyle"/>
  </w:abstractNum>
  <w:abstractNum w:abstractNumId="29"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0"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1E76C64"/>
    <w:multiLevelType w:val="hybridMultilevel"/>
    <w:tmpl w:val="14C8BF5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551674"/>
    <w:multiLevelType w:val="hybridMultilevel"/>
    <w:tmpl w:val="4208AD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AE6A6F"/>
    <w:multiLevelType w:val="hybridMultilevel"/>
    <w:tmpl w:val="F66063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21"/>
  </w:num>
  <w:num w:numId="2" w16cid:durableId="1455446398">
    <w:abstractNumId w:val="5"/>
  </w:num>
  <w:num w:numId="3" w16cid:durableId="236675952">
    <w:abstractNumId w:val="4"/>
  </w:num>
  <w:num w:numId="4" w16cid:durableId="1817607055">
    <w:abstractNumId w:val="17"/>
  </w:num>
  <w:num w:numId="5" w16cid:durableId="1050690789">
    <w:abstractNumId w:val="28"/>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30"/>
  </w:num>
  <w:num w:numId="7" w16cid:durableId="1227371664">
    <w:abstractNumId w:val="12"/>
  </w:num>
  <w:num w:numId="8" w16cid:durableId="134614312">
    <w:abstractNumId w:val="26"/>
  </w:num>
  <w:num w:numId="9" w16cid:durableId="1964383686">
    <w:abstractNumId w:val="7"/>
  </w:num>
  <w:num w:numId="10" w16cid:durableId="1358890128">
    <w:abstractNumId w:val="13"/>
  </w:num>
  <w:num w:numId="11" w16cid:durableId="778571356">
    <w:abstractNumId w:val="12"/>
  </w:num>
  <w:num w:numId="12" w16cid:durableId="1833524867">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8"/>
  </w:num>
  <w:num w:numId="15" w16cid:durableId="1567258405">
    <w:abstractNumId w:val="22"/>
  </w:num>
  <w:num w:numId="16" w16cid:durableId="141898692">
    <w:abstractNumId w:val="1"/>
  </w:num>
  <w:num w:numId="17" w16cid:durableId="2007971863">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29"/>
  </w:num>
  <w:num w:numId="19" w16cid:durableId="674304335">
    <w:abstractNumId w:val="16"/>
  </w:num>
  <w:num w:numId="20" w16cid:durableId="867572746">
    <w:abstractNumId w:val="27"/>
  </w:num>
  <w:num w:numId="21" w16cid:durableId="129981831">
    <w:abstractNumId w:val="25"/>
  </w:num>
  <w:num w:numId="22" w16cid:durableId="1235965736">
    <w:abstractNumId w:val="14"/>
  </w:num>
  <w:num w:numId="23" w16cid:durableId="222102781">
    <w:abstractNumId w:val="0"/>
  </w:num>
  <w:num w:numId="24" w16cid:durableId="35009335">
    <w:abstractNumId w:val="12"/>
  </w:num>
  <w:num w:numId="25" w16cid:durableId="1429692832">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31"/>
  </w:num>
  <w:num w:numId="27" w16cid:durableId="1744528886">
    <w:abstractNumId w:val="24"/>
  </w:num>
  <w:num w:numId="28" w16cid:durableId="1378238183">
    <w:abstractNumId w:val="18"/>
  </w:num>
  <w:num w:numId="29" w16cid:durableId="1146166041">
    <w:abstractNumId w:val="33"/>
  </w:num>
  <w:num w:numId="30" w16cid:durableId="160128277">
    <w:abstractNumId w:val="9"/>
  </w:num>
  <w:num w:numId="31" w16cid:durableId="324554064">
    <w:abstractNumId w:val="35"/>
  </w:num>
  <w:num w:numId="32" w16cid:durableId="608196441">
    <w:abstractNumId w:val="20"/>
  </w:num>
  <w:num w:numId="33" w16cid:durableId="1061244911">
    <w:abstractNumId w:val="11"/>
  </w:num>
  <w:num w:numId="34" w16cid:durableId="1179854558">
    <w:abstractNumId w:val="15"/>
  </w:num>
  <w:num w:numId="35" w16cid:durableId="1253660253">
    <w:abstractNumId w:val="6"/>
  </w:num>
  <w:num w:numId="36" w16cid:durableId="1040209671">
    <w:abstractNumId w:val="12"/>
  </w:num>
  <w:num w:numId="37" w16cid:durableId="1800294870">
    <w:abstractNumId w:val="12"/>
  </w:num>
  <w:num w:numId="38" w16cid:durableId="1634486951">
    <w:abstractNumId w:val="34"/>
  </w:num>
  <w:num w:numId="39" w16cid:durableId="1093815304">
    <w:abstractNumId w:val="23"/>
  </w:num>
  <w:num w:numId="40" w16cid:durableId="35355967">
    <w:abstractNumId w:val="10"/>
  </w:num>
  <w:num w:numId="41" w16cid:durableId="1590696351">
    <w:abstractNumId w:val="3"/>
  </w:num>
  <w:num w:numId="42" w16cid:durableId="916865006">
    <w:abstractNumId w:val="19"/>
  </w:num>
  <w:num w:numId="43" w16cid:durableId="1763337152">
    <w:abstractNumId w:val="36"/>
  </w:num>
  <w:num w:numId="44" w16cid:durableId="1887570933">
    <w:abstractNumId w:val="37"/>
  </w:num>
  <w:num w:numId="45" w16cid:durableId="1239094782">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490F"/>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226A"/>
    <w:rsid w:val="0005233B"/>
    <w:rsid w:val="00052B5A"/>
    <w:rsid w:val="000567EE"/>
    <w:rsid w:val="00056E94"/>
    <w:rsid w:val="00066C02"/>
    <w:rsid w:val="00072980"/>
    <w:rsid w:val="0007430C"/>
    <w:rsid w:val="00076F5E"/>
    <w:rsid w:val="00081095"/>
    <w:rsid w:val="00081E58"/>
    <w:rsid w:val="00094AF5"/>
    <w:rsid w:val="00094BBA"/>
    <w:rsid w:val="00096AA6"/>
    <w:rsid w:val="00097E34"/>
    <w:rsid w:val="000A211B"/>
    <w:rsid w:val="000A22D6"/>
    <w:rsid w:val="000A6660"/>
    <w:rsid w:val="000B07DB"/>
    <w:rsid w:val="000B3020"/>
    <w:rsid w:val="000B4937"/>
    <w:rsid w:val="000B4C6E"/>
    <w:rsid w:val="000B7A91"/>
    <w:rsid w:val="000C2C64"/>
    <w:rsid w:val="000C390C"/>
    <w:rsid w:val="000C44C2"/>
    <w:rsid w:val="000E070F"/>
    <w:rsid w:val="000E6090"/>
    <w:rsid w:val="000E63F3"/>
    <w:rsid w:val="000F6CD7"/>
    <w:rsid w:val="000F7888"/>
    <w:rsid w:val="0010102C"/>
    <w:rsid w:val="00101956"/>
    <w:rsid w:val="0010557F"/>
    <w:rsid w:val="001060E6"/>
    <w:rsid w:val="0010656A"/>
    <w:rsid w:val="001123AD"/>
    <w:rsid w:val="001221C6"/>
    <w:rsid w:val="00130E55"/>
    <w:rsid w:val="00131B24"/>
    <w:rsid w:val="00133FF7"/>
    <w:rsid w:val="00137086"/>
    <w:rsid w:val="00143076"/>
    <w:rsid w:val="00143AE7"/>
    <w:rsid w:val="001445BC"/>
    <w:rsid w:val="001470DC"/>
    <w:rsid w:val="00153833"/>
    <w:rsid w:val="00155EAC"/>
    <w:rsid w:val="00174F96"/>
    <w:rsid w:val="0018044C"/>
    <w:rsid w:val="00183AC8"/>
    <w:rsid w:val="001860A0"/>
    <w:rsid w:val="00186582"/>
    <w:rsid w:val="00193C44"/>
    <w:rsid w:val="00196EE8"/>
    <w:rsid w:val="001A0B85"/>
    <w:rsid w:val="001A1831"/>
    <w:rsid w:val="001A440E"/>
    <w:rsid w:val="001B1426"/>
    <w:rsid w:val="001B218A"/>
    <w:rsid w:val="001B43CB"/>
    <w:rsid w:val="001B5C29"/>
    <w:rsid w:val="001B62A0"/>
    <w:rsid w:val="001C0355"/>
    <w:rsid w:val="001C4EAB"/>
    <w:rsid w:val="001C6BA2"/>
    <w:rsid w:val="001D0780"/>
    <w:rsid w:val="001D0E7C"/>
    <w:rsid w:val="001D4236"/>
    <w:rsid w:val="001D644F"/>
    <w:rsid w:val="001D6A5F"/>
    <w:rsid w:val="001E5E44"/>
    <w:rsid w:val="001F7EDC"/>
    <w:rsid w:val="00200F33"/>
    <w:rsid w:val="00213098"/>
    <w:rsid w:val="00213B92"/>
    <w:rsid w:val="00215A55"/>
    <w:rsid w:val="0021630F"/>
    <w:rsid w:val="00216F92"/>
    <w:rsid w:val="00222530"/>
    <w:rsid w:val="00230068"/>
    <w:rsid w:val="00230145"/>
    <w:rsid w:val="00231D93"/>
    <w:rsid w:val="002336B3"/>
    <w:rsid w:val="00235C1E"/>
    <w:rsid w:val="002431B9"/>
    <w:rsid w:val="00245146"/>
    <w:rsid w:val="002468C0"/>
    <w:rsid w:val="00250BE7"/>
    <w:rsid w:val="00250C3E"/>
    <w:rsid w:val="00253F24"/>
    <w:rsid w:val="002572ED"/>
    <w:rsid w:val="00257932"/>
    <w:rsid w:val="00263DE3"/>
    <w:rsid w:val="002643E9"/>
    <w:rsid w:val="00264F10"/>
    <w:rsid w:val="00272969"/>
    <w:rsid w:val="00272A4B"/>
    <w:rsid w:val="002734D4"/>
    <w:rsid w:val="0027565A"/>
    <w:rsid w:val="002820D5"/>
    <w:rsid w:val="0028352E"/>
    <w:rsid w:val="00291EF9"/>
    <w:rsid w:val="00292449"/>
    <w:rsid w:val="00294BCE"/>
    <w:rsid w:val="0029519C"/>
    <w:rsid w:val="002953A1"/>
    <w:rsid w:val="0029677C"/>
    <w:rsid w:val="00297E07"/>
    <w:rsid w:val="002A3D77"/>
    <w:rsid w:val="002B25D2"/>
    <w:rsid w:val="002B3086"/>
    <w:rsid w:val="002B45F7"/>
    <w:rsid w:val="002B4DBC"/>
    <w:rsid w:val="002C12D7"/>
    <w:rsid w:val="002C45AC"/>
    <w:rsid w:val="002D1608"/>
    <w:rsid w:val="002D3216"/>
    <w:rsid w:val="002E0037"/>
    <w:rsid w:val="002E0CB1"/>
    <w:rsid w:val="002E7DFD"/>
    <w:rsid w:val="002F2FD6"/>
    <w:rsid w:val="002F37E7"/>
    <w:rsid w:val="0030524C"/>
    <w:rsid w:val="00313CE5"/>
    <w:rsid w:val="00314C85"/>
    <w:rsid w:val="00327F58"/>
    <w:rsid w:val="00330A4C"/>
    <w:rsid w:val="0033606A"/>
    <w:rsid w:val="00337854"/>
    <w:rsid w:val="00341BFD"/>
    <w:rsid w:val="00347642"/>
    <w:rsid w:val="00353BAA"/>
    <w:rsid w:val="00354032"/>
    <w:rsid w:val="003546CF"/>
    <w:rsid w:val="0035761A"/>
    <w:rsid w:val="00362917"/>
    <w:rsid w:val="00364517"/>
    <w:rsid w:val="00367FD1"/>
    <w:rsid w:val="00370593"/>
    <w:rsid w:val="00373840"/>
    <w:rsid w:val="00375B40"/>
    <w:rsid w:val="00376C17"/>
    <w:rsid w:val="00382604"/>
    <w:rsid w:val="00383786"/>
    <w:rsid w:val="003900CE"/>
    <w:rsid w:val="003912DA"/>
    <w:rsid w:val="003929E9"/>
    <w:rsid w:val="00395CAC"/>
    <w:rsid w:val="00397652"/>
    <w:rsid w:val="00397AE8"/>
    <w:rsid w:val="003A235B"/>
    <w:rsid w:val="003A6821"/>
    <w:rsid w:val="003A6A8B"/>
    <w:rsid w:val="003B0F32"/>
    <w:rsid w:val="003B2BDA"/>
    <w:rsid w:val="003B5673"/>
    <w:rsid w:val="003D5ADD"/>
    <w:rsid w:val="003D6F6C"/>
    <w:rsid w:val="003E10BA"/>
    <w:rsid w:val="003E4D55"/>
    <w:rsid w:val="003E57F9"/>
    <w:rsid w:val="003E6760"/>
    <w:rsid w:val="003F46AD"/>
    <w:rsid w:val="00401102"/>
    <w:rsid w:val="004027CD"/>
    <w:rsid w:val="00403418"/>
    <w:rsid w:val="004136F7"/>
    <w:rsid w:val="00414D47"/>
    <w:rsid w:val="00423B45"/>
    <w:rsid w:val="0042653B"/>
    <w:rsid w:val="00434728"/>
    <w:rsid w:val="00442920"/>
    <w:rsid w:val="00446B51"/>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59FE"/>
    <w:rsid w:val="00487FAC"/>
    <w:rsid w:val="00492E44"/>
    <w:rsid w:val="004974B5"/>
    <w:rsid w:val="004A1C2F"/>
    <w:rsid w:val="004A2219"/>
    <w:rsid w:val="004B2230"/>
    <w:rsid w:val="004B3FB7"/>
    <w:rsid w:val="004B50E2"/>
    <w:rsid w:val="004C06BE"/>
    <w:rsid w:val="004C3D62"/>
    <w:rsid w:val="004C492D"/>
    <w:rsid w:val="004C4977"/>
    <w:rsid w:val="004C618F"/>
    <w:rsid w:val="004C6CAD"/>
    <w:rsid w:val="004C7C23"/>
    <w:rsid w:val="004D1B87"/>
    <w:rsid w:val="004D2A5D"/>
    <w:rsid w:val="004D4729"/>
    <w:rsid w:val="004D695D"/>
    <w:rsid w:val="004D7299"/>
    <w:rsid w:val="004E00F0"/>
    <w:rsid w:val="004E279C"/>
    <w:rsid w:val="004E3330"/>
    <w:rsid w:val="00501FDB"/>
    <w:rsid w:val="00517220"/>
    <w:rsid w:val="00536661"/>
    <w:rsid w:val="00544FC3"/>
    <w:rsid w:val="0054721F"/>
    <w:rsid w:val="0055026D"/>
    <w:rsid w:val="00550A62"/>
    <w:rsid w:val="0055231C"/>
    <w:rsid w:val="005527CA"/>
    <w:rsid w:val="0055344F"/>
    <w:rsid w:val="00554C52"/>
    <w:rsid w:val="00560C34"/>
    <w:rsid w:val="00561729"/>
    <w:rsid w:val="00563B7D"/>
    <w:rsid w:val="00566059"/>
    <w:rsid w:val="00570267"/>
    <w:rsid w:val="00572925"/>
    <w:rsid w:val="00580CD8"/>
    <w:rsid w:val="005824FD"/>
    <w:rsid w:val="0058651E"/>
    <w:rsid w:val="0058701E"/>
    <w:rsid w:val="005B1AF4"/>
    <w:rsid w:val="005B1E63"/>
    <w:rsid w:val="005B1F78"/>
    <w:rsid w:val="005B5700"/>
    <w:rsid w:val="005B664E"/>
    <w:rsid w:val="005C070C"/>
    <w:rsid w:val="005C1B03"/>
    <w:rsid w:val="005C3E6E"/>
    <w:rsid w:val="005D49AB"/>
    <w:rsid w:val="005E71C3"/>
    <w:rsid w:val="005F793C"/>
    <w:rsid w:val="005F7D71"/>
    <w:rsid w:val="005F7F05"/>
    <w:rsid w:val="006026B8"/>
    <w:rsid w:val="00604520"/>
    <w:rsid w:val="006053CA"/>
    <w:rsid w:val="0060709E"/>
    <w:rsid w:val="00612896"/>
    <w:rsid w:val="00623F1D"/>
    <w:rsid w:val="006255BC"/>
    <w:rsid w:val="00631457"/>
    <w:rsid w:val="0063625C"/>
    <w:rsid w:val="00636750"/>
    <w:rsid w:val="00640CAA"/>
    <w:rsid w:val="00641BE9"/>
    <w:rsid w:val="00646A6D"/>
    <w:rsid w:val="00647974"/>
    <w:rsid w:val="00650FC7"/>
    <w:rsid w:val="00651EF5"/>
    <w:rsid w:val="00656238"/>
    <w:rsid w:val="00656EA3"/>
    <w:rsid w:val="00661281"/>
    <w:rsid w:val="00664B44"/>
    <w:rsid w:val="00665A43"/>
    <w:rsid w:val="0067202A"/>
    <w:rsid w:val="0067261A"/>
    <w:rsid w:val="0067380F"/>
    <w:rsid w:val="00674693"/>
    <w:rsid w:val="00674E3E"/>
    <w:rsid w:val="00675306"/>
    <w:rsid w:val="00676612"/>
    <w:rsid w:val="00676974"/>
    <w:rsid w:val="0068396F"/>
    <w:rsid w:val="00685A72"/>
    <w:rsid w:val="00687DB8"/>
    <w:rsid w:val="006A012D"/>
    <w:rsid w:val="006A1D0F"/>
    <w:rsid w:val="006A1F7A"/>
    <w:rsid w:val="006A4548"/>
    <w:rsid w:val="006A7F24"/>
    <w:rsid w:val="006B3626"/>
    <w:rsid w:val="006B4A2E"/>
    <w:rsid w:val="006B719C"/>
    <w:rsid w:val="006B7A7A"/>
    <w:rsid w:val="006C1D81"/>
    <w:rsid w:val="006C25DE"/>
    <w:rsid w:val="006D2D01"/>
    <w:rsid w:val="006D5C30"/>
    <w:rsid w:val="006D6113"/>
    <w:rsid w:val="006E040B"/>
    <w:rsid w:val="006E2467"/>
    <w:rsid w:val="006E3382"/>
    <w:rsid w:val="006E6BE0"/>
    <w:rsid w:val="006E7A53"/>
    <w:rsid w:val="006F01AE"/>
    <w:rsid w:val="006F114D"/>
    <w:rsid w:val="006F1EE6"/>
    <w:rsid w:val="00700DCF"/>
    <w:rsid w:val="0070278B"/>
    <w:rsid w:val="00705CCE"/>
    <w:rsid w:val="0071520B"/>
    <w:rsid w:val="0072398B"/>
    <w:rsid w:val="00730AF7"/>
    <w:rsid w:val="00730C33"/>
    <w:rsid w:val="00734950"/>
    <w:rsid w:val="007358C1"/>
    <w:rsid w:val="00736C07"/>
    <w:rsid w:val="007415DA"/>
    <w:rsid w:val="00753D7A"/>
    <w:rsid w:val="0075487B"/>
    <w:rsid w:val="007606C6"/>
    <w:rsid w:val="007622D8"/>
    <w:rsid w:val="007641D7"/>
    <w:rsid w:val="00764497"/>
    <w:rsid w:val="00765515"/>
    <w:rsid w:val="00770568"/>
    <w:rsid w:val="0077136F"/>
    <w:rsid w:val="00771B0F"/>
    <w:rsid w:val="00774358"/>
    <w:rsid w:val="0077497D"/>
    <w:rsid w:val="00777F53"/>
    <w:rsid w:val="007800F3"/>
    <w:rsid w:val="00780BBD"/>
    <w:rsid w:val="00782AF6"/>
    <w:rsid w:val="00784B99"/>
    <w:rsid w:val="007853A5"/>
    <w:rsid w:val="00786A37"/>
    <w:rsid w:val="007917C9"/>
    <w:rsid w:val="007937E0"/>
    <w:rsid w:val="00794C8E"/>
    <w:rsid w:val="00795765"/>
    <w:rsid w:val="007A7BBC"/>
    <w:rsid w:val="007B05E3"/>
    <w:rsid w:val="007B5759"/>
    <w:rsid w:val="007C2D79"/>
    <w:rsid w:val="007C6956"/>
    <w:rsid w:val="007C6D39"/>
    <w:rsid w:val="007D4CBC"/>
    <w:rsid w:val="007D66F8"/>
    <w:rsid w:val="007D6F0B"/>
    <w:rsid w:val="007D715D"/>
    <w:rsid w:val="007E35E4"/>
    <w:rsid w:val="007F5C5F"/>
    <w:rsid w:val="007F64A7"/>
    <w:rsid w:val="008007BD"/>
    <w:rsid w:val="00801F1E"/>
    <w:rsid w:val="00802076"/>
    <w:rsid w:val="00806C82"/>
    <w:rsid w:val="00813A84"/>
    <w:rsid w:val="00821B1C"/>
    <w:rsid w:val="00821E82"/>
    <w:rsid w:val="008231E7"/>
    <w:rsid w:val="0082767A"/>
    <w:rsid w:val="00832F82"/>
    <w:rsid w:val="008346F6"/>
    <w:rsid w:val="00835313"/>
    <w:rsid w:val="0083684C"/>
    <w:rsid w:val="008406F2"/>
    <w:rsid w:val="00840B23"/>
    <w:rsid w:val="00840DA5"/>
    <w:rsid w:val="00844159"/>
    <w:rsid w:val="00855BB5"/>
    <w:rsid w:val="00857168"/>
    <w:rsid w:val="00860268"/>
    <w:rsid w:val="00860F6B"/>
    <w:rsid w:val="008610B6"/>
    <w:rsid w:val="00864BFE"/>
    <w:rsid w:val="00866235"/>
    <w:rsid w:val="008707EF"/>
    <w:rsid w:val="00874BFF"/>
    <w:rsid w:val="008753D1"/>
    <w:rsid w:val="00880DCF"/>
    <w:rsid w:val="00881341"/>
    <w:rsid w:val="0088306C"/>
    <w:rsid w:val="00883654"/>
    <w:rsid w:val="008878DE"/>
    <w:rsid w:val="008A0405"/>
    <w:rsid w:val="008A1DCF"/>
    <w:rsid w:val="008A22D5"/>
    <w:rsid w:val="008A615F"/>
    <w:rsid w:val="008B29C4"/>
    <w:rsid w:val="008B398A"/>
    <w:rsid w:val="008B6833"/>
    <w:rsid w:val="008C40A7"/>
    <w:rsid w:val="008D5104"/>
    <w:rsid w:val="008D6541"/>
    <w:rsid w:val="008E245D"/>
    <w:rsid w:val="008E2E29"/>
    <w:rsid w:val="008E588B"/>
    <w:rsid w:val="008F65E8"/>
    <w:rsid w:val="008F6C51"/>
    <w:rsid w:val="008F6DED"/>
    <w:rsid w:val="00903C5D"/>
    <w:rsid w:val="00905170"/>
    <w:rsid w:val="00905ABB"/>
    <w:rsid w:val="00905AE4"/>
    <w:rsid w:val="00910C2B"/>
    <w:rsid w:val="00910C2C"/>
    <w:rsid w:val="00912D7E"/>
    <w:rsid w:val="00914A4B"/>
    <w:rsid w:val="00916204"/>
    <w:rsid w:val="009171F1"/>
    <w:rsid w:val="00926678"/>
    <w:rsid w:val="00930172"/>
    <w:rsid w:val="00931917"/>
    <w:rsid w:val="00955A80"/>
    <w:rsid w:val="00966EA2"/>
    <w:rsid w:val="009742E0"/>
    <w:rsid w:val="00974FC9"/>
    <w:rsid w:val="0097678F"/>
    <w:rsid w:val="0098279B"/>
    <w:rsid w:val="0099432C"/>
    <w:rsid w:val="009955E6"/>
    <w:rsid w:val="00995B11"/>
    <w:rsid w:val="009966AB"/>
    <w:rsid w:val="009A1AF8"/>
    <w:rsid w:val="009B0491"/>
    <w:rsid w:val="009B06AF"/>
    <w:rsid w:val="009B22D7"/>
    <w:rsid w:val="009C095C"/>
    <w:rsid w:val="009C1CB7"/>
    <w:rsid w:val="009C3471"/>
    <w:rsid w:val="009D0A5D"/>
    <w:rsid w:val="009D2CA9"/>
    <w:rsid w:val="009D387F"/>
    <w:rsid w:val="009D79A3"/>
    <w:rsid w:val="009E16BF"/>
    <w:rsid w:val="009E22B6"/>
    <w:rsid w:val="009E2B01"/>
    <w:rsid w:val="009E4E94"/>
    <w:rsid w:val="009F1E71"/>
    <w:rsid w:val="009F2952"/>
    <w:rsid w:val="009F2F70"/>
    <w:rsid w:val="009F70F8"/>
    <w:rsid w:val="00A00833"/>
    <w:rsid w:val="00A0106E"/>
    <w:rsid w:val="00A1576A"/>
    <w:rsid w:val="00A17B9F"/>
    <w:rsid w:val="00A20A36"/>
    <w:rsid w:val="00A2135F"/>
    <w:rsid w:val="00A276E8"/>
    <w:rsid w:val="00A27F0E"/>
    <w:rsid w:val="00A32C75"/>
    <w:rsid w:val="00A357CF"/>
    <w:rsid w:val="00A369AF"/>
    <w:rsid w:val="00A40B79"/>
    <w:rsid w:val="00A42E16"/>
    <w:rsid w:val="00A4708E"/>
    <w:rsid w:val="00A5183C"/>
    <w:rsid w:val="00A63339"/>
    <w:rsid w:val="00A65231"/>
    <w:rsid w:val="00A66E07"/>
    <w:rsid w:val="00A745F2"/>
    <w:rsid w:val="00A82F91"/>
    <w:rsid w:val="00A83372"/>
    <w:rsid w:val="00A8791F"/>
    <w:rsid w:val="00A9008F"/>
    <w:rsid w:val="00A901ED"/>
    <w:rsid w:val="00A946E5"/>
    <w:rsid w:val="00A971B2"/>
    <w:rsid w:val="00AA5BE3"/>
    <w:rsid w:val="00AB18ED"/>
    <w:rsid w:val="00AB31FE"/>
    <w:rsid w:val="00AB3FE5"/>
    <w:rsid w:val="00AB5CE3"/>
    <w:rsid w:val="00AB6B6B"/>
    <w:rsid w:val="00AB75D0"/>
    <w:rsid w:val="00AC5AAB"/>
    <w:rsid w:val="00AC62B1"/>
    <w:rsid w:val="00AC7B6B"/>
    <w:rsid w:val="00AD7722"/>
    <w:rsid w:val="00AE050D"/>
    <w:rsid w:val="00AE1249"/>
    <w:rsid w:val="00AE3589"/>
    <w:rsid w:val="00AE6277"/>
    <w:rsid w:val="00AF4D0E"/>
    <w:rsid w:val="00AF6803"/>
    <w:rsid w:val="00B01F21"/>
    <w:rsid w:val="00B03BAE"/>
    <w:rsid w:val="00B0612F"/>
    <w:rsid w:val="00B1769F"/>
    <w:rsid w:val="00B24500"/>
    <w:rsid w:val="00B25BC1"/>
    <w:rsid w:val="00B316BC"/>
    <w:rsid w:val="00B32398"/>
    <w:rsid w:val="00B32CCB"/>
    <w:rsid w:val="00B341B9"/>
    <w:rsid w:val="00B40443"/>
    <w:rsid w:val="00B40F07"/>
    <w:rsid w:val="00B43E85"/>
    <w:rsid w:val="00B4566F"/>
    <w:rsid w:val="00B5527F"/>
    <w:rsid w:val="00B56AB0"/>
    <w:rsid w:val="00B629F5"/>
    <w:rsid w:val="00B64EF1"/>
    <w:rsid w:val="00B6512B"/>
    <w:rsid w:val="00B67838"/>
    <w:rsid w:val="00B717E1"/>
    <w:rsid w:val="00B737DB"/>
    <w:rsid w:val="00B83E99"/>
    <w:rsid w:val="00B87664"/>
    <w:rsid w:val="00B87D31"/>
    <w:rsid w:val="00B90128"/>
    <w:rsid w:val="00B95D4B"/>
    <w:rsid w:val="00BB06C4"/>
    <w:rsid w:val="00BB0E4C"/>
    <w:rsid w:val="00BB2597"/>
    <w:rsid w:val="00BB30B8"/>
    <w:rsid w:val="00BB447F"/>
    <w:rsid w:val="00BB6CDE"/>
    <w:rsid w:val="00BC146B"/>
    <w:rsid w:val="00BC7666"/>
    <w:rsid w:val="00BD2693"/>
    <w:rsid w:val="00BD4B6B"/>
    <w:rsid w:val="00BD70A3"/>
    <w:rsid w:val="00BE226B"/>
    <w:rsid w:val="00BE284A"/>
    <w:rsid w:val="00BE55D8"/>
    <w:rsid w:val="00BE6089"/>
    <w:rsid w:val="00BF1AB5"/>
    <w:rsid w:val="00BF3410"/>
    <w:rsid w:val="00BF4F02"/>
    <w:rsid w:val="00C041EA"/>
    <w:rsid w:val="00C142ED"/>
    <w:rsid w:val="00C14590"/>
    <w:rsid w:val="00C1777E"/>
    <w:rsid w:val="00C17C0F"/>
    <w:rsid w:val="00C308E0"/>
    <w:rsid w:val="00C3429F"/>
    <w:rsid w:val="00C34DFD"/>
    <w:rsid w:val="00C37554"/>
    <w:rsid w:val="00C42470"/>
    <w:rsid w:val="00C429C7"/>
    <w:rsid w:val="00C45E0B"/>
    <w:rsid w:val="00C47A25"/>
    <w:rsid w:val="00C53564"/>
    <w:rsid w:val="00C613CB"/>
    <w:rsid w:val="00C6374C"/>
    <w:rsid w:val="00C6412B"/>
    <w:rsid w:val="00C70F7B"/>
    <w:rsid w:val="00C723E1"/>
    <w:rsid w:val="00C735E3"/>
    <w:rsid w:val="00C75B7C"/>
    <w:rsid w:val="00C7691A"/>
    <w:rsid w:val="00C92C3A"/>
    <w:rsid w:val="00C95C94"/>
    <w:rsid w:val="00CB01CB"/>
    <w:rsid w:val="00CB0908"/>
    <w:rsid w:val="00CC38B4"/>
    <w:rsid w:val="00CC7C2E"/>
    <w:rsid w:val="00CD1845"/>
    <w:rsid w:val="00CD3071"/>
    <w:rsid w:val="00CD3A7E"/>
    <w:rsid w:val="00CE0B71"/>
    <w:rsid w:val="00CE212F"/>
    <w:rsid w:val="00CF7841"/>
    <w:rsid w:val="00D116B1"/>
    <w:rsid w:val="00D116CE"/>
    <w:rsid w:val="00D21C2C"/>
    <w:rsid w:val="00D25348"/>
    <w:rsid w:val="00D2742E"/>
    <w:rsid w:val="00D348D0"/>
    <w:rsid w:val="00D354E0"/>
    <w:rsid w:val="00D36F9C"/>
    <w:rsid w:val="00D41DE3"/>
    <w:rsid w:val="00D43505"/>
    <w:rsid w:val="00D43C55"/>
    <w:rsid w:val="00D44E70"/>
    <w:rsid w:val="00D46BCB"/>
    <w:rsid w:val="00D52537"/>
    <w:rsid w:val="00D52850"/>
    <w:rsid w:val="00D61A2C"/>
    <w:rsid w:val="00D61FB8"/>
    <w:rsid w:val="00D632E1"/>
    <w:rsid w:val="00D6488C"/>
    <w:rsid w:val="00D655B8"/>
    <w:rsid w:val="00D73C5E"/>
    <w:rsid w:val="00D80D57"/>
    <w:rsid w:val="00D87C32"/>
    <w:rsid w:val="00D907E9"/>
    <w:rsid w:val="00D924F5"/>
    <w:rsid w:val="00D9345D"/>
    <w:rsid w:val="00DA39DC"/>
    <w:rsid w:val="00DA6317"/>
    <w:rsid w:val="00DA72E8"/>
    <w:rsid w:val="00DA7B6A"/>
    <w:rsid w:val="00DB263A"/>
    <w:rsid w:val="00DB2A3E"/>
    <w:rsid w:val="00DB77DD"/>
    <w:rsid w:val="00DC5239"/>
    <w:rsid w:val="00DD1068"/>
    <w:rsid w:val="00DD4068"/>
    <w:rsid w:val="00DD4D76"/>
    <w:rsid w:val="00DD5A1C"/>
    <w:rsid w:val="00DE6851"/>
    <w:rsid w:val="00DE6853"/>
    <w:rsid w:val="00DF7F7D"/>
    <w:rsid w:val="00E005BE"/>
    <w:rsid w:val="00E03B36"/>
    <w:rsid w:val="00E03C09"/>
    <w:rsid w:val="00E0536F"/>
    <w:rsid w:val="00E075CD"/>
    <w:rsid w:val="00E11D39"/>
    <w:rsid w:val="00E16A45"/>
    <w:rsid w:val="00E210E1"/>
    <w:rsid w:val="00E247EB"/>
    <w:rsid w:val="00E25BF8"/>
    <w:rsid w:val="00E2649D"/>
    <w:rsid w:val="00E3542B"/>
    <w:rsid w:val="00E40364"/>
    <w:rsid w:val="00E42D20"/>
    <w:rsid w:val="00E43C4C"/>
    <w:rsid w:val="00E46F70"/>
    <w:rsid w:val="00E5444E"/>
    <w:rsid w:val="00E55AD1"/>
    <w:rsid w:val="00E5699A"/>
    <w:rsid w:val="00E57717"/>
    <w:rsid w:val="00E6029A"/>
    <w:rsid w:val="00E6458C"/>
    <w:rsid w:val="00E65A12"/>
    <w:rsid w:val="00E661B7"/>
    <w:rsid w:val="00E6717A"/>
    <w:rsid w:val="00E7099B"/>
    <w:rsid w:val="00E80070"/>
    <w:rsid w:val="00E80D53"/>
    <w:rsid w:val="00E87E22"/>
    <w:rsid w:val="00E917CE"/>
    <w:rsid w:val="00E9599A"/>
    <w:rsid w:val="00E97EDD"/>
    <w:rsid w:val="00EA4246"/>
    <w:rsid w:val="00EB32E4"/>
    <w:rsid w:val="00EC0993"/>
    <w:rsid w:val="00EC22C1"/>
    <w:rsid w:val="00EC5BA9"/>
    <w:rsid w:val="00ED0A58"/>
    <w:rsid w:val="00ED41E8"/>
    <w:rsid w:val="00ED5934"/>
    <w:rsid w:val="00ED76CB"/>
    <w:rsid w:val="00ED79CD"/>
    <w:rsid w:val="00EE08F2"/>
    <w:rsid w:val="00EE3146"/>
    <w:rsid w:val="00EE52CC"/>
    <w:rsid w:val="00EE77CA"/>
    <w:rsid w:val="00EF0568"/>
    <w:rsid w:val="00EF1512"/>
    <w:rsid w:val="00EF1790"/>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6A44"/>
    <w:rsid w:val="00F270E1"/>
    <w:rsid w:val="00F3410B"/>
    <w:rsid w:val="00F35BF0"/>
    <w:rsid w:val="00F3718B"/>
    <w:rsid w:val="00F40C92"/>
    <w:rsid w:val="00F41575"/>
    <w:rsid w:val="00F42B57"/>
    <w:rsid w:val="00F46663"/>
    <w:rsid w:val="00F46E0A"/>
    <w:rsid w:val="00F5340D"/>
    <w:rsid w:val="00F5675C"/>
    <w:rsid w:val="00F56C25"/>
    <w:rsid w:val="00F616A4"/>
    <w:rsid w:val="00F61ECA"/>
    <w:rsid w:val="00F633EB"/>
    <w:rsid w:val="00F73EE2"/>
    <w:rsid w:val="00F802D3"/>
    <w:rsid w:val="00F80D24"/>
    <w:rsid w:val="00F80E6A"/>
    <w:rsid w:val="00F81C79"/>
    <w:rsid w:val="00F83C1D"/>
    <w:rsid w:val="00F943E3"/>
    <w:rsid w:val="00FA01CD"/>
    <w:rsid w:val="00FA4A35"/>
    <w:rsid w:val="00FA7AFE"/>
    <w:rsid w:val="00FB1E06"/>
    <w:rsid w:val="00FC5B79"/>
    <w:rsid w:val="00FC677B"/>
    <w:rsid w:val="00FD1931"/>
    <w:rsid w:val="00FD71F8"/>
    <w:rsid w:val="00FD77AF"/>
    <w:rsid w:val="00FE64D6"/>
    <w:rsid w:val="00FF0280"/>
    <w:rsid w:val="00FF2734"/>
    <w:rsid w:val="00FF499E"/>
    <w:rsid w:val="00FF51EE"/>
    <w:rsid w:val="00FF6803"/>
    <w:rsid w:val="00FF7B83"/>
    <w:rsid w:val="00FF7F2A"/>
    <w:rsid w:val="00FF7FA5"/>
  </w:rsids>
  <m:mathPr>
    <m:mathFont m:val="Cambria Math"/>
    <m:brkBin m:val="before"/>
    <m:brkBinSub m:val="--"/>
    <m:smallFrac/>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3E57F9"/>
    <w:pPr>
      <w:spacing w:before="160" w:after="100"/>
      <w:ind w:left="851"/>
      <w:jc w:val="both"/>
      <w:outlineLvl w:val="2"/>
    </w:pPr>
    <w:rPr>
      <w:u w:val="single"/>
    </w:rPr>
  </w:style>
  <w:style w:type="paragraph" w:styleId="Index4">
    <w:name w:val="index 4"/>
    <w:basedOn w:val="Normal"/>
    <w:autoRedefine/>
    <w:uiPriority w:val="99"/>
    <w:unhideWhenUsed/>
    <w:qFormat/>
    <w:rsid w:val="00F270E1"/>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Fhatuwani Mukwevho</cp:lastModifiedBy>
  <cp:revision>2</cp:revision>
  <cp:lastPrinted>2021-05-13T06:31:00Z</cp:lastPrinted>
  <dcterms:created xsi:type="dcterms:W3CDTF">2026-05-24T11:14:00Z</dcterms:created>
  <dcterms:modified xsi:type="dcterms:W3CDTF">2026-05-24T11:14:00Z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c97d6e71-9d8c-4b35-b87f-0f453e2fe663</vt:lpwstr>
  </property>
  <property fmtid="{D5CDD505-2E9C-101B-9397-08002B2CF9AE}" pid="4" name="_AdHocReviewCycleID">
    <vt:i4>-1940368302</vt:i4>
  </property>
  <property fmtid="{D5CDD505-2E9C-101B-9397-08002B2CF9AE}" pid="5" name="_EmailSubject">
    <vt:lpwstr>P3000 tender for publishing</vt:lpwstr>
  </property>
  <property fmtid="{D5CDD505-2E9C-101B-9397-08002B2CF9AE}" pid="6" name="_AuthorEmail">
    <vt:lpwstr>Fhatuwani.Mukwevho@ntp.co.za</vt:lpwstr>
  </property>
  <property fmtid="{D5CDD505-2E9C-101B-9397-08002B2CF9AE}" pid="7" name="_AuthorEmailDisplayName">
    <vt:lpwstr>Fhatuwani Mukwevho</vt:lpwstr>
  </property>
</Properties>
</file>