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D02466" w14:textId="2113C46A" w:rsidR="00C94F7D" w:rsidRPr="005218F3" w:rsidRDefault="005218F3">
      <w:pPr>
        <w:rPr>
          <w:lang w:val="en-US"/>
        </w:rPr>
      </w:pPr>
      <w:r>
        <w:rPr>
          <w:lang w:val="en-US"/>
        </w:rPr>
        <w:t xml:space="preserve">Test </w:t>
      </w:r>
    </w:p>
    <w:sectPr w:rsidR="00C94F7D" w:rsidRPr="005218F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18F3"/>
    <w:rsid w:val="000E4284"/>
    <w:rsid w:val="005218F3"/>
    <w:rsid w:val="00C94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C062EA9"/>
  <w15:chartTrackingRefBased/>
  <w15:docId w15:val="{4CD1C262-F5CC-406D-B83D-0AC678DC3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Ntombifuthi Motha (merSETA, Head Office, Finance)</dc:creator>
  <cp:keywords/>
  <dc:description/>
  <cp:lastModifiedBy>Ntombifuthi Motha (merSETA, Head Office, Finance)</cp:lastModifiedBy>
  <cp:revision>1</cp:revision>
  <dcterms:created xsi:type="dcterms:W3CDTF">2023-12-16T22:56:00Z</dcterms:created>
  <dcterms:modified xsi:type="dcterms:W3CDTF">2023-12-16T22:57:00Z</dcterms:modified>
</cp:coreProperties>
</file>