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39413" w14:textId="76CB665A" w:rsidR="00CE2C09" w:rsidRPr="00BF450E" w:rsidRDefault="00CE2C09" w:rsidP="00CE2C09">
      <w:pPr>
        <w:jc w:val="center"/>
        <w:rPr>
          <w:rFonts w:asciiTheme="minorBidi" w:hAnsiTheme="minorBidi" w:cstheme="minorBidi"/>
          <w:b/>
          <w:iCs/>
          <w:sz w:val="22"/>
          <w:szCs w:val="22"/>
          <w:u w:val="single"/>
        </w:rPr>
      </w:pPr>
      <w:bookmarkStart w:id="0" w:name="_GoBack"/>
      <w:bookmarkEnd w:id="0"/>
      <w:r w:rsidRPr="00BF450E">
        <w:rPr>
          <w:rFonts w:asciiTheme="minorBidi" w:hAnsiTheme="minorBidi" w:cstheme="minorBidi"/>
          <w:noProof/>
          <w:sz w:val="22"/>
          <w:szCs w:val="22"/>
          <w:lang w:val="en-ZA" w:eastAsia="en-ZA"/>
        </w:rPr>
        <w:drawing>
          <wp:anchor distT="0" distB="0" distL="114300" distR="114300" simplePos="0" relativeHeight="251659264" behindDoc="1" locked="0" layoutInCell="1" allowOverlap="1" wp14:anchorId="7422753E" wp14:editId="45F7DF3F">
            <wp:simplePos x="0" y="0"/>
            <wp:positionH relativeFrom="column">
              <wp:posOffset>1912620</wp:posOffset>
            </wp:positionH>
            <wp:positionV relativeFrom="paragraph">
              <wp:posOffset>-137160</wp:posOffset>
            </wp:positionV>
            <wp:extent cx="1725295" cy="1383665"/>
            <wp:effectExtent l="0" t="0" r="8255" b="6985"/>
            <wp:wrapNone/>
            <wp:docPr id="229493644" name="Picture 10" descr="A logo with a green and brown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93644" name="Picture 10" descr="A logo with a green and brown de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5295" cy="1383665"/>
                    </a:xfrm>
                    <a:prstGeom prst="rect">
                      <a:avLst/>
                    </a:prstGeom>
                    <a:noFill/>
                  </pic:spPr>
                </pic:pic>
              </a:graphicData>
            </a:graphic>
            <wp14:sizeRelH relativeFrom="page">
              <wp14:pctWidth>0</wp14:pctWidth>
            </wp14:sizeRelH>
            <wp14:sizeRelV relativeFrom="page">
              <wp14:pctHeight>0</wp14:pctHeight>
            </wp14:sizeRelV>
          </wp:anchor>
        </w:drawing>
      </w:r>
    </w:p>
    <w:p w14:paraId="4A247A56" w14:textId="77777777" w:rsidR="00CE2C09" w:rsidRPr="00BF450E" w:rsidRDefault="00CE2C09" w:rsidP="00CE2C09">
      <w:pPr>
        <w:jc w:val="center"/>
        <w:rPr>
          <w:rFonts w:asciiTheme="minorBidi" w:hAnsiTheme="minorBidi" w:cstheme="minorBidi"/>
          <w:b/>
          <w:iCs/>
          <w:sz w:val="22"/>
          <w:szCs w:val="22"/>
        </w:rPr>
      </w:pPr>
    </w:p>
    <w:p w14:paraId="7476227C" w14:textId="77777777" w:rsidR="00CE2C09" w:rsidRPr="00BF450E" w:rsidRDefault="00CE2C09" w:rsidP="00CE2C09">
      <w:pPr>
        <w:jc w:val="center"/>
        <w:rPr>
          <w:rFonts w:asciiTheme="minorBidi" w:hAnsiTheme="minorBidi" w:cstheme="minorBidi"/>
          <w:b/>
          <w:iCs/>
          <w:sz w:val="22"/>
          <w:szCs w:val="22"/>
        </w:rPr>
      </w:pPr>
    </w:p>
    <w:p w14:paraId="7315E8CD" w14:textId="77777777" w:rsidR="00CE2C09" w:rsidRPr="00BF450E" w:rsidRDefault="00CE2C09" w:rsidP="00CE2C09">
      <w:pPr>
        <w:jc w:val="center"/>
        <w:rPr>
          <w:rFonts w:asciiTheme="minorBidi" w:hAnsiTheme="minorBidi" w:cstheme="minorBidi"/>
          <w:b/>
          <w:iCs/>
          <w:sz w:val="22"/>
          <w:szCs w:val="22"/>
        </w:rPr>
      </w:pPr>
    </w:p>
    <w:p w14:paraId="2A91071F" w14:textId="7F994262" w:rsidR="00CE2C09" w:rsidRPr="00BF450E" w:rsidRDefault="00CE2C09" w:rsidP="00CE2C09">
      <w:pPr>
        <w:tabs>
          <w:tab w:val="left" w:pos="1092"/>
        </w:tabs>
        <w:jc w:val="center"/>
        <w:rPr>
          <w:rFonts w:asciiTheme="minorBidi" w:hAnsiTheme="minorBidi" w:cstheme="minorBidi"/>
          <w:b/>
          <w:iCs/>
          <w:sz w:val="22"/>
          <w:szCs w:val="22"/>
        </w:rPr>
      </w:pPr>
    </w:p>
    <w:p w14:paraId="18CAF37A" w14:textId="77777777" w:rsidR="00CE2C09" w:rsidRDefault="00CE2C09" w:rsidP="00CE2C09">
      <w:pPr>
        <w:jc w:val="center"/>
        <w:rPr>
          <w:rFonts w:asciiTheme="minorBidi" w:hAnsiTheme="minorBidi" w:cstheme="minorBidi"/>
          <w:b/>
          <w:iCs/>
          <w:sz w:val="22"/>
          <w:szCs w:val="22"/>
        </w:rPr>
      </w:pPr>
    </w:p>
    <w:p w14:paraId="6D92AE69" w14:textId="77777777" w:rsidR="00CE2C09" w:rsidRDefault="00CE2C09" w:rsidP="00CE2C09">
      <w:pPr>
        <w:jc w:val="center"/>
        <w:rPr>
          <w:rFonts w:asciiTheme="minorBidi" w:hAnsiTheme="minorBidi" w:cstheme="minorBidi"/>
          <w:b/>
          <w:iCs/>
          <w:sz w:val="22"/>
          <w:szCs w:val="22"/>
        </w:rPr>
      </w:pPr>
    </w:p>
    <w:p w14:paraId="5A6F9065" w14:textId="77777777" w:rsidR="00CE2C09" w:rsidRDefault="00CE2C09" w:rsidP="00CE2C09">
      <w:pPr>
        <w:jc w:val="center"/>
        <w:rPr>
          <w:rFonts w:asciiTheme="minorBidi" w:hAnsiTheme="minorBidi" w:cstheme="minorBidi"/>
          <w:b/>
          <w:iCs/>
          <w:sz w:val="22"/>
          <w:szCs w:val="22"/>
        </w:rPr>
      </w:pPr>
    </w:p>
    <w:p w14:paraId="6BF1DFB0" w14:textId="77777777" w:rsidR="00CE2C09" w:rsidRPr="00CE2C09" w:rsidRDefault="00CE2C09" w:rsidP="00CE2C09">
      <w:pPr>
        <w:jc w:val="center"/>
        <w:rPr>
          <w:rFonts w:ascii="Arial" w:hAnsi="Arial" w:cs="Arial"/>
          <w:b/>
          <w:iCs/>
          <w:sz w:val="22"/>
          <w:szCs w:val="22"/>
        </w:rPr>
      </w:pPr>
    </w:p>
    <w:p w14:paraId="3CEB402D" w14:textId="77777777" w:rsidR="00CE2C09" w:rsidRPr="00CE2C09" w:rsidRDefault="00CE2C09" w:rsidP="00CE2C09">
      <w:pPr>
        <w:jc w:val="center"/>
        <w:rPr>
          <w:rFonts w:ascii="Arial" w:hAnsi="Arial" w:cs="Arial"/>
          <w:b/>
          <w:iCs/>
          <w:sz w:val="22"/>
          <w:szCs w:val="22"/>
        </w:rPr>
      </w:pPr>
      <w:r w:rsidRPr="00CE2C09">
        <w:rPr>
          <w:rFonts w:ascii="Arial" w:hAnsi="Arial" w:cs="Arial"/>
          <w:b/>
          <w:iCs/>
          <w:sz w:val="22"/>
          <w:szCs w:val="22"/>
        </w:rPr>
        <w:t>TENDER NO.</w:t>
      </w:r>
      <w:r w:rsidRPr="00CE2C09">
        <w:rPr>
          <w:rFonts w:ascii="Arial" w:hAnsi="Arial" w:cs="Arial"/>
          <w:sz w:val="22"/>
          <w:szCs w:val="22"/>
        </w:rPr>
        <w:t xml:space="preserve"> </w:t>
      </w:r>
      <w:r w:rsidRPr="00CE2C09">
        <w:rPr>
          <w:rFonts w:ascii="Arial" w:hAnsi="Arial" w:cs="Arial"/>
          <w:b/>
          <w:iCs/>
          <w:sz w:val="22"/>
          <w:szCs w:val="22"/>
        </w:rPr>
        <w:t>MN: 135/2024</w:t>
      </w:r>
    </w:p>
    <w:p w14:paraId="2809C24F" w14:textId="77777777" w:rsidR="00CE2C09" w:rsidRPr="00CE2C09" w:rsidRDefault="00CE2C09" w:rsidP="00CE2C09">
      <w:pPr>
        <w:jc w:val="center"/>
        <w:rPr>
          <w:rFonts w:ascii="Arial" w:hAnsi="Arial" w:cs="Arial"/>
          <w:b/>
          <w:sz w:val="22"/>
          <w:szCs w:val="22"/>
        </w:rPr>
      </w:pPr>
      <w:r w:rsidRPr="00CE2C09">
        <w:rPr>
          <w:rFonts w:ascii="Arial" w:hAnsi="Arial" w:cs="Arial"/>
          <w:b/>
          <w:sz w:val="22"/>
          <w:szCs w:val="22"/>
        </w:rPr>
        <w:t>PANEL OF CONTRACTORS FOR FENCING INSTALLATIONS FOR KWADUKUZA MUNICIPALITY FOR THREE (3) YEARS</w:t>
      </w:r>
    </w:p>
    <w:p w14:paraId="197020E0" w14:textId="77777777" w:rsidR="00CE2C09" w:rsidRPr="00CE2C09" w:rsidRDefault="00CE2C09" w:rsidP="00CE2C09">
      <w:pPr>
        <w:jc w:val="both"/>
        <w:rPr>
          <w:rFonts w:ascii="Arial" w:hAnsi="Arial" w:cs="Arial"/>
          <w:b/>
          <w:sz w:val="22"/>
          <w:szCs w:val="22"/>
          <w:lang w:val="en-US"/>
        </w:rPr>
      </w:pPr>
      <w:r w:rsidRPr="00CE2C09">
        <w:rPr>
          <w:rFonts w:ascii="Arial" w:hAnsi="Arial" w:cs="Arial"/>
          <w:b/>
          <w:sz w:val="22"/>
          <w:szCs w:val="22"/>
          <w:lang w:val="en-US"/>
        </w:rPr>
        <w:t>T1.1</w:t>
      </w:r>
      <w:r w:rsidRPr="00CE2C09">
        <w:rPr>
          <w:rFonts w:ascii="Arial" w:hAnsi="Arial" w:cs="Arial"/>
          <w:b/>
          <w:sz w:val="22"/>
          <w:szCs w:val="22"/>
          <w:lang w:val="en-US"/>
        </w:rPr>
        <w:tab/>
        <w:t>TENDER NOTICE AND INVITATION TO TENDER</w:t>
      </w:r>
    </w:p>
    <w:p w14:paraId="7DA9F27C" w14:textId="77777777" w:rsidR="00CE2C09" w:rsidRPr="00CE2C09" w:rsidRDefault="00CE2C09" w:rsidP="00CE2C09">
      <w:pPr>
        <w:jc w:val="both"/>
        <w:rPr>
          <w:rFonts w:ascii="Arial" w:hAnsi="Arial" w:cs="Arial"/>
          <w:bCs/>
          <w:iCs/>
          <w:sz w:val="22"/>
          <w:szCs w:val="22"/>
          <w:lang w:val="en-US"/>
        </w:rPr>
      </w:pPr>
    </w:p>
    <w:p w14:paraId="7BC87954" w14:textId="77777777" w:rsidR="00CE2C09" w:rsidRPr="00CE2C09" w:rsidRDefault="00CE2C09" w:rsidP="00CE2C09">
      <w:pPr>
        <w:suppressAutoHyphens/>
        <w:jc w:val="both"/>
        <w:rPr>
          <w:rFonts w:ascii="Arial" w:hAnsi="Arial" w:cs="Arial"/>
          <w:bCs/>
          <w:iCs/>
          <w:sz w:val="22"/>
          <w:szCs w:val="22"/>
          <w:lang w:val="en-US"/>
        </w:rPr>
      </w:pPr>
      <w:r w:rsidRPr="00CE2C09">
        <w:rPr>
          <w:rFonts w:ascii="Arial" w:hAnsi="Arial" w:cs="Arial"/>
          <w:bCs/>
          <w:iCs/>
          <w:sz w:val="22"/>
          <w:szCs w:val="22"/>
          <w:lang w:val="en-US"/>
        </w:rPr>
        <w:t xml:space="preserve">The KwaDukuza Municipality invites tenders for the above. Only Tenderers who are registered with CIDB with a contractor grading of </w:t>
      </w:r>
      <w:bookmarkStart w:id="1" w:name="_Hlk141087345"/>
      <w:r w:rsidRPr="00CE2C09">
        <w:rPr>
          <w:rFonts w:ascii="Arial" w:hAnsi="Arial" w:cs="Arial"/>
          <w:bCs/>
          <w:iCs/>
          <w:sz w:val="22"/>
          <w:szCs w:val="22"/>
          <w:lang w:val="en-US"/>
        </w:rPr>
        <w:t xml:space="preserve">2 SQ or higher contractors </w:t>
      </w:r>
      <w:bookmarkEnd w:id="1"/>
      <w:r w:rsidRPr="00CE2C09">
        <w:rPr>
          <w:rFonts w:ascii="Arial" w:hAnsi="Arial" w:cs="Arial"/>
          <w:bCs/>
          <w:iCs/>
          <w:sz w:val="22"/>
          <w:szCs w:val="22"/>
          <w:lang w:val="en-US"/>
        </w:rPr>
        <w:t>will be eligible to tender.  Tenderers will have proof of CIDB Registration by closing date failing which the tender will be disqualified. Tenderers shall be registered on National Treasury’s Central Supplier Database.</w:t>
      </w:r>
    </w:p>
    <w:p w14:paraId="54E37623" w14:textId="77777777" w:rsidR="00CE2C09" w:rsidRPr="00CE2C09" w:rsidRDefault="00CE2C09" w:rsidP="00CE2C09">
      <w:pPr>
        <w:suppressAutoHyphens/>
        <w:jc w:val="both"/>
        <w:rPr>
          <w:rFonts w:ascii="Arial" w:hAnsi="Arial" w:cs="Arial"/>
          <w:bCs/>
          <w:iCs/>
          <w:sz w:val="22"/>
          <w:szCs w:val="22"/>
          <w:lang w:val="en-US"/>
        </w:rPr>
      </w:pPr>
    </w:p>
    <w:p w14:paraId="353808D6" w14:textId="77777777" w:rsidR="00CE2C09" w:rsidRPr="00CE2C09" w:rsidRDefault="00CE2C09" w:rsidP="00CE2C09">
      <w:pPr>
        <w:suppressAutoHyphens/>
        <w:jc w:val="both"/>
        <w:rPr>
          <w:rFonts w:ascii="Arial" w:hAnsi="Arial" w:cs="Arial"/>
          <w:bCs/>
          <w:iCs/>
          <w:sz w:val="22"/>
          <w:szCs w:val="22"/>
          <w:lang w:val="en-US"/>
        </w:rPr>
      </w:pPr>
      <w:r w:rsidRPr="00CE2C09">
        <w:rPr>
          <w:rFonts w:ascii="Arial" w:hAnsi="Arial" w:cs="Arial"/>
          <w:bCs/>
          <w:iCs/>
          <w:sz w:val="22"/>
          <w:szCs w:val="22"/>
          <w:lang w:val="en-US"/>
        </w:rPr>
        <w:t xml:space="preserve">The physical address for collection of tender documents is: The KwaDukuza Municipality, Community Services and Public Amenities, PMU Building, 2 Industrial Crescent, KwaDukuza, upon presentation of a receipt proving prior payment of a non-refundable fee of </w:t>
      </w:r>
      <w:r w:rsidRPr="00CE2C09">
        <w:rPr>
          <w:rFonts w:ascii="Arial" w:hAnsi="Arial" w:cs="Arial"/>
          <w:b/>
          <w:bCs/>
          <w:iCs/>
          <w:sz w:val="22"/>
          <w:szCs w:val="22"/>
          <w:lang w:val="en-US"/>
        </w:rPr>
        <w:t>R408.00 (inclusive of VAT)</w:t>
      </w:r>
      <w:r w:rsidRPr="00CE2C09">
        <w:rPr>
          <w:rFonts w:ascii="Arial" w:hAnsi="Arial" w:cs="Arial"/>
          <w:bCs/>
          <w:iCs/>
          <w:sz w:val="22"/>
          <w:szCs w:val="22"/>
          <w:lang w:val="en-US"/>
        </w:rPr>
        <w:t xml:space="preserve">, having been made at the Municipal Finance Directorate, General Justice Mpanza Building, 104 Mahatma Gandhi Street, KwaDukuza (Cash or bank guaranteed cheques only). </w:t>
      </w:r>
      <w:r w:rsidRPr="00CE2C09">
        <w:rPr>
          <w:rFonts w:ascii="Arial" w:hAnsi="Arial" w:cs="Arial"/>
          <w:b/>
          <w:bCs/>
          <w:iCs/>
          <w:sz w:val="22"/>
          <w:szCs w:val="22"/>
          <w:lang w:val="en-US"/>
        </w:rPr>
        <w:t>Tender documents will be available from 09H00 on 29</w:t>
      </w:r>
      <w:r w:rsidRPr="00CE2C09">
        <w:rPr>
          <w:rFonts w:ascii="Arial" w:hAnsi="Arial" w:cs="Arial"/>
          <w:b/>
          <w:bCs/>
          <w:iCs/>
          <w:sz w:val="22"/>
          <w:szCs w:val="22"/>
          <w:vertAlign w:val="superscript"/>
          <w:lang w:val="en-US"/>
        </w:rPr>
        <w:t>th</w:t>
      </w:r>
      <w:r w:rsidRPr="00CE2C09">
        <w:rPr>
          <w:rFonts w:ascii="Arial" w:hAnsi="Arial" w:cs="Arial"/>
          <w:b/>
          <w:bCs/>
          <w:iCs/>
          <w:sz w:val="22"/>
          <w:szCs w:val="22"/>
          <w:lang w:val="en-US"/>
        </w:rPr>
        <w:t xml:space="preserve"> October 2024 until 15H00 on 18</w:t>
      </w:r>
      <w:r w:rsidRPr="00CE2C09">
        <w:rPr>
          <w:rFonts w:ascii="Arial" w:hAnsi="Arial" w:cs="Arial"/>
          <w:b/>
          <w:bCs/>
          <w:iCs/>
          <w:sz w:val="22"/>
          <w:szCs w:val="22"/>
          <w:vertAlign w:val="superscript"/>
          <w:lang w:val="en-US"/>
        </w:rPr>
        <w:t>th</w:t>
      </w:r>
      <w:r w:rsidRPr="00CE2C09">
        <w:rPr>
          <w:rFonts w:ascii="Arial" w:hAnsi="Arial" w:cs="Arial"/>
          <w:b/>
          <w:bCs/>
          <w:iCs/>
          <w:sz w:val="22"/>
          <w:szCs w:val="22"/>
          <w:lang w:val="en-US"/>
        </w:rPr>
        <w:t xml:space="preserve"> November 2024</w:t>
      </w:r>
      <w:r w:rsidRPr="00CE2C09">
        <w:rPr>
          <w:rFonts w:ascii="Arial" w:hAnsi="Arial" w:cs="Arial"/>
          <w:bCs/>
          <w:iCs/>
          <w:sz w:val="22"/>
          <w:szCs w:val="22"/>
          <w:lang w:val="en-US"/>
        </w:rPr>
        <w:t>. Contact person regarding collection of these documents is: Hlengiwe Khuzwayo, Tel No: 032 437 5090 hlengiwek@kwadukuza.gov.za</w:t>
      </w:r>
      <w:r w:rsidRPr="00CE2C09">
        <w:rPr>
          <w:rFonts w:ascii="Arial" w:hAnsi="Arial" w:cs="Arial"/>
          <w:bCs/>
          <w:iCs/>
          <w:sz w:val="22"/>
          <w:szCs w:val="22"/>
        </w:rPr>
        <w:t xml:space="preserve"> Technical queries may be addressed to: Mr. Ebrahim Mulla, Tel No.: 032 437 5062, e-mail: </w:t>
      </w:r>
      <w:r w:rsidRPr="00CE2C09">
        <w:rPr>
          <w:rFonts w:ascii="Arial" w:hAnsi="Arial" w:cs="Arial"/>
          <w:bCs/>
          <w:iCs/>
          <w:sz w:val="22"/>
          <w:szCs w:val="22"/>
          <w:u w:val="single"/>
        </w:rPr>
        <w:t>ebrahimm@kwadukuza.gov.za</w:t>
      </w:r>
      <w:r w:rsidRPr="00CE2C09">
        <w:rPr>
          <w:rFonts w:ascii="Arial" w:hAnsi="Arial" w:cs="Arial"/>
          <w:bCs/>
          <w:iCs/>
          <w:sz w:val="22"/>
          <w:szCs w:val="22"/>
        </w:rPr>
        <w:t xml:space="preserve"> Supply Chain Management queries to be directed to Mr. Luyanda Tshonapi, email: </w:t>
      </w:r>
      <w:hyperlink r:id="rId6" w:history="1">
        <w:r w:rsidRPr="00CE2C09">
          <w:rPr>
            <w:rStyle w:val="Hyperlink"/>
            <w:rFonts w:ascii="Arial" w:hAnsi="Arial" w:cs="Arial"/>
            <w:sz w:val="22"/>
            <w:szCs w:val="22"/>
          </w:rPr>
          <w:t>luyandat@kwadukuza.gov.za</w:t>
        </w:r>
      </w:hyperlink>
    </w:p>
    <w:p w14:paraId="41B7D7B4" w14:textId="77777777" w:rsidR="00CE2C09" w:rsidRPr="00CE2C09" w:rsidRDefault="00CE2C09" w:rsidP="00CE2C09">
      <w:pPr>
        <w:suppressAutoHyphens/>
        <w:jc w:val="both"/>
        <w:rPr>
          <w:rFonts w:ascii="Arial" w:hAnsi="Arial" w:cs="Arial"/>
          <w:bCs/>
          <w:iCs/>
          <w:sz w:val="22"/>
          <w:szCs w:val="22"/>
          <w:lang w:val="en-US"/>
        </w:rPr>
      </w:pPr>
      <w:r w:rsidRPr="00CE2C09">
        <w:rPr>
          <w:rFonts w:ascii="Arial" w:hAnsi="Arial" w:cs="Arial"/>
          <w:bCs/>
          <w:iCs/>
          <w:sz w:val="22"/>
          <w:szCs w:val="22"/>
          <w:lang w:val="en-US"/>
        </w:rPr>
        <w:t xml:space="preserve"> </w:t>
      </w:r>
    </w:p>
    <w:p w14:paraId="44DAE5B0" w14:textId="77777777" w:rsidR="00CE2C09" w:rsidRPr="00CE2C09" w:rsidRDefault="00CE2C09" w:rsidP="00CE2C09">
      <w:pPr>
        <w:suppressAutoHyphens/>
        <w:jc w:val="both"/>
        <w:rPr>
          <w:rFonts w:ascii="Arial" w:hAnsi="Arial" w:cs="Arial"/>
          <w:bCs/>
          <w:iCs/>
          <w:sz w:val="22"/>
          <w:szCs w:val="22"/>
          <w:lang w:val="en-US"/>
        </w:rPr>
      </w:pPr>
    </w:p>
    <w:p w14:paraId="1CAA6DDA" w14:textId="77777777" w:rsidR="00CE2C09" w:rsidRPr="00CE2C09" w:rsidRDefault="00CE2C09" w:rsidP="00CE2C09">
      <w:pPr>
        <w:suppressAutoHyphens/>
        <w:jc w:val="both"/>
        <w:rPr>
          <w:rFonts w:ascii="Arial" w:hAnsi="Arial" w:cs="Arial"/>
          <w:bCs/>
          <w:iCs/>
          <w:sz w:val="22"/>
          <w:szCs w:val="22"/>
          <w:lang w:val="en-US"/>
        </w:rPr>
      </w:pPr>
      <w:r w:rsidRPr="00CE2C09">
        <w:rPr>
          <w:rFonts w:ascii="Arial" w:hAnsi="Arial" w:cs="Arial"/>
          <w:bCs/>
          <w:iCs/>
          <w:sz w:val="22"/>
          <w:szCs w:val="22"/>
          <w:lang w:val="en-US"/>
        </w:rPr>
        <w:t xml:space="preserve">A </w:t>
      </w:r>
      <w:r w:rsidRPr="00CE2C09">
        <w:rPr>
          <w:rFonts w:ascii="Arial" w:hAnsi="Arial" w:cs="Arial"/>
          <w:b/>
          <w:bCs/>
          <w:iCs/>
          <w:sz w:val="22"/>
          <w:szCs w:val="22"/>
          <w:lang w:val="en-US"/>
        </w:rPr>
        <w:t>compulsory clarification meeting</w:t>
      </w:r>
      <w:r w:rsidRPr="00CE2C09">
        <w:rPr>
          <w:rFonts w:ascii="Arial" w:hAnsi="Arial" w:cs="Arial"/>
          <w:bCs/>
          <w:iCs/>
          <w:sz w:val="22"/>
          <w:szCs w:val="22"/>
          <w:lang w:val="en-US"/>
        </w:rPr>
        <w:t xml:space="preserve">, with representatives of the Employer, will take place at the KwaDukuza Municipality: PMU Boardroom, </w:t>
      </w:r>
      <w:proofErr w:type="spellStart"/>
      <w:r w:rsidRPr="00CE2C09">
        <w:rPr>
          <w:rFonts w:ascii="Arial" w:hAnsi="Arial" w:cs="Arial"/>
          <w:bCs/>
          <w:iCs/>
          <w:sz w:val="22"/>
          <w:szCs w:val="22"/>
          <w:lang w:val="en-US"/>
        </w:rPr>
        <w:t>Lavoipierre</w:t>
      </w:r>
      <w:proofErr w:type="spellEnd"/>
      <w:r w:rsidRPr="00CE2C09">
        <w:rPr>
          <w:rFonts w:ascii="Arial" w:hAnsi="Arial" w:cs="Arial"/>
          <w:bCs/>
          <w:iCs/>
          <w:sz w:val="22"/>
          <w:szCs w:val="22"/>
          <w:lang w:val="en-US"/>
        </w:rPr>
        <w:t xml:space="preserve"> Building, 2 </w:t>
      </w:r>
      <w:proofErr w:type="spellStart"/>
      <w:r w:rsidRPr="00CE2C09">
        <w:rPr>
          <w:rFonts w:ascii="Arial" w:hAnsi="Arial" w:cs="Arial"/>
          <w:bCs/>
          <w:iCs/>
          <w:sz w:val="22"/>
          <w:szCs w:val="22"/>
          <w:lang w:val="en-US"/>
        </w:rPr>
        <w:t>Industria</w:t>
      </w:r>
      <w:proofErr w:type="spellEnd"/>
      <w:r w:rsidRPr="00CE2C09">
        <w:rPr>
          <w:rFonts w:ascii="Arial" w:hAnsi="Arial" w:cs="Arial"/>
          <w:bCs/>
          <w:iCs/>
          <w:sz w:val="22"/>
          <w:szCs w:val="22"/>
          <w:lang w:val="en-US"/>
        </w:rPr>
        <w:t xml:space="preserve"> Crescent, KwaDukuza, 4450 on </w:t>
      </w:r>
      <w:r w:rsidRPr="00CE2C09">
        <w:rPr>
          <w:rFonts w:ascii="Arial" w:hAnsi="Arial" w:cs="Arial"/>
          <w:b/>
          <w:iCs/>
          <w:sz w:val="22"/>
          <w:szCs w:val="22"/>
          <w:lang w:val="en-US"/>
        </w:rPr>
        <w:t>19</w:t>
      </w:r>
      <w:r w:rsidRPr="00CE2C09">
        <w:rPr>
          <w:rFonts w:ascii="Arial" w:hAnsi="Arial" w:cs="Arial"/>
          <w:b/>
          <w:iCs/>
          <w:sz w:val="22"/>
          <w:szCs w:val="22"/>
          <w:vertAlign w:val="superscript"/>
          <w:lang w:val="en-US"/>
        </w:rPr>
        <w:t>th</w:t>
      </w:r>
      <w:r w:rsidRPr="00CE2C09">
        <w:rPr>
          <w:rFonts w:ascii="Arial" w:hAnsi="Arial" w:cs="Arial"/>
          <w:b/>
          <w:iCs/>
          <w:sz w:val="22"/>
          <w:szCs w:val="22"/>
          <w:lang w:val="en-US"/>
        </w:rPr>
        <w:t xml:space="preserve"> November</w:t>
      </w:r>
      <w:r w:rsidRPr="00CE2C09">
        <w:rPr>
          <w:rFonts w:ascii="Arial" w:hAnsi="Arial" w:cs="Arial"/>
          <w:b/>
          <w:bCs/>
          <w:iCs/>
          <w:sz w:val="22"/>
          <w:szCs w:val="22"/>
          <w:lang w:val="en-US"/>
        </w:rPr>
        <w:t xml:space="preserve"> 2024, starting at 10H00.</w:t>
      </w:r>
      <w:r w:rsidRPr="00CE2C09">
        <w:rPr>
          <w:rFonts w:ascii="Arial" w:hAnsi="Arial" w:cs="Arial"/>
          <w:bCs/>
          <w:iCs/>
          <w:sz w:val="22"/>
          <w:szCs w:val="22"/>
          <w:lang w:val="en-US"/>
        </w:rPr>
        <w:t xml:space="preserve"> Failure to attend the compulsory clarification meeting will disqualify the tender. Doors to the venue will be closed at </w:t>
      </w:r>
      <w:r w:rsidRPr="00CE2C09">
        <w:rPr>
          <w:rFonts w:ascii="Arial" w:hAnsi="Arial" w:cs="Arial"/>
          <w:b/>
          <w:bCs/>
          <w:iCs/>
          <w:sz w:val="22"/>
          <w:szCs w:val="22"/>
          <w:u w:val="single"/>
          <w:lang w:val="en-US"/>
        </w:rPr>
        <w:t>10H00</w:t>
      </w:r>
      <w:r w:rsidRPr="00CE2C09">
        <w:rPr>
          <w:rFonts w:ascii="Arial" w:hAnsi="Arial" w:cs="Arial"/>
          <w:bCs/>
          <w:iCs/>
          <w:sz w:val="22"/>
          <w:szCs w:val="22"/>
          <w:lang w:val="en-US"/>
        </w:rPr>
        <w:t xml:space="preserve"> and the briefing will commence immediately. Late attendance will not be accepted, and tenderers will </w:t>
      </w:r>
      <w:r w:rsidRPr="00CE2C09">
        <w:rPr>
          <w:rFonts w:ascii="Arial" w:hAnsi="Arial" w:cs="Arial"/>
          <w:b/>
          <w:bCs/>
          <w:iCs/>
          <w:sz w:val="22"/>
          <w:szCs w:val="22"/>
          <w:lang w:val="en-US"/>
        </w:rPr>
        <w:t>NOT</w:t>
      </w:r>
      <w:r w:rsidRPr="00CE2C09">
        <w:rPr>
          <w:rFonts w:ascii="Arial" w:hAnsi="Arial" w:cs="Arial"/>
          <w:bCs/>
          <w:iCs/>
          <w:sz w:val="22"/>
          <w:szCs w:val="22"/>
          <w:lang w:val="en-US"/>
        </w:rPr>
        <w:t xml:space="preserve"> be admitted into the meeting venue.  Only those tenderers who are in possession of a tender document shall be permitted to participate in discussion at the compulsory clarification meeting and site inspection. </w:t>
      </w:r>
      <w:r w:rsidRPr="00CE2C09">
        <w:rPr>
          <w:rFonts w:ascii="Arial" w:hAnsi="Arial" w:cs="Arial"/>
          <w:b/>
          <w:bCs/>
          <w:iCs/>
          <w:sz w:val="22"/>
          <w:szCs w:val="22"/>
          <w:lang w:val="en-US"/>
        </w:rPr>
        <w:t>All Bidders need to adhere to COVID19 regulations.</w:t>
      </w:r>
    </w:p>
    <w:p w14:paraId="514500A9" w14:textId="77777777" w:rsidR="00CE2C09" w:rsidRPr="00CE2C09" w:rsidRDefault="00CE2C09" w:rsidP="00CE2C09">
      <w:pPr>
        <w:suppressAutoHyphens/>
        <w:jc w:val="both"/>
        <w:rPr>
          <w:rFonts w:ascii="Arial" w:hAnsi="Arial" w:cs="Arial"/>
          <w:bCs/>
          <w:iCs/>
          <w:sz w:val="22"/>
          <w:szCs w:val="22"/>
          <w:lang w:val="en-US"/>
        </w:rPr>
      </w:pPr>
    </w:p>
    <w:p w14:paraId="5F3743A3" w14:textId="77777777" w:rsidR="00CE2C09" w:rsidRPr="00CE2C09" w:rsidRDefault="00CE2C09" w:rsidP="00CE2C09">
      <w:pPr>
        <w:suppressAutoHyphens/>
        <w:jc w:val="both"/>
        <w:rPr>
          <w:rFonts w:ascii="Arial" w:hAnsi="Arial" w:cs="Arial"/>
          <w:bCs/>
          <w:iCs/>
          <w:sz w:val="22"/>
          <w:szCs w:val="22"/>
          <w:lang w:val="en-US"/>
        </w:rPr>
      </w:pPr>
      <w:r w:rsidRPr="00CE2C09">
        <w:rPr>
          <w:rFonts w:ascii="Arial" w:hAnsi="Arial" w:cs="Arial"/>
          <w:bCs/>
          <w:iCs/>
          <w:sz w:val="22"/>
          <w:szCs w:val="22"/>
          <w:lang w:val="en-US"/>
        </w:rPr>
        <w:t xml:space="preserve">Tenders shall be placed in sealed envelopes, endorsed with </w:t>
      </w:r>
      <w:bookmarkStart w:id="2" w:name="_Hlk103172020"/>
      <w:r w:rsidRPr="00CE2C09">
        <w:rPr>
          <w:rFonts w:ascii="Arial" w:hAnsi="Arial" w:cs="Arial"/>
          <w:bCs/>
          <w:iCs/>
          <w:sz w:val="22"/>
          <w:szCs w:val="22"/>
          <w:lang w:val="en-US"/>
        </w:rPr>
        <w:t>“</w:t>
      </w:r>
      <w:r w:rsidRPr="00CE2C09">
        <w:rPr>
          <w:rFonts w:ascii="Arial" w:hAnsi="Arial" w:cs="Arial"/>
          <w:b/>
          <w:iCs/>
          <w:sz w:val="22"/>
          <w:szCs w:val="22"/>
          <w:lang w:val="en-US"/>
        </w:rPr>
        <w:t>TENDER NO. MN 135/2024 – PANEL OF CONTRACTORS FOR FENCING INSTALLATIONS”</w:t>
      </w:r>
      <w:r w:rsidRPr="00CE2C09">
        <w:rPr>
          <w:rFonts w:ascii="Arial" w:hAnsi="Arial" w:cs="Arial"/>
          <w:bCs/>
          <w:iCs/>
          <w:sz w:val="22"/>
          <w:szCs w:val="22"/>
          <w:lang w:val="en-US"/>
        </w:rPr>
        <w:t xml:space="preserve"> </w:t>
      </w:r>
      <w:bookmarkEnd w:id="2"/>
      <w:r w:rsidRPr="00CE2C09">
        <w:rPr>
          <w:rFonts w:ascii="Arial" w:hAnsi="Arial" w:cs="Arial"/>
          <w:bCs/>
          <w:iCs/>
          <w:sz w:val="22"/>
          <w:szCs w:val="22"/>
          <w:lang w:val="en-US"/>
        </w:rPr>
        <w:t xml:space="preserve">and be placed in the Tender Box located at the </w:t>
      </w:r>
      <w:r w:rsidRPr="00CE2C09">
        <w:rPr>
          <w:rFonts w:ascii="Arial" w:hAnsi="Arial" w:cs="Arial"/>
          <w:b/>
          <w:bCs/>
          <w:iCs/>
          <w:sz w:val="22"/>
          <w:szCs w:val="22"/>
          <w:lang w:val="en-US"/>
        </w:rPr>
        <w:t>SCM Procurement/Stores Building</w:t>
      </w:r>
      <w:r w:rsidRPr="00CE2C09">
        <w:rPr>
          <w:rFonts w:ascii="Arial" w:hAnsi="Arial" w:cs="Arial"/>
          <w:b/>
          <w:bCs/>
          <w:iCs/>
          <w:sz w:val="22"/>
          <w:szCs w:val="22"/>
        </w:rPr>
        <w:t>,</w:t>
      </w:r>
      <w:r w:rsidRPr="00CE2C09">
        <w:rPr>
          <w:rFonts w:ascii="Arial" w:hAnsi="Arial" w:cs="Arial"/>
          <w:bCs/>
          <w:iCs/>
          <w:sz w:val="22"/>
          <w:szCs w:val="22"/>
        </w:rPr>
        <w:t xml:space="preserve"> </w:t>
      </w:r>
      <w:r w:rsidRPr="00CE2C09">
        <w:rPr>
          <w:rFonts w:ascii="Arial" w:hAnsi="Arial" w:cs="Arial"/>
          <w:b/>
          <w:iCs/>
          <w:sz w:val="22"/>
          <w:szCs w:val="22"/>
          <w:lang w:val="en-ZA"/>
        </w:rPr>
        <w:t xml:space="preserve">No.2 </w:t>
      </w:r>
      <w:proofErr w:type="spellStart"/>
      <w:r w:rsidRPr="00CE2C09">
        <w:rPr>
          <w:rFonts w:ascii="Arial" w:hAnsi="Arial" w:cs="Arial"/>
          <w:b/>
          <w:iCs/>
          <w:sz w:val="22"/>
          <w:szCs w:val="22"/>
          <w:lang w:val="en-ZA"/>
        </w:rPr>
        <w:t>Industria</w:t>
      </w:r>
      <w:proofErr w:type="spellEnd"/>
      <w:r w:rsidRPr="00CE2C09">
        <w:rPr>
          <w:rFonts w:ascii="Arial" w:hAnsi="Arial" w:cs="Arial"/>
          <w:b/>
          <w:iCs/>
          <w:sz w:val="22"/>
          <w:szCs w:val="22"/>
          <w:lang w:val="en-ZA"/>
        </w:rPr>
        <w:t xml:space="preserve"> Crescent </w:t>
      </w:r>
      <w:proofErr w:type="spellStart"/>
      <w:r w:rsidRPr="00CE2C09">
        <w:rPr>
          <w:rFonts w:ascii="Arial" w:hAnsi="Arial" w:cs="Arial"/>
          <w:b/>
          <w:iCs/>
          <w:sz w:val="22"/>
          <w:szCs w:val="22"/>
          <w:lang w:val="en-ZA"/>
        </w:rPr>
        <w:t>Lavoipierre</w:t>
      </w:r>
      <w:proofErr w:type="spellEnd"/>
      <w:r w:rsidRPr="00CE2C09">
        <w:rPr>
          <w:rFonts w:ascii="Arial" w:hAnsi="Arial" w:cs="Arial"/>
          <w:b/>
          <w:iCs/>
          <w:sz w:val="22"/>
          <w:szCs w:val="22"/>
          <w:lang w:val="en-ZA"/>
        </w:rPr>
        <w:t xml:space="preserve"> Building, KwaDukuza</w:t>
      </w:r>
      <w:r w:rsidRPr="00CE2C09">
        <w:rPr>
          <w:rFonts w:ascii="Arial" w:hAnsi="Arial" w:cs="Arial"/>
          <w:b/>
          <w:bCs/>
          <w:iCs/>
          <w:sz w:val="22"/>
          <w:szCs w:val="22"/>
          <w:lang w:val="en-ZA"/>
        </w:rPr>
        <w:t>, 4450</w:t>
      </w:r>
      <w:r w:rsidRPr="00CE2C09">
        <w:rPr>
          <w:rFonts w:ascii="Arial" w:hAnsi="Arial" w:cs="Arial"/>
          <w:bCs/>
          <w:iCs/>
          <w:sz w:val="22"/>
          <w:szCs w:val="22"/>
          <w:lang w:val="en-ZA"/>
        </w:rPr>
        <w:t xml:space="preserve">, </w:t>
      </w:r>
      <w:r w:rsidRPr="00CE2C09">
        <w:rPr>
          <w:rFonts w:ascii="Arial" w:hAnsi="Arial" w:cs="Arial"/>
          <w:bCs/>
          <w:iCs/>
          <w:sz w:val="22"/>
          <w:szCs w:val="22"/>
          <w:lang w:val="en-US"/>
        </w:rPr>
        <w:t xml:space="preserve">not later than </w:t>
      </w:r>
      <w:r w:rsidRPr="00CE2C09">
        <w:rPr>
          <w:rFonts w:ascii="Arial" w:hAnsi="Arial" w:cs="Arial"/>
          <w:b/>
          <w:bCs/>
          <w:iCs/>
          <w:sz w:val="22"/>
          <w:szCs w:val="22"/>
          <w:u w:val="single"/>
          <w:lang w:val="en-US"/>
        </w:rPr>
        <w:t>12H00 on 3</w:t>
      </w:r>
      <w:r w:rsidRPr="00CE2C09">
        <w:rPr>
          <w:rFonts w:ascii="Arial" w:hAnsi="Arial" w:cs="Arial"/>
          <w:b/>
          <w:bCs/>
          <w:iCs/>
          <w:sz w:val="22"/>
          <w:szCs w:val="22"/>
          <w:u w:val="single"/>
          <w:vertAlign w:val="superscript"/>
          <w:lang w:val="en-US"/>
        </w:rPr>
        <w:t>rd</w:t>
      </w:r>
      <w:r w:rsidRPr="00CE2C09">
        <w:rPr>
          <w:rFonts w:ascii="Arial" w:hAnsi="Arial" w:cs="Arial"/>
          <w:b/>
          <w:bCs/>
          <w:iCs/>
          <w:sz w:val="22"/>
          <w:szCs w:val="22"/>
          <w:u w:val="single"/>
          <w:lang w:val="en-US"/>
        </w:rPr>
        <w:t xml:space="preserve"> December 2024</w:t>
      </w:r>
      <w:r w:rsidRPr="00CE2C09">
        <w:rPr>
          <w:rFonts w:ascii="Arial" w:hAnsi="Arial" w:cs="Arial"/>
          <w:bCs/>
          <w:iCs/>
          <w:sz w:val="22"/>
          <w:szCs w:val="22"/>
          <w:lang w:val="en-US"/>
        </w:rPr>
        <w:t>, at which time the tenders will be opened in public. Tenders are to be submitted on the tender documentation provided by the Municipality. Late, electronic or faxed tenders will not be accepted.</w:t>
      </w:r>
    </w:p>
    <w:p w14:paraId="662AA1CC" w14:textId="77777777" w:rsidR="00CE2C09" w:rsidRPr="00CE2C09" w:rsidRDefault="00CE2C09" w:rsidP="00CE2C09">
      <w:pPr>
        <w:suppressAutoHyphens/>
        <w:jc w:val="both"/>
        <w:rPr>
          <w:rFonts w:ascii="Arial" w:hAnsi="Arial" w:cs="Arial"/>
          <w:bCs/>
          <w:iCs/>
          <w:sz w:val="22"/>
          <w:szCs w:val="22"/>
          <w:lang w:val="en-US"/>
        </w:rPr>
      </w:pPr>
    </w:p>
    <w:p w14:paraId="0C8E0A4C" w14:textId="77777777" w:rsidR="00CE2C09" w:rsidRPr="00CE2C09" w:rsidRDefault="00CE2C09" w:rsidP="00CE2C09">
      <w:pPr>
        <w:suppressAutoHyphens/>
        <w:jc w:val="both"/>
        <w:rPr>
          <w:rFonts w:ascii="Arial" w:hAnsi="Arial" w:cs="Arial"/>
          <w:bCs/>
          <w:iCs/>
          <w:sz w:val="22"/>
          <w:szCs w:val="22"/>
          <w:lang w:val="en-US"/>
        </w:rPr>
      </w:pPr>
    </w:p>
    <w:p w14:paraId="402DAA66" w14:textId="77777777" w:rsidR="00CE2C09" w:rsidRPr="00CE2C09" w:rsidRDefault="00CE2C09" w:rsidP="00CE2C09">
      <w:pPr>
        <w:suppressAutoHyphens/>
        <w:jc w:val="both"/>
        <w:rPr>
          <w:rFonts w:ascii="Arial" w:hAnsi="Arial" w:cs="Arial"/>
          <w:bCs/>
          <w:iCs/>
          <w:sz w:val="22"/>
          <w:szCs w:val="22"/>
          <w:lang w:val="en-US"/>
        </w:rPr>
      </w:pPr>
    </w:p>
    <w:p w14:paraId="32EEEC03" w14:textId="77777777" w:rsidR="00CE2C09" w:rsidRPr="00CE2C09" w:rsidRDefault="00CE2C09" w:rsidP="00CE2C09">
      <w:pPr>
        <w:suppressAutoHyphens/>
        <w:jc w:val="both"/>
        <w:rPr>
          <w:rFonts w:ascii="Arial" w:hAnsi="Arial" w:cs="Arial"/>
          <w:bCs/>
          <w:iCs/>
          <w:sz w:val="22"/>
          <w:szCs w:val="22"/>
          <w:lang w:val="en-US"/>
        </w:rPr>
      </w:pPr>
    </w:p>
    <w:p w14:paraId="12E10A95" w14:textId="77777777" w:rsidR="00CE2C09" w:rsidRPr="00CE2C09" w:rsidRDefault="00CE2C09" w:rsidP="00CE2C09">
      <w:pPr>
        <w:suppressAutoHyphens/>
        <w:jc w:val="both"/>
        <w:rPr>
          <w:rFonts w:ascii="Arial" w:hAnsi="Arial" w:cs="Arial"/>
          <w:bCs/>
          <w:iCs/>
          <w:sz w:val="22"/>
          <w:szCs w:val="22"/>
          <w:lang w:val="en-US"/>
        </w:rPr>
      </w:pPr>
    </w:p>
    <w:p w14:paraId="5E5FA149" w14:textId="77777777" w:rsidR="00CE2C09" w:rsidRPr="00CE2C09" w:rsidRDefault="00CE2C09" w:rsidP="00CE2C09">
      <w:pPr>
        <w:suppressAutoHyphens/>
        <w:jc w:val="both"/>
        <w:rPr>
          <w:rFonts w:ascii="Arial" w:hAnsi="Arial" w:cs="Arial"/>
          <w:bCs/>
          <w:iCs/>
          <w:sz w:val="22"/>
          <w:szCs w:val="22"/>
          <w:lang w:val="en-US"/>
        </w:rPr>
      </w:pPr>
    </w:p>
    <w:p w14:paraId="15BB5F57" w14:textId="77777777" w:rsidR="00CE2C09" w:rsidRPr="00CE2C09" w:rsidRDefault="00CE2C09" w:rsidP="00CE2C09">
      <w:pPr>
        <w:suppressAutoHyphens/>
        <w:jc w:val="both"/>
        <w:rPr>
          <w:rFonts w:ascii="Arial" w:hAnsi="Arial" w:cs="Arial"/>
          <w:b/>
          <w:sz w:val="22"/>
          <w:szCs w:val="22"/>
          <w:lang w:eastAsia="ar-SA"/>
        </w:rPr>
      </w:pPr>
    </w:p>
    <w:p w14:paraId="3A7CCAE3" w14:textId="77777777" w:rsidR="00CE2C09" w:rsidRPr="00CE2C09" w:rsidRDefault="00CE2C09" w:rsidP="00CE2C09">
      <w:pPr>
        <w:suppressAutoHyphens/>
        <w:jc w:val="both"/>
        <w:rPr>
          <w:rFonts w:ascii="Arial" w:hAnsi="Arial" w:cs="Arial"/>
          <w:b/>
          <w:sz w:val="22"/>
          <w:szCs w:val="22"/>
          <w:lang w:eastAsia="ar-SA"/>
        </w:rPr>
      </w:pPr>
      <w:r w:rsidRPr="00CE2C09">
        <w:rPr>
          <w:rFonts w:ascii="Arial" w:hAnsi="Arial" w:cs="Arial"/>
          <w:b/>
          <w:sz w:val="22"/>
          <w:szCs w:val="22"/>
          <w:lang w:eastAsia="ar-SA"/>
        </w:rPr>
        <w:t>Bids will be evaluated and adjudicated according to the following criteria:</w:t>
      </w:r>
    </w:p>
    <w:p w14:paraId="6080373C" w14:textId="77777777" w:rsidR="00CE2C09" w:rsidRPr="00CE2C09" w:rsidRDefault="00CE2C09" w:rsidP="00CE2C09">
      <w:pPr>
        <w:suppressAutoHyphens/>
        <w:jc w:val="both"/>
        <w:rPr>
          <w:rFonts w:ascii="Arial" w:hAnsi="Arial" w:cs="Arial"/>
          <w:b/>
          <w:sz w:val="22"/>
          <w:szCs w:val="22"/>
          <w:lang w:eastAsia="ar-SA"/>
        </w:rPr>
      </w:pPr>
    </w:p>
    <w:p w14:paraId="31D3F1A8"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80/20 preference points system will apply in terms of the preferential Procurement Regulations, 2022 (Points claimed will be scored for specific goals and proof of such claim must be provided with the BID). Failure in providing relevant proof will result in no points being awarded for specific goals.</w:t>
      </w:r>
    </w:p>
    <w:p w14:paraId="2AEA9359"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The specific goals criteria to this Tender in terms of Section 2 (1)(d) and (e) of the Act is: EME’s or QSE which are at least 51% owned by Black people.</w:t>
      </w:r>
    </w:p>
    <w:p w14:paraId="04238498"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RDP Criteria applied for this Tender: Service providers who resides within the KZN Province. Proof of address by way of Utility bill or an Affidavit to confirm Locality must be provided with your bid.</w:t>
      </w:r>
    </w:p>
    <w:p w14:paraId="61A264BA"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Council’s Supply Chain Management Policy</w:t>
      </w:r>
    </w:p>
    <w:p w14:paraId="2DFF258A"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Contractor shall be registered on the National Treasury’s Central Supplier Database.</w:t>
      </w:r>
    </w:p>
    <w:p w14:paraId="304FDD2D"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bCs/>
          <w:sz w:val="22"/>
          <w:szCs w:val="22"/>
          <w:lang w:eastAsia="ar-SA"/>
        </w:rPr>
      </w:pPr>
      <w:r w:rsidRPr="00CE2C09">
        <w:rPr>
          <w:rFonts w:ascii="Arial" w:hAnsi="Arial" w:cs="Arial"/>
          <w:bCs/>
          <w:sz w:val="22"/>
          <w:szCs w:val="22"/>
        </w:rPr>
        <w:t>The tenderer shall attach hereto an original or a copy of the bank rating letter from a registered financial institution. Failure to submit the above shall invalidate the tender</w:t>
      </w:r>
    </w:p>
    <w:p w14:paraId="02E4CA1D"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 xml:space="preserve">Contractor having a CIDB grading of 2 SQ </w:t>
      </w:r>
      <w:r w:rsidRPr="00CE2C09">
        <w:rPr>
          <w:rFonts w:ascii="Arial" w:hAnsi="Arial" w:cs="Arial"/>
          <w:bCs/>
          <w:iCs/>
          <w:sz w:val="22"/>
          <w:szCs w:val="22"/>
          <w:lang w:val="en-US"/>
        </w:rPr>
        <w:t>or higher</w:t>
      </w:r>
      <w:r w:rsidRPr="00CE2C09">
        <w:rPr>
          <w:rFonts w:ascii="Arial" w:hAnsi="Arial" w:cs="Arial"/>
          <w:sz w:val="22"/>
          <w:szCs w:val="22"/>
          <w:lang w:eastAsia="ar-SA"/>
        </w:rPr>
        <w:t>.</w:t>
      </w:r>
    </w:p>
    <w:p w14:paraId="1E2A67F2"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Certificate of Attendance at the clarification meeting.</w:t>
      </w:r>
    </w:p>
    <w:p w14:paraId="5BE2653D"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The employment of local labour shall be sourced within the wards of the KwaDukuza Municipality in terms of EPWP.</w:t>
      </w:r>
    </w:p>
    <w:p w14:paraId="1752BA17" w14:textId="77777777" w:rsidR="00CE2C09" w:rsidRPr="00CE2C09" w:rsidRDefault="00CE2C09" w:rsidP="00CE2C09">
      <w:pPr>
        <w:pStyle w:val="ListParagraph"/>
        <w:numPr>
          <w:ilvl w:val="0"/>
          <w:numId w:val="1"/>
        </w:numPr>
        <w:tabs>
          <w:tab w:val="left" w:pos="426"/>
        </w:tabs>
        <w:suppressAutoHyphens/>
        <w:spacing w:before="240"/>
        <w:contextualSpacing w:val="0"/>
        <w:jc w:val="both"/>
        <w:rPr>
          <w:rFonts w:ascii="Arial" w:hAnsi="Arial" w:cs="Arial"/>
          <w:sz w:val="22"/>
          <w:szCs w:val="22"/>
          <w:lang w:eastAsia="ar-SA"/>
        </w:rPr>
      </w:pPr>
      <w:r w:rsidRPr="00CE2C09">
        <w:rPr>
          <w:rFonts w:ascii="Arial" w:hAnsi="Arial" w:cs="Arial"/>
          <w:sz w:val="22"/>
          <w:szCs w:val="22"/>
          <w:lang w:eastAsia="ar-SA"/>
        </w:rPr>
        <w:t>Prices tendered must be firm and inclusive of VAT.</w:t>
      </w:r>
    </w:p>
    <w:p w14:paraId="5BB9D188" w14:textId="77777777" w:rsidR="00CE2C09" w:rsidRPr="00CE2C09" w:rsidRDefault="00CE2C09" w:rsidP="00CE2C09">
      <w:pPr>
        <w:pStyle w:val="ListParagraph"/>
        <w:ind w:left="705"/>
        <w:rPr>
          <w:rFonts w:ascii="Arial" w:hAnsi="Arial" w:cs="Arial"/>
          <w:sz w:val="22"/>
          <w:szCs w:val="22"/>
          <w:lang w:eastAsia="ar-SA"/>
        </w:rPr>
      </w:pPr>
      <w:r w:rsidRPr="00CE2C09">
        <w:rPr>
          <w:rFonts w:ascii="Arial" w:hAnsi="Arial" w:cs="Arial"/>
          <w:sz w:val="22"/>
          <w:szCs w:val="22"/>
          <w:lang w:eastAsia="ar-SA"/>
        </w:rPr>
        <w:t xml:space="preserve">NB:  Bidders who are listed in the National Treasury register of defaulters and </w:t>
      </w:r>
    </w:p>
    <w:p w14:paraId="02A82BB2" w14:textId="77777777" w:rsidR="00CE2C09" w:rsidRPr="00CE2C09" w:rsidRDefault="00CE2C09" w:rsidP="00CE2C09">
      <w:pPr>
        <w:pStyle w:val="ListParagraph"/>
        <w:ind w:left="705"/>
        <w:rPr>
          <w:rFonts w:ascii="Arial" w:hAnsi="Arial" w:cs="Arial"/>
          <w:sz w:val="22"/>
          <w:szCs w:val="22"/>
          <w:lang w:eastAsia="ar-SA"/>
        </w:rPr>
      </w:pPr>
      <w:r w:rsidRPr="00CE2C09">
        <w:rPr>
          <w:rFonts w:ascii="Arial" w:hAnsi="Arial" w:cs="Arial"/>
          <w:sz w:val="22"/>
          <w:szCs w:val="22"/>
          <w:lang w:eastAsia="ar-SA"/>
        </w:rPr>
        <w:t>Restricted suppliers will be automatically disqualified.</w:t>
      </w:r>
    </w:p>
    <w:p w14:paraId="08A1049D" w14:textId="77777777" w:rsidR="00CE2C09" w:rsidRPr="00CE2C09" w:rsidRDefault="00CE2C09" w:rsidP="00CE2C09">
      <w:pPr>
        <w:pStyle w:val="ListParagraph"/>
        <w:numPr>
          <w:ilvl w:val="0"/>
          <w:numId w:val="2"/>
        </w:numPr>
        <w:tabs>
          <w:tab w:val="left" w:pos="426"/>
        </w:tabs>
        <w:suppressAutoHyphens/>
        <w:contextualSpacing w:val="0"/>
        <w:jc w:val="both"/>
        <w:rPr>
          <w:rFonts w:ascii="Arial" w:hAnsi="Arial" w:cs="Arial"/>
          <w:sz w:val="22"/>
          <w:szCs w:val="22"/>
          <w:lang w:eastAsia="ar-SA"/>
        </w:rPr>
      </w:pPr>
      <w:r w:rsidRPr="00CE2C09">
        <w:rPr>
          <w:rFonts w:ascii="Arial" w:eastAsia="Calibri" w:hAnsi="Arial" w:cs="Arial"/>
          <w:color w:val="000000"/>
          <w:sz w:val="22"/>
          <w:szCs w:val="22"/>
          <w:lang w:val="en-ZA"/>
        </w:rPr>
        <w:t>A copy of Municipal Utility Bill (not older than 3 months) in which the business is registered. District municipality (water) and Local municipality (rates, electricity and other) or if the bidder is a tenant, then an affidavit from the landlord indicating that the levies are not in arrears. Should the above not be applicable, the service provider shall submit an affidavit.</w:t>
      </w:r>
    </w:p>
    <w:p w14:paraId="243AB050" w14:textId="77777777" w:rsidR="00CE2C09" w:rsidRPr="00CE2C09" w:rsidRDefault="00CE2C09" w:rsidP="00CE2C09">
      <w:pPr>
        <w:pStyle w:val="ListParagraph"/>
        <w:numPr>
          <w:ilvl w:val="0"/>
          <w:numId w:val="2"/>
        </w:numPr>
        <w:tabs>
          <w:tab w:val="left" w:pos="426"/>
        </w:tabs>
        <w:suppressAutoHyphens/>
        <w:contextualSpacing w:val="0"/>
        <w:jc w:val="both"/>
        <w:rPr>
          <w:rFonts w:ascii="Arial" w:hAnsi="Arial" w:cs="Arial"/>
          <w:sz w:val="22"/>
          <w:szCs w:val="22"/>
          <w:lang w:eastAsia="ar-SA"/>
        </w:rPr>
      </w:pPr>
      <w:r w:rsidRPr="00CE2C09">
        <w:rPr>
          <w:rFonts w:ascii="Arial" w:eastAsia="Calibri" w:hAnsi="Arial" w:cs="Arial"/>
          <w:color w:val="000000"/>
          <w:sz w:val="22"/>
          <w:szCs w:val="22"/>
          <w:lang w:val="en-ZA"/>
        </w:rPr>
        <w:t>Where brand name is specified, an equivalent will suffice.</w:t>
      </w:r>
    </w:p>
    <w:p w14:paraId="7A8ABD26" w14:textId="77777777" w:rsidR="00CE2C09" w:rsidRPr="00CE2C09" w:rsidRDefault="00CE2C09" w:rsidP="00CE2C09">
      <w:pPr>
        <w:pStyle w:val="ListParagraph"/>
        <w:numPr>
          <w:ilvl w:val="0"/>
          <w:numId w:val="2"/>
        </w:numPr>
        <w:tabs>
          <w:tab w:val="left" w:pos="426"/>
        </w:tabs>
        <w:suppressAutoHyphens/>
        <w:contextualSpacing w:val="0"/>
        <w:jc w:val="both"/>
        <w:rPr>
          <w:rFonts w:ascii="Arial" w:hAnsi="Arial" w:cs="Arial"/>
          <w:sz w:val="22"/>
          <w:szCs w:val="22"/>
          <w:lang w:eastAsia="ar-SA"/>
        </w:rPr>
      </w:pPr>
      <w:r w:rsidRPr="00CE2C09">
        <w:rPr>
          <w:rFonts w:ascii="Arial" w:eastAsia="Calibri" w:hAnsi="Arial" w:cs="Arial"/>
          <w:color w:val="000000"/>
          <w:sz w:val="22"/>
          <w:szCs w:val="22"/>
          <w:lang w:val="en-ZA"/>
        </w:rPr>
        <w:t>The Municipality has established maximum market related rates for all items in the Bill of Quantities. Where the rates of the Service Provider exceed the maximum rates, the maximum rates will be negotiated subject to the Service Provider agreeing to the rates. Where the rates of the Service Providers are below the Maximum Rates, the Service Providers rates will apply.</w:t>
      </w:r>
    </w:p>
    <w:p w14:paraId="3787526E" w14:textId="77777777" w:rsidR="00CE2C09" w:rsidRPr="00CE2C09" w:rsidRDefault="00CE2C09" w:rsidP="00CE2C09">
      <w:pPr>
        <w:pStyle w:val="ListParagraph"/>
        <w:numPr>
          <w:ilvl w:val="0"/>
          <w:numId w:val="2"/>
        </w:numPr>
        <w:tabs>
          <w:tab w:val="left" w:pos="426"/>
        </w:tabs>
        <w:suppressAutoHyphens/>
        <w:contextualSpacing w:val="0"/>
        <w:jc w:val="both"/>
        <w:rPr>
          <w:rFonts w:ascii="Arial" w:hAnsi="Arial" w:cs="Arial"/>
          <w:sz w:val="22"/>
          <w:szCs w:val="22"/>
          <w:lang w:eastAsia="ar-SA"/>
        </w:rPr>
      </w:pPr>
      <w:r w:rsidRPr="00CE2C09">
        <w:rPr>
          <w:rFonts w:ascii="Arial" w:eastAsia="Calibri" w:hAnsi="Arial" w:cs="Arial"/>
          <w:color w:val="000000"/>
          <w:sz w:val="22"/>
          <w:szCs w:val="22"/>
        </w:rPr>
        <w:t>Bidders need to score a minimum of 20 points under functionality and score the minimum points for each of the categories.</w:t>
      </w:r>
    </w:p>
    <w:p w14:paraId="5D720C51" w14:textId="77777777" w:rsidR="00CE2C09" w:rsidRPr="00CE2C09" w:rsidRDefault="00CE2C09" w:rsidP="00CE2C09">
      <w:pPr>
        <w:tabs>
          <w:tab w:val="left" w:pos="426"/>
        </w:tabs>
        <w:suppressAutoHyphens/>
        <w:spacing w:line="276" w:lineRule="auto"/>
        <w:ind w:left="1134"/>
        <w:jc w:val="both"/>
        <w:rPr>
          <w:rFonts w:ascii="Arial" w:hAnsi="Arial" w:cs="Arial"/>
          <w:b/>
          <w:sz w:val="22"/>
          <w:szCs w:val="22"/>
          <w:lang w:eastAsia="ar-SA"/>
        </w:rPr>
      </w:pPr>
    </w:p>
    <w:p w14:paraId="7B4F6EC4" w14:textId="77777777" w:rsidR="00CE2C09" w:rsidRPr="00CE2C09" w:rsidRDefault="00CE2C09" w:rsidP="00CE2C09">
      <w:pPr>
        <w:tabs>
          <w:tab w:val="left" w:pos="426"/>
        </w:tabs>
        <w:suppressAutoHyphens/>
        <w:spacing w:line="276" w:lineRule="auto"/>
        <w:ind w:left="1134"/>
        <w:jc w:val="both"/>
        <w:rPr>
          <w:rFonts w:ascii="Arial" w:hAnsi="Arial" w:cs="Arial"/>
          <w:b/>
          <w:sz w:val="22"/>
          <w:szCs w:val="22"/>
          <w:lang w:eastAsia="ar-SA"/>
        </w:rPr>
      </w:pPr>
    </w:p>
    <w:p w14:paraId="31595242" w14:textId="77777777" w:rsidR="00CE2C09" w:rsidRPr="00CE2C09" w:rsidRDefault="00CE2C09" w:rsidP="00CE2C09">
      <w:pPr>
        <w:tabs>
          <w:tab w:val="left" w:pos="426"/>
        </w:tabs>
        <w:suppressAutoHyphens/>
        <w:spacing w:line="276" w:lineRule="auto"/>
        <w:ind w:left="1134"/>
        <w:jc w:val="both"/>
        <w:rPr>
          <w:rFonts w:ascii="Arial" w:hAnsi="Arial" w:cs="Arial"/>
          <w:b/>
          <w:sz w:val="22"/>
          <w:szCs w:val="22"/>
          <w:lang w:eastAsia="ar-SA"/>
        </w:rPr>
      </w:pPr>
    </w:p>
    <w:p w14:paraId="4AB58DF6" w14:textId="77777777" w:rsidR="00CE2C09" w:rsidRPr="00CE2C09" w:rsidRDefault="00CE2C09" w:rsidP="00CE2C09">
      <w:pPr>
        <w:tabs>
          <w:tab w:val="left" w:pos="426"/>
        </w:tabs>
        <w:suppressAutoHyphens/>
        <w:spacing w:line="276" w:lineRule="auto"/>
        <w:jc w:val="both"/>
        <w:rPr>
          <w:rFonts w:ascii="Arial" w:hAnsi="Arial" w:cs="Arial"/>
          <w:sz w:val="22"/>
          <w:szCs w:val="22"/>
          <w:lang w:val="en-US"/>
        </w:rPr>
      </w:pPr>
    </w:p>
    <w:p w14:paraId="3213E3FE" w14:textId="77777777" w:rsidR="00CE2C09" w:rsidRPr="00CE2C09" w:rsidRDefault="00CE2C09" w:rsidP="00CE2C09">
      <w:pPr>
        <w:tabs>
          <w:tab w:val="left" w:pos="426"/>
        </w:tabs>
        <w:suppressAutoHyphens/>
        <w:spacing w:line="276" w:lineRule="auto"/>
        <w:jc w:val="both"/>
        <w:rPr>
          <w:rFonts w:ascii="Arial" w:hAnsi="Arial" w:cs="Arial"/>
          <w:sz w:val="22"/>
          <w:szCs w:val="22"/>
          <w:lang w:val="en-US"/>
        </w:rPr>
      </w:pPr>
    </w:p>
    <w:p w14:paraId="401E6802" w14:textId="77777777" w:rsidR="00CE2C09" w:rsidRPr="00CE2C09" w:rsidRDefault="00CE2C09" w:rsidP="00CE2C09">
      <w:pPr>
        <w:tabs>
          <w:tab w:val="left" w:pos="426"/>
        </w:tabs>
        <w:suppressAutoHyphens/>
        <w:spacing w:line="276" w:lineRule="auto"/>
        <w:jc w:val="both"/>
        <w:rPr>
          <w:rFonts w:ascii="Arial" w:hAnsi="Arial" w:cs="Arial"/>
          <w:sz w:val="22"/>
          <w:szCs w:val="22"/>
          <w:lang w:val="en-US"/>
        </w:rPr>
      </w:pPr>
    </w:p>
    <w:p w14:paraId="6988DB4F" w14:textId="77777777" w:rsidR="00CE2C09" w:rsidRPr="00CE2C09" w:rsidRDefault="00CE2C09" w:rsidP="00CE2C09">
      <w:pPr>
        <w:tabs>
          <w:tab w:val="left" w:pos="426"/>
        </w:tabs>
        <w:suppressAutoHyphens/>
        <w:spacing w:line="276" w:lineRule="auto"/>
        <w:jc w:val="both"/>
        <w:rPr>
          <w:rFonts w:ascii="Arial" w:hAnsi="Arial" w:cs="Arial"/>
          <w:sz w:val="22"/>
          <w:szCs w:val="22"/>
          <w:lang w:val="en-US"/>
        </w:rPr>
      </w:pPr>
    </w:p>
    <w:p w14:paraId="6C43343E" w14:textId="77777777" w:rsidR="00CE2C09" w:rsidRPr="00CE2C09" w:rsidRDefault="00CE2C09" w:rsidP="00CE2C09">
      <w:pPr>
        <w:tabs>
          <w:tab w:val="left" w:pos="426"/>
        </w:tabs>
        <w:suppressAutoHyphens/>
        <w:spacing w:line="276" w:lineRule="auto"/>
        <w:jc w:val="both"/>
        <w:rPr>
          <w:rFonts w:ascii="Arial" w:hAnsi="Arial" w:cs="Arial"/>
          <w:sz w:val="22"/>
          <w:szCs w:val="22"/>
          <w:lang w:val="en-US"/>
        </w:rPr>
      </w:pPr>
      <w:r w:rsidRPr="00CE2C09">
        <w:rPr>
          <w:rFonts w:ascii="Arial" w:hAnsi="Arial" w:cs="Arial"/>
          <w:sz w:val="22"/>
          <w:szCs w:val="22"/>
          <w:lang w:val="en-US"/>
        </w:rPr>
        <w:lastRenderedPageBreak/>
        <w:t>Below is summary of Functionality scoring, full details of scoring are indicated in the Tender Data.</w:t>
      </w:r>
    </w:p>
    <w:p w14:paraId="6938226F" w14:textId="77777777" w:rsidR="00CE2C09" w:rsidRPr="00CE2C09" w:rsidRDefault="00CE2C09" w:rsidP="00CE2C09">
      <w:pPr>
        <w:rPr>
          <w:rFonts w:ascii="Arial" w:hAnsi="Arial" w:cs="Arial"/>
          <w:b/>
          <w:sz w:val="22"/>
          <w:szCs w:val="22"/>
          <w:lang w:val="en-US"/>
        </w:rPr>
      </w:pPr>
    </w:p>
    <w:p w14:paraId="298DFC87" w14:textId="77777777" w:rsidR="00CE2C09" w:rsidRPr="00CE2C09" w:rsidRDefault="00CE2C09" w:rsidP="00CE2C09">
      <w:pPr>
        <w:rPr>
          <w:rFonts w:ascii="Arial" w:hAnsi="Arial" w:cs="Arial"/>
          <w:b/>
          <w:sz w:val="22"/>
          <w:szCs w:val="22"/>
        </w:rPr>
      </w:pPr>
      <w:r w:rsidRPr="00CE2C09">
        <w:rPr>
          <w:rFonts w:ascii="Arial" w:hAnsi="Arial" w:cs="Arial"/>
          <w:b/>
          <w:sz w:val="22"/>
          <w:szCs w:val="22"/>
        </w:rPr>
        <w:t>EVALUATION MATRIX FOR ASSESSMENT OF FUNCTIONALITY</w:t>
      </w:r>
    </w:p>
    <w:p w14:paraId="471D98B7" w14:textId="77777777" w:rsidR="00CE2C09" w:rsidRPr="00CE2C09" w:rsidRDefault="00CE2C09" w:rsidP="00CE2C09">
      <w:pPr>
        <w:spacing w:before="120" w:after="120"/>
        <w:ind w:right="57"/>
        <w:jc w:val="both"/>
        <w:rPr>
          <w:rFonts w:ascii="Arial" w:eastAsia="Calibri" w:hAnsi="Arial" w:cs="Arial"/>
          <w:sz w:val="22"/>
          <w:szCs w:val="22"/>
        </w:rPr>
      </w:pPr>
      <w:r w:rsidRPr="00CE2C09">
        <w:rPr>
          <w:rFonts w:ascii="Arial" w:eastAsia="Calibri" w:hAnsi="Arial" w:cs="Arial"/>
          <w:sz w:val="22"/>
          <w:szCs w:val="22"/>
        </w:rPr>
        <w:t>The evaluation criteria and maximum score in respect of each of the criteria are given hereunder.</w:t>
      </w:r>
    </w:p>
    <w:p w14:paraId="55787DDE" w14:textId="77777777" w:rsidR="00CE2C09" w:rsidRPr="00CE2C09" w:rsidRDefault="00CE2C09" w:rsidP="00CE2C09">
      <w:pPr>
        <w:spacing w:before="120" w:after="120"/>
        <w:ind w:left="57" w:right="57"/>
        <w:jc w:val="both"/>
        <w:rPr>
          <w:rFonts w:ascii="Arial" w:eastAsia="Calibri" w:hAnsi="Arial" w:cs="Arial"/>
          <w:bCs/>
          <w:i/>
          <w:iCs/>
          <w:sz w:val="22"/>
          <w:szCs w:val="22"/>
        </w:rPr>
      </w:pPr>
      <w:r w:rsidRPr="00CE2C09">
        <w:rPr>
          <w:rFonts w:ascii="Arial" w:eastAsia="Calibri" w:hAnsi="Arial" w:cs="Arial"/>
          <w:bCs/>
          <w:i/>
          <w:iCs/>
          <w:sz w:val="22"/>
          <w:szCs w:val="22"/>
        </w:rPr>
        <w:t xml:space="preserve">A Tender must score a minimum of </w:t>
      </w:r>
      <w:r w:rsidRPr="00CE2C09">
        <w:rPr>
          <w:rFonts w:ascii="Arial" w:eastAsia="Calibri" w:hAnsi="Arial" w:cs="Arial"/>
          <w:b/>
          <w:i/>
          <w:iCs/>
          <w:sz w:val="22"/>
          <w:szCs w:val="22"/>
        </w:rPr>
        <w:t>20 points</w:t>
      </w:r>
      <w:r w:rsidRPr="00CE2C09">
        <w:rPr>
          <w:rFonts w:ascii="Arial" w:eastAsia="Calibri" w:hAnsi="Arial" w:cs="Arial"/>
          <w:bCs/>
          <w:i/>
          <w:iCs/>
          <w:sz w:val="22"/>
          <w:szCs w:val="22"/>
        </w:rPr>
        <w:t xml:space="preserve"> in Functionality to be considered for further evaluation</w:t>
      </w:r>
    </w:p>
    <w:tbl>
      <w:tblPr>
        <w:tblW w:w="0" w:type="auto"/>
        <w:jc w:val="center"/>
        <w:tblLayout w:type="fixed"/>
        <w:tblCellMar>
          <w:left w:w="0" w:type="dxa"/>
          <w:right w:w="0" w:type="dxa"/>
        </w:tblCellMar>
        <w:tblLook w:val="04A0" w:firstRow="1" w:lastRow="0" w:firstColumn="1" w:lastColumn="0" w:noHBand="0" w:noVBand="1"/>
      </w:tblPr>
      <w:tblGrid>
        <w:gridCol w:w="3414"/>
        <w:gridCol w:w="1922"/>
        <w:gridCol w:w="2446"/>
      </w:tblGrid>
      <w:tr w:rsidR="00CE2C09" w:rsidRPr="00CE2C09" w14:paraId="5E01616D" w14:textId="77777777" w:rsidTr="00825CB5">
        <w:trPr>
          <w:jc w:val="center"/>
        </w:trPr>
        <w:tc>
          <w:tcPr>
            <w:tcW w:w="3414" w:type="dxa"/>
            <w:tcBorders>
              <w:top w:val="single" w:sz="8" w:space="0" w:color="auto"/>
              <w:left w:val="single" w:sz="8" w:space="0" w:color="auto"/>
              <w:bottom w:val="single" w:sz="8" w:space="0" w:color="auto"/>
              <w:right w:val="single" w:sz="8" w:space="0" w:color="auto"/>
            </w:tcBorders>
            <w:shd w:val="clear" w:color="auto" w:fill="D9D9D9"/>
            <w:tcMar>
              <w:top w:w="28" w:type="dxa"/>
              <w:left w:w="85" w:type="dxa"/>
              <w:bottom w:w="28" w:type="dxa"/>
              <w:right w:w="85" w:type="dxa"/>
            </w:tcMar>
            <w:vAlign w:val="center"/>
            <w:hideMark/>
          </w:tcPr>
          <w:p w14:paraId="0A81A23E" w14:textId="77777777" w:rsidR="00CE2C09" w:rsidRPr="00CE2C09" w:rsidRDefault="00CE2C09" w:rsidP="00825CB5">
            <w:pPr>
              <w:ind w:left="57" w:right="57"/>
              <w:jc w:val="both"/>
              <w:rPr>
                <w:rFonts w:ascii="Arial" w:eastAsia="Calibri" w:hAnsi="Arial" w:cs="Arial"/>
                <w:b/>
                <w:bCs/>
                <w:sz w:val="22"/>
                <w:szCs w:val="22"/>
              </w:rPr>
            </w:pPr>
            <w:r w:rsidRPr="00CE2C09">
              <w:rPr>
                <w:rFonts w:ascii="Arial" w:eastAsia="Calibri" w:hAnsi="Arial" w:cs="Arial"/>
                <w:b/>
                <w:bCs/>
                <w:sz w:val="22"/>
                <w:szCs w:val="22"/>
              </w:rPr>
              <w:t>Functionality criteria</w:t>
            </w:r>
          </w:p>
        </w:tc>
        <w:tc>
          <w:tcPr>
            <w:tcW w:w="1922"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14:paraId="2A39C9EA" w14:textId="77777777" w:rsidR="00CE2C09" w:rsidRPr="00CE2C09" w:rsidRDefault="00CE2C09" w:rsidP="00825CB5">
            <w:pPr>
              <w:ind w:left="57" w:right="57"/>
              <w:jc w:val="both"/>
              <w:rPr>
                <w:rFonts w:ascii="Arial" w:eastAsia="Calibri" w:hAnsi="Arial" w:cs="Arial"/>
                <w:b/>
                <w:bCs/>
                <w:sz w:val="22"/>
                <w:szCs w:val="22"/>
              </w:rPr>
            </w:pPr>
            <w:r w:rsidRPr="00CE2C09">
              <w:rPr>
                <w:rFonts w:ascii="Arial" w:eastAsia="Calibri" w:hAnsi="Arial" w:cs="Arial"/>
                <w:b/>
                <w:bCs/>
                <w:sz w:val="22"/>
                <w:szCs w:val="22"/>
              </w:rPr>
              <w:t>Evaluation schedule</w:t>
            </w:r>
          </w:p>
        </w:tc>
        <w:tc>
          <w:tcPr>
            <w:tcW w:w="2446" w:type="dxa"/>
            <w:tcBorders>
              <w:top w:val="single" w:sz="8" w:space="0" w:color="auto"/>
              <w:left w:val="nil"/>
              <w:bottom w:val="single" w:sz="8" w:space="0" w:color="auto"/>
              <w:right w:val="single" w:sz="8" w:space="0" w:color="auto"/>
            </w:tcBorders>
            <w:shd w:val="clear" w:color="auto" w:fill="D9D9D9"/>
            <w:tcMar>
              <w:top w:w="28" w:type="dxa"/>
              <w:left w:w="85" w:type="dxa"/>
              <w:bottom w:w="28" w:type="dxa"/>
              <w:right w:w="85" w:type="dxa"/>
            </w:tcMar>
            <w:vAlign w:val="center"/>
            <w:hideMark/>
          </w:tcPr>
          <w:p w14:paraId="0603E1FD" w14:textId="77777777" w:rsidR="00CE2C09" w:rsidRPr="00CE2C09" w:rsidRDefault="00CE2C09" w:rsidP="00825CB5">
            <w:pPr>
              <w:ind w:left="57" w:right="57"/>
              <w:jc w:val="center"/>
              <w:rPr>
                <w:rFonts w:ascii="Arial" w:eastAsia="Calibri" w:hAnsi="Arial" w:cs="Arial"/>
                <w:b/>
                <w:bCs/>
                <w:sz w:val="22"/>
                <w:szCs w:val="22"/>
              </w:rPr>
            </w:pPr>
            <w:r w:rsidRPr="00CE2C09">
              <w:rPr>
                <w:rFonts w:ascii="Arial" w:eastAsia="Calibri" w:hAnsi="Arial" w:cs="Arial"/>
                <w:b/>
                <w:bCs/>
                <w:sz w:val="22"/>
                <w:szCs w:val="22"/>
              </w:rPr>
              <w:t>Maximum number of points</w:t>
            </w:r>
          </w:p>
        </w:tc>
      </w:tr>
      <w:tr w:rsidR="00CE2C09" w:rsidRPr="00CE2C09" w14:paraId="1FBEE315" w14:textId="77777777" w:rsidTr="00825CB5">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hideMark/>
          </w:tcPr>
          <w:p w14:paraId="76038D7A" w14:textId="77777777" w:rsidR="00CE2C09" w:rsidRPr="00CE2C09" w:rsidRDefault="00CE2C09" w:rsidP="00825CB5">
            <w:pPr>
              <w:ind w:right="57"/>
              <w:jc w:val="both"/>
              <w:rPr>
                <w:rFonts w:ascii="Arial" w:eastAsia="Calibri" w:hAnsi="Arial" w:cs="Arial"/>
                <w:sz w:val="22"/>
                <w:szCs w:val="22"/>
              </w:rPr>
            </w:pPr>
            <w:r w:rsidRPr="00CE2C09">
              <w:rPr>
                <w:rFonts w:ascii="Arial" w:eastAsia="Calibri" w:hAnsi="Arial" w:cs="Arial"/>
                <w:sz w:val="22"/>
                <w:szCs w:val="22"/>
              </w:rPr>
              <w:t>Relevant work experience</w:t>
            </w:r>
          </w:p>
        </w:tc>
        <w:tc>
          <w:tcPr>
            <w:tcW w:w="1922" w:type="dxa"/>
            <w:tcBorders>
              <w:top w:val="nil"/>
              <w:left w:val="nil"/>
              <w:bottom w:val="single" w:sz="8" w:space="0" w:color="auto"/>
              <w:right w:val="single" w:sz="8" w:space="0" w:color="auto"/>
            </w:tcBorders>
            <w:tcMar>
              <w:top w:w="28" w:type="dxa"/>
              <w:left w:w="85" w:type="dxa"/>
              <w:bottom w:w="28" w:type="dxa"/>
              <w:right w:w="85" w:type="dxa"/>
            </w:tcMar>
            <w:hideMark/>
          </w:tcPr>
          <w:p w14:paraId="01577D55" w14:textId="77777777" w:rsidR="00CE2C09" w:rsidRPr="00CE2C09" w:rsidRDefault="00CE2C09" w:rsidP="00825CB5">
            <w:pPr>
              <w:ind w:left="57" w:right="57"/>
              <w:rPr>
                <w:rFonts w:ascii="Arial" w:eastAsia="Calibri" w:hAnsi="Arial" w:cs="Arial"/>
                <w:sz w:val="22"/>
                <w:szCs w:val="22"/>
              </w:rPr>
            </w:pPr>
            <w:r w:rsidRPr="00CE2C09">
              <w:rPr>
                <w:rFonts w:ascii="Arial" w:eastAsia="Calibri" w:hAnsi="Arial" w:cs="Arial"/>
                <w:sz w:val="22"/>
                <w:szCs w:val="22"/>
              </w:rPr>
              <w:t>Schedule 13</w:t>
            </w:r>
          </w:p>
        </w:tc>
        <w:tc>
          <w:tcPr>
            <w:tcW w:w="2446" w:type="dxa"/>
            <w:tcBorders>
              <w:top w:val="nil"/>
              <w:left w:val="nil"/>
              <w:bottom w:val="single" w:sz="8" w:space="0" w:color="auto"/>
              <w:right w:val="single" w:sz="8" w:space="0" w:color="auto"/>
            </w:tcBorders>
            <w:tcMar>
              <w:top w:w="28" w:type="dxa"/>
              <w:left w:w="85" w:type="dxa"/>
              <w:bottom w:w="28" w:type="dxa"/>
              <w:right w:w="85" w:type="dxa"/>
            </w:tcMar>
            <w:hideMark/>
          </w:tcPr>
          <w:p w14:paraId="146FCAAC" w14:textId="77777777" w:rsidR="00CE2C09" w:rsidRPr="00CE2C09" w:rsidRDefault="00CE2C09" w:rsidP="00825CB5">
            <w:pPr>
              <w:ind w:left="57" w:right="57"/>
              <w:jc w:val="center"/>
              <w:rPr>
                <w:rFonts w:ascii="Arial" w:eastAsia="Calibri" w:hAnsi="Arial" w:cs="Arial"/>
                <w:sz w:val="22"/>
                <w:szCs w:val="22"/>
              </w:rPr>
            </w:pPr>
            <w:r w:rsidRPr="00CE2C09">
              <w:rPr>
                <w:rFonts w:ascii="Arial" w:eastAsia="Calibri" w:hAnsi="Arial" w:cs="Arial"/>
                <w:sz w:val="22"/>
                <w:szCs w:val="22"/>
              </w:rPr>
              <w:t>15</w:t>
            </w:r>
          </w:p>
        </w:tc>
      </w:tr>
      <w:tr w:rsidR="00CE2C09" w:rsidRPr="00CE2C09" w14:paraId="0F594FA7" w14:textId="77777777" w:rsidTr="00825CB5">
        <w:trPr>
          <w:jc w:val="center"/>
        </w:trPr>
        <w:tc>
          <w:tcPr>
            <w:tcW w:w="3414" w:type="dxa"/>
            <w:tcBorders>
              <w:top w:val="nil"/>
              <w:left w:val="single" w:sz="8" w:space="0" w:color="auto"/>
              <w:bottom w:val="single" w:sz="8" w:space="0" w:color="auto"/>
              <w:right w:val="single" w:sz="8" w:space="0" w:color="auto"/>
            </w:tcBorders>
            <w:tcMar>
              <w:top w:w="28" w:type="dxa"/>
              <w:left w:w="85" w:type="dxa"/>
              <w:bottom w:w="28" w:type="dxa"/>
              <w:right w:w="85" w:type="dxa"/>
            </w:tcMar>
          </w:tcPr>
          <w:p w14:paraId="791A5D40" w14:textId="77777777" w:rsidR="00CE2C09" w:rsidRPr="00CE2C09" w:rsidRDefault="00CE2C09" w:rsidP="00825CB5">
            <w:pPr>
              <w:ind w:right="57"/>
              <w:jc w:val="both"/>
              <w:rPr>
                <w:rFonts w:ascii="Arial" w:hAnsi="Arial" w:cs="Arial"/>
                <w:color w:val="000000"/>
                <w:sz w:val="22"/>
                <w:szCs w:val="22"/>
                <w:lang w:eastAsia="en-ZA"/>
              </w:rPr>
            </w:pPr>
            <w:r w:rsidRPr="00CE2C09">
              <w:rPr>
                <w:rFonts w:ascii="Arial" w:hAnsi="Arial" w:cs="Arial"/>
                <w:bCs/>
                <w:sz w:val="22"/>
                <w:szCs w:val="22"/>
              </w:rPr>
              <w:t>Locality of business; Where the business is registered/ located:</w:t>
            </w:r>
          </w:p>
        </w:tc>
        <w:tc>
          <w:tcPr>
            <w:tcW w:w="1922" w:type="dxa"/>
            <w:tcBorders>
              <w:top w:val="nil"/>
              <w:left w:val="nil"/>
              <w:bottom w:val="single" w:sz="8" w:space="0" w:color="auto"/>
              <w:right w:val="single" w:sz="8" w:space="0" w:color="auto"/>
            </w:tcBorders>
            <w:tcMar>
              <w:top w:w="28" w:type="dxa"/>
              <w:left w:w="85" w:type="dxa"/>
              <w:bottom w:w="28" w:type="dxa"/>
              <w:right w:w="85" w:type="dxa"/>
            </w:tcMar>
          </w:tcPr>
          <w:p w14:paraId="037866CA" w14:textId="77777777" w:rsidR="00CE2C09" w:rsidRPr="00CE2C09" w:rsidRDefault="00CE2C09" w:rsidP="00825CB5">
            <w:pPr>
              <w:ind w:left="57" w:right="57"/>
              <w:jc w:val="both"/>
              <w:rPr>
                <w:rFonts w:ascii="Arial" w:eastAsia="Calibri" w:hAnsi="Arial" w:cs="Arial"/>
                <w:sz w:val="22"/>
                <w:szCs w:val="22"/>
              </w:rPr>
            </w:pPr>
            <w:r w:rsidRPr="00CE2C09">
              <w:rPr>
                <w:rFonts w:ascii="Arial" w:eastAsia="Calibri" w:hAnsi="Arial" w:cs="Arial"/>
                <w:sz w:val="22"/>
                <w:szCs w:val="22"/>
              </w:rPr>
              <w:t>Schedule 17</w:t>
            </w:r>
          </w:p>
        </w:tc>
        <w:tc>
          <w:tcPr>
            <w:tcW w:w="2446" w:type="dxa"/>
            <w:tcBorders>
              <w:top w:val="nil"/>
              <w:left w:val="nil"/>
              <w:bottom w:val="single" w:sz="8" w:space="0" w:color="auto"/>
              <w:right w:val="single" w:sz="8" w:space="0" w:color="auto"/>
            </w:tcBorders>
            <w:tcMar>
              <w:top w:w="28" w:type="dxa"/>
              <w:left w:w="85" w:type="dxa"/>
              <w:bottom w:w="28" w:type="dxa"/>
              <w:right w:w="85" w:type="dxa"/>
            </w:tcMar>
          </w:tcPr>
          <w:p w14:paraId="3D0BF8EC" w14:textId="77777777" w:rsidR="00CE2C09" w:rsidRPr="00CE2C09" w:rsidRDefault="00CE2C09" w:rsidP="00825CB5">
            <w:pPr>
              <w:ind w:left="57" w:right="57"/>
              <w:jc w:val="center"/>
              <w:rPr>
                <w:rFonts w:ascii="Arial" w:eastAsia="Calibri" w:hAnsi="Arial" w:cs="Arial"/>
                <w:sz w:val="22"/>
                <w:szCs w:val="22"/>
              </w:rPr>
            </w:pPr>
            <w:r w:rsidRPr="00CE2C09">
              <w:rPr>
                <w:rFonts w:ascii="Arial" w:eastAsia="Calibri" w:hAnsi="Arial" w:cs="Arial"/>
                <w:sz w:val="22"/>
                <w:szCs w:val="22"/>
              </w:rPr>
              <w:t>10</w:t>
            </w:r>
          </w:p>
        </w:tc>
      </w:tr>
      <w:tr w:rsidR="00CE2C09" w:rsidRPr="00CE2C09" w14:paraId="668BF1D2" w14:textId="77777777" w:rsidTr="00825CB5">
        <w:trPr>
          <w:jc w:val="center"/>
        </w:trPr>
        <w:tc>
          <w:tcPr>
            <w:tcW w:w="5336" w:type="dxa"/>
            <w:gridSpan w:val="2"/>
            <w:tcBorders>
              <w:top w:val="nil"/>
              <w:left w:val="single" w:sz="8" w:space="0" w:color="auto"/>
              <w:bottom w:val="single" w:sz="8" w:space="0" w:color="auto"/>
              <w:right w:val="single" w:sz="4" w:space="0" w:color="auto"/>
            </w:tcBorders>
            <w:tcMar>
              <w:top w:w="28" w:type="dxa"/>
              <w:left w:w="85" w:type="dxa"/>
              <w:bottom w:w="28" w:type="dxa"/>
              <w:right w:w="85" w:type="dxa"/>
            </w:tcMar>
          </w:tcPr>
          <w:p w14:paraId="70516BF1" w14:textId="77777777" w:rsidR="00CE2C09" w:rsidRPr="00CE2C09" w:rsidRDefault="00CE2C09" w:rsidP="00825CB5">
            <w:pPr>
              <w:ind w:left="57" w:right="57"/>
              <w:jc w:val="both"/>
              <w:rPr>
                <w:rFonts w:ascii="Arial" w:eastAsia="Calibri" w:hAnsi="Arial" w:cs="Arial"/>
                <w:sz w:val="22"/>
                <w:szCs w:val="22"/>
              </w:rPr>
            </w:pPr>
            <w:r w:rsidRPr="00CE2C09">
              <w:rPr>
                <w:rFonts w:ascii="Arial" w:eastAsia="Calibri" w:hAnsi="Arial" w:cs="Arial"/>
                <w:b/>
                <w:bCs/>
                <w:sz w:val="22"/>
                <w:szCs w:val="22"/>
              </w:rPr>
              <w:t>Maximum possible score for functionality</w:t>
            </w:r>
          </w:p>
        </w:tc>
        <w:tc>
          <w:tcPr>
            <w:tcW w:w="2446" w:type="dxa"/>
            <w:tcBorders>
              <w:top w:val="single" w:sz="4" w:space="0" w:color="auto"/>
              <w:left w:val="single" w:sz="4" w:space="0" w:color="auto"/>
              <w:bottom w:val="single" w:sz="4" w:space="0" w:color="auto"/>
              <w:right w:val="single" w:sz="4" w:space="0" w:color="auto"/>
            </w:tcBorders>
            <w:shd w:val="clear" w:color="auto" w:fill="auto"/>
            <w:tcMar>
              <w:top w:w="28" w:type="dxa"/>
              <w:left w:w="85" w:type="dxa"/>
              <w:bottom w:w="28" w:type="dxa"/>
              <w:right w:w="85" w:type="dxa"/>
            </w:tcMar>
          </w:tcPr>
          <w:p w14:paraId="7EA6F82E" w14:textId="77777777" w:rsidR="00CE2C09" w:rsidRPr="00CE2C09" w:rsidRDefault="00CE2C09" w:rsidP="00825CB5">
            <w:pPr>
              <w:ind w:left="57" w:right="57"/>
              <w:jc w:val="center"/>
              <w:rPr>
                <w:rFonts w:ascii="Arial" w:eastAsia="Calibri" w:hAnsi="Arial" w:cs="Arial"/>
                <w:sz w:val="22"/>
                <w:szCs w:val="22"/>
              </w:rPr>
            </w:pPr>
            <w:r w:rsidRPr="00CE2C09">
              <w:rPr>
                <w:rFonts w:ascii="Arial" w:eastAsia="Calibri" w:hAnsi="Arial" w:cs="Arial"/>
                <w:b/>
                <w:bCs/>
                <w:sz w:val="22"/>
                <w:szCs w:val="22"/>
              </w:rPr>
              <w:t>25</w:t>
            </w:r>
          </w:p>
        </w:tc>
      </w:tr>
    </w:tbl>
    <w:p w14:paraId="21C901E6" w14:textId="77777777" w:rsidR="00CE2C09" w:rsidRPr="00CE2C09" w:rsidRDefault="00CE2C09" w:rsidP="00CE2C09">
      <w:pPr>
        <w:spacing w:before="120" w:line="276" w:lineRule="auto"/>
        <w:ind w:left="57" w:right="57"/>
        <w:jc w:val="both"/>
        <w:rPr>
          <w:rFonts w:ascii="Arial" w:eastAsia="Calibri" w:hAnsi="Arial" w:cs="Arial"/>
          <w:sz w:val="22"/>
          <w:szCs w:val="22"/>
        </w:rPr>
      </w:pPr>
    </w:p>
    <w:p w14:paraId="375A8AA7" w14:textId="77777777" w:rsidR="00CE2C09" w:rsidRPr="00CE2C09" w:rsidRDefault="00CE2C09" w:rsidP="00CE2C09">
      <w:pPr>
        <w:spacing w:before="120" w:line="276" w:lineRule="auto"/>
        <w:ind w:left="57" w:right="57"/>
        <w:jc w:val="both"/>
        <w:rPr>
          <w:rFonts w:ascii="Arial" w:eastAsia="Calibri" w:hAnsi="Arial" w:cs="Arial"/>
          <w:sz w:val="22"/>
          <w:szCs w:val="22"/>
        </w:rPr>
      </w:pPr>
      <w:r w:rsidRPr="00CE2C09">
        <w:rPr>
          <w:rFonts w:ascii="Arial" w:eastAsia="Calibri" w:hAnsi="Arial" w:cs="Arial"/>
          <w:sz w:val="22"/>
          <w:szCs w:val="22"/>
        </w:rPr>
        <w:t>Functionality shall be scored by not less than two evaluators in accordance with the above-mentioned schedules:</w:t>
      </w:r>
    </w:p>
    <w:p w14:paraId="2786080E" w14:textId="77777777" w:rsidR="00CE2C09" w:rsidRPr="00CE2C09" w:rsidRDefault="00CE2C09" w:rsidP="00CE2C09">
      <w:pPr>
        <w:rPr>
          <w:rFonts w:ascii="Arial" w:eastAsia="Calibri" w:hAnsi="Arial" w:cs="Arial"/>
          <w:sz w:val="22"/>
          <w:szCs w:val="22"/>
        </w:rPr>
      </w:pPr>
      <w:r w:rsidRPr="00CE2C09">
        <w:rPr>
          <w:rFonts w:ascii="Arial" w:eastAsia="Calibri" w:hAnsi="Arial" w:cs="Arial"/>
          <w:b/>
          <w:bCs/>
          <w:sz w:val="22"/>
          <w:szCs w:val="22"/>
        </w:rPr>
        <w:t>The maximum number of evaluation points for functionality is 25</w:t>
      </w:r>
      <w:r w:rsidRPr="00CE2C09">
        <w:rPr>
          <w:rFonts w:ascii="Arial" w:eastAsia="Calibri" w:hAnsi="Arial" w:cs="Arial"/>
          <w:sz w:val="22"/>
          <w:szCs w:val="22"/>
        </w:rPr>
        <w:t>.</w:t>
      </w:r>
    </w:p>
    <w:p w14:paraId="5BEFBD54" w14:textId="77777777" w:rsidR="00CE2C09" w:rsidRPr="00CE2C09" w:rsidRDefault="00CE2C09" w:rsidP="00CE2C09">
      <w:pPr>
        <w:tabs>
          <w:tab w:val="left" w:pos="426"/>
        </w:tabs>
        <w:suppressAutoHyphens/>
        <w:spacing w:line="276" w:lineRule="auto"/>
        <w:jc w:val="both"/>
        <w:rPr>
          <w:rFonts w:ascii="Arial" w:hAnsi="Arial" w:cs="Arial"/>
          <w:sz w:val="22"/>
          <w:szCs w:val="22"/>
        </w:rPr>
      </w:pPr>
    </w:p>
    <w:p w14:paraId="173F1ADB" w14:textId="77777777" w:rsidR="00CE2C09" w:rsidRPr="00CE2C09" w:rsidRDefault="00CE2C09" w:rsidP="00CE2C09">
      <w:pPr>
        <w:jc w:val="both"/>
        <w:rPr>
          <w:rFonts w:ascii="Arial" w:hAnsi="Arial" w:cs="Arial"/>
          <w:sz w:val="22"/>
          <w:szCs w:val="22"/>
          <w:lang w:eastAsia="ar-SA"/>
        </w:rPr>
      </w:pPr>
      <w:r w:rsidRPr="00CE2C09">
        <w:rPr>
          <w:rFonts w:ascii="Arial" w:hAnsi="Arial" w:cs="Arial"/>
          <w:sz w:val="22"/>
          <w:szCs w:val="22"/>
          <w:lang w:eastAsia="ar-SA"/>
        </w:rPr>
        <w:t>All prospective tenderers will be screened in accordance with the National Treasury’s Defaulters Data Base.  Council does not bind itself to accept the lowest tender or any tender and reserves the right to accept any part or the whole of any tender. The Municipality also reserves the right to call on preferred bidders to form a joint venture with a BEE company.  For all tenders awarded exceeding R4m, the Tenderer must sub-contract 45% to an EME or QSE which is at least 51% owned by black people within the jurisdiction of KwaDukuza Municipality. Canvassing in any form in the gift of Council is strictly prohibited and will lead to the disqualification of the tender.  No bids will be considered from persons in the services of any organ of state.</w:t>
      </w:r>
    </w:p>
    <w:p w14:paraId="6AF60724" w14:textId="77777777" w:rsidR="00CE2C09" w:rsidRPr="00CE2C09" w:rsidRDefault="00CE2C09" w:rsidP="00CE2C09">
      <w:pPr>
        <w:jc w:val="both"/>
        <w:rPr>
          <w:rFonts w:ascii="Arial" w:hAnsi="Arial" w:cs="Arial"/>
          <w:sz w:val="22"/>
          <w:szCs w:val="22"/>
          <w:lang w:val="en-US"/>
        </w:rPr>
      </w:pPr>
    </w:p>
    <w:p w14:paraId="7B7CEA22" w14:textId="77777777" w:rsidR="00CE2C09" w:rsidRPr="00CE2C09" w:rsidRDefault="00CE2C09" w:rsidP="00CE2C09">
      <w:pPr>
        <w:jc w:val="both"/>
        <w:rPr>
          <w:rFonts w:ascii="Arial" w:hAnsi="Arial" w:cs="Arial"/>
          <w:sz w:val="22"/>
          <w:szCs w:val="22"/>
          <w:lang w:val="en-US"/>
        </w:rPr>
      </w:pPr>
    </w:p>
    <w:p w14:paraId="022F1683" w14:textId="77777777" w:rsidR="00CE2C09" w:rsidRPr="00CE2C09" w:rsidRDefault="00CE2C09" w:rsidP="00CE2C09">
      <w:pPr>
        <w:jc w:val="both"/>
        <w:rPr>
          <w:rFonts w:ascii="Arial" w:hAnsi="Arial" w:cs="Arial"/>
          <w:sz w:val="22"/>
          <w:szCs w:val="22"/>
          <w:lang w:val="en-US"/>
        </w:rPr>
      </w:pPr>
    </w:p>
    <w:p w14:paraId="637F5251" w14:textId="77777777" w:rsidR="00CE2C09" w:rsidRPr="00CE2C09" w:rsidRDefault="00CE2C09" w:rsidP="00CE2C09">
      <w:pPr>
        <w:jc w:val="both"/>
        <w:rPr>
          <w:rFonts w:ascii="Arial" w:hAnsi="Arial" w:cs="Arial"/>
          <w:sz w:val="22"/>
          <w:szCs w:val="22"/>
          <w:lang w:val="en-US"/>
        </w:rPr>
      </w:pPr>
    </w:p>
    <w:p w14:paraId="2685C625" w14:textId="77777777" w:rsidR="00CE2C09" w:rsidRPr="00CE2C09" w:rsidRDefault="00CE2C09" w:rsidP="00CE2C09">
      <w:pPr>
        <w:jc w:val="both"/>
        <w:rPr>
          <w:rFonts w:ascii="Arial" w:hAnsi="Arial" w:cs="Arial"/>
          <w:sz w:val="22"/>
          <w:szCs w:val="22"/>
          <w:lang w:val="en-ZA"/>
        </w:rPr>
      </w:pPr>
      <w:r w:rsidRPr="00CE2C09">
        <w:rPr>
          <w:rFonts w:ascii="Arial" w:hAnsi="Arial" w:cs="Arial"/>
          <w:sz w:val="22"/>
          <w:szCs w:val="22"/>
          <w:lang w:val="en-ZA"/>
        </w:rPr>
        <w:t>______________</w:t>
      </w:r>
    </w:p>
    <w:p w14:paraId="750F4651" w14:textId="77777777" w:rsidR="00CE2C09" w:rsidRPr="00CE2C09" w:rsidRDefault="00CE2C09" w:rsidP="00CE2C09">
      <w:pPr>
        <w:jc w:val="both"/>
        <w:rPr>
          <w:rFonts w:ascii="Arial" w:hAnsi="Arial" w:cs="Arial"/>
          <w:b/>
          <w:sz w:val="22"/>
          <w:szCs w:val="22"/>
          <w:lang w:val="en-ZA"/>
        </w:rPr>
      </w:pPr>
      <w:r w:rsidRPr="00CE2C09">
        <w:rPr>
          <w:rFonts w:ascii="Arial" w:hAnsi="Arial" w:cs="Arial"/>
          <w:b/>
          <w:sz w:val="22"/>
          <w:szCs w:val="22"/>
          <w:lang w:val="en-ZA"/>
        </w:rPr>
        <w:t>NJ MDAKANE</w:t>
      </w:r>
    </w:p>
    <w:p w14:paraId="66097933" w14:textId="77777777" w:rsidR="00CE2C09" w:rsidRPr="00CE2C09" w:rsidRDefault="00CE2C09" w:rsidP="00CE2C09">
      <w:pPr>
        <w:rPr>
          <w:rFonts w:ascii="Arial" w:hAnsi="Arial" w:cs="Arial"/>
          <w:b/>
          <w:iCs/>
          <w:sz w:val="22"/>
          <w:szCs w:val="22"/>
          <w:lang w:val="en-ZA"/>
        </w:rPr>
      </w:pPr>
      <w:r w:rsidRPr="00CE2C09">
        <w:rPr>
          <w:rFonts w:ascii="Arial" w:hAnsi="Arial" w:cs="Arial"/>
          <w:b/>
          <w:sz w:val="22"/>
          <w:szCs w:val="22"/>
          <w:lang w:val="en-ZA"/>
        </w:rPr>
        <w:t>Municipal Manager</w:t>
      </w:r>
    </w:p>
    <w:p w14:paraId="147B8966" w14:textId="77777777" w:rsidR="00CE2C09" w:rsidRPr="00CE2C09" w:rsidRDefault="00CE2C09" w:rsidP="00CE2C09">
      <w:pPr>
        <w:jc w:val="center"/>
        <w:rPr>
          <w:rFonts w:ascii="Arial" w:hAnsi="Arial" w:cs="Arial"/>
          <w:b/>
          <w:iCs/>
          <w:sz w:val="22"/>
          <w:szCs w:val="22"/>
          <w:lang w:val="en-ZA"/>
        </w:rPr>
      </w:pPr>
    </w:p>
    <w:p w14:paraId="6252C8CC" w14:textId="77777777" w:rsidR="00CE2C09" w:rsidRPr="00CE2C09" w:rsidRDefault="00CE2C09" w:rsidP="00CE2C09">
      <w:pPr>
        <w:jc w:val="center"/>
        <w:rPr>
          <w:rFonts w:ascii="Arial" w:hAnsi="Arial" w:cs="Arial"/>
          <w:b/>
          <w:iCs/>
          <w:sz w:val="22"/>
          <w:szCs w:val="22"/>
          <w:lang w:val="en-ZA"/>
        </w:rPr>
      </w:pPr>
    </w:p>
    <w:p w14:paraId="1CEE2389" w14:textId="77777777" w:rsidR="00CE2C09" w:rsidRPr="001208A1" w:rsidRDefault="00CE2C09" w:rsidP="00CE2C09">
      <w:pPr>
        <w:jc w:val="center"/>
        <w:rPr>
          <w:rFonts w:asciiTheme="minorBidi" w:hAnsiTheme="minorBidi" w:cstheme="minorBidi"/>
          <w:b/>
          <w:iCs/>
          <w:sz w:val="22"/>
          <w:szCs w:val="22"/>
          <w:lang w:val="en-ZA"/>
        </w:rPr>
      </w:pPr>
    </w:p>
    <w:p w14:paraId="15DADE0B" w14:textId="76D6080C" w:rsidR="00F15F89" w:rsidRDefault="00CE2C09" w:rsidP="00CE2C09">
      <w:r w:rsidRPr="001208A1">
        <w:rPr>
          <w:rFonts w:asciiTheme="minorBidi" w:hAnsiTheme="minorBidi" w:cstheme="minorBidi"/>
          <w:b/>
          <w:iCs/>
          <w:sz w:val="22"/>
          <w:szCs w:val="22"/>
          <w:lang w:val="en-ZA"/>
        </w:rPr>
        <w:br w:type="page"/>
      </w:r>
    </w:p>
    <w:sectPr w:rsidR="00F15F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61DCF"/>
    <w:multiLevelType w:val="hybridMultilevel"/>
    <w:tmpl w:val="742C4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54784AD9"/>
    <w:multiLevelType w:val="hybridMultilevel"/>
    <w:tmpl w:val="7B76EB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362"/>
    <w:rsid w:val="004A38C1"/>
    <w:rsid w:val="00847362"/>
    <w:rsid w:val="00CA21F8"/>
    <w:rsid w:val="00CE2C09"/>
    <w:rsid w:val="00DE3CDB"/>
    <w:rsid w:val="00F15F8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6EC57"/>
  <w15:chartTrackingRefBased/>
  <w15:docId w15:val="{A81D8401-97E9-442D-A1FB-B9B3BE63A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C09"/>
    <w:pPr>
      <w:spacing w:after="0" w:line="24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847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7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7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7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7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73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73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73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73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7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7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7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7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7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7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7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7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7362"/>
    <w:rPr>
      <w:rFonts w:eastAsiaTheme="majorEastAsia" w:cstheme="majorBidi"/>
      <w:color w:val="272727" w:themeColor="text1" w:themeTint="D8"/>
    </w:rPr>
  </w:style>
  <w:style w:type="paragraph" w:styleId="Title">
    <w:name w:val="Title"/>
    <w:basedOn w:val="Normal"/>
    <w:next w:val="Normal"/>
    <w:link w:val="TitleChar"/>
    <w:uiPriority w:val="10"/>
    <w:qFormat/>
    <w:rsid w:val="008473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7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7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7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7362"/>
    <w:pPr>
      <w:spacing w:before="160"/>
      <w:jc w:val="center"/>
    </w:pPr>
    <w:rPr>
      <w:i/>
      <w:iCs/>
      <w:color w:val="404040" w:themeColor="text1" w:themeTint="BF"/>
    </w:rPr>
  </w:style>
  <w:style w:type="character" w:customStyle="1" w:styleId="QuoteChar">
    <w:name w:val="Quote Char"/>
    <w:basedOn w:val="DefaultParagraphFont"/>
    <w:link w:val="Quote"/>
    <w:uiPriority w:val="29"/>
    <w:rsid w:val="00847362"/>
    <w:rPr>
      <w:i/>
      <w:iCs/>
      <w:color w:val="404040" w:themeColor="text1" w:themeTint="BF"/>
    </w:rPr>
  </w:style>
  <w:style w:type="paragraph" w:styleId="ListParagraph">
    <w:name w:val="List Paragraph"/>
    <w:aliases w:val="Indent Paragraph,Bullet Level 1,Header Name,WCG F,MCC Paragraph Indent1,Table of contents numbered,List heading 1,Paragraph,List Paragraph 1,Recommendation,List Paragraph1,Riana Table Bullets 1,Body text,List - Bullet Points,normal,Ha"/>
    <w:basedOn w:val="Normal"/>
    <w:link w:val="ListParagraphChar"/>
    <w:uiPriority w:val="34"/>
    <w:qFormat/>
    <w:rsid w:val="00847362"/>
    <w:pPr>
      <w:ind w:left="720"/>
      <w:contextualSpacing/>
    </w:pPr>
  </w:style>
  <w:style w:type="character" w:styleId="IntenseEmphasis">
    <w:name w:val="Intense Emphasis"/>
    <w:basedOn w:val="DefaultParagraphFont"/>
    <w:uiPriority w:val="21"/>
    <w:qFormat/>
    <w:rsid w:val="00847362"/>
    <w:rPr>
      <w:i/>
      <w:iCs/>
      <w:color w:val="0F4761" w:themeColor="accent1" w:themeShade="BF"/>
    </w:rPr>
  </w:style>
  <w:style w:type="paragraph" w:styleId="IntenseQuote">
    <w:name w:val="Intense Quote"/>
    <w:basedOn w:val="Normal"/>
    <w:next w:val="Normal"/>
    <w:link w:val="IntenseQuoteChar"/>
    <w:uiPriority w:val="30"/>
    <w:qFormat/>
    <w:rsid w:val="00847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7362"/>
    <w:rPr>
      <w:i/>
      <w:iCs/>
      <w:color w:val="0F4761" w:themeColor="accent1" w:themeShade="BF"/>
    </w:rPr>
  </w:style>
  <w:style w:type="character" w:styleId="IntenseReference">
    <w:name w:val="Intense Reference"/>
    <w:basedOn w:val="DefaultParagraphFont"/>
    <w:uiPriority w:val="32"/>
    <w:qFormat/>
    <w:rsid w:val="00847362"/>
    <w:rPr>
      <w:b/>
      <w:bCs/>
      <w:smallCaps/>
      <w:color w:val="0F4761" w:themeColor="accent1" w:themeShade="BF"/>
      <w:spacing w:val="5"/>
    </w:rPr>
  </w:style>
  <w:style w:type="character" w:styleId="Hyperlink">
    <w:name w:val="Hyperlink"/>
    <w:rsid w:val="00CE2C09"/>
    <w:rPr>
      <w:color w:val="0000FF"/>
      <w:u w:val="single"/>
    </w:rPr>
  </w:style>
  <w:style w:type="character" w:customStyle="1" w:styleId="ListParagraphChar">
    <w:name w:val="List Paragraph Char"/>
    <w:aliases w:val="Indent Paragraph Char,Bullet Level 1 Char,Header Name Char,WCG F Char,MCC Paragraph Indent1 Char,Table of contents numbered Char,List heading 1 Char,Paragraph Char,List Paragraph 1 Char,Recommendation Char,List Paragraph1 Char"/>
    <w:link w:val="ListParagraph"/>
    <w:uiPriority w:val="34"/>
    <w:rsid w:val="00CE2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uyandat@kwadukuza.gov.za"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Ebrahim Mulla</dc:creator>
  <cp:keywords/>
  <dc:description/>
  <cp:lastModifiedBy>Lindelwa Mwandla</cp:lastModifiedBy>
  <cp:revision>2</cp:revision>
  <dcterms:created xsi:type="dcterms:W3CDTF">2024-10-23T07:28:00Z</dcterms:created>
  <dcterms:modified xsi:type="dcterms:W3CDTF">2024-10-23T07:28:00Z</dcterms:modified>
</cp:coreProperties>
</file>