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545DA8F2" w:rsidR="00CD1845" w:rsidRPr="00313CE5" w:rsidRDefault="008C40A7" w:rsidP="00CD1845">
            <w:pPr>
              <w:rPr>
                <w:highlight w:val="yellow"/>
                <w:lang w:val="en-ZA" w:eastAsia="en-US"/>
              </w:rPr>
            </w:pPr>
            <w:r w:rsidRPr="00346799">
              <w:rPr>
                <w:lang w:val="en-ZA" w:eastAsia="en-US"/>
              </w:rPr>
              <w:t>FIN-SCM-TEN-</w:t>
            </w:r>
            <w:r w:rsidR="00346799" w:rsidRPr="00346799">
              <w:rPr>
                <w:lang w:val="en-ZA" w:eastAsia="en-US"/>
              </w:rPr>
              <w:t>0214</w:t>
            </w:r>
          </w:p>
        </w:tc>
      </w:tr>
      <w:tr w:rsidR="00CD1845" w14:paraId="65F4BFD4" w14:textId="77777777" w:rsidTr="00730C33">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74F5B2A5" w:rsidR="00CD1845" w:rsidRPr="00912D7E" w:rsidRDefault="004E7B9A" w:rsidP="007358C1">
            <w:proofErr w:type="spellStart"/>
            <w:r w:rsidRPr="00B27F9A">
              <w:t>Necsa</w:t>
            </w:r>
            <w:proofErr w:type="spellEnd"/>
            <w:r w:rsidRPr="00B27F9A">
              <w:t xml:space="preserve"> Group invites qualified service providers </w:t>
            </w:r>
            <w:r w:rsidR="00671979">
              <w:t xml:space="preserve">for the provision of </w:t>
            </w:r>
            <w:r w:rsidRPr="00B27F9A">
              <w:t>Endpoint Detection and Response (EDR) and Endpoint Protection Platform (EPP) services for a period of three (3) years</w:t>
            </w:r>
            <w:r>
              <w:t>.</w:t>
            </w:r>
          </w:p>
        </w:tc>
      </w:tr>
      <w:tr w:rsidR="00FE460B" w14:paraId="4C2DAE10" w14:textId="77777777" w:rsidTr="00730C33">
        <w:tc>
          <w:tcPr>
            <w:tcW w:w="1140" w:type="pct"/>
          </w:tcPr>
          <w:p w14:paraId="01434CCD" w14:textId="3841CB43" w:rsidR="00FE460B" w:rsidRDefault="00FE460B" w:rsidP="00CD1845">
            <w:pPr>
              <w:rPr>
                <w:b/>
                <w:lang w:val="en-ZA" w:eastAsia="en-US"/>
              </w:rPr>
            </w:pPr>
            <w:r>
              <w:rPr>
                <w:b/>
              </w:rPr>
              <w:t>ISSUED</w:t>
            </w:r>
            <w:r w:rsidRPr="00B8305D">
              <w:rPr>
                <w:b/>
              </w:rPr>
              <w:t xml:space="preserve"> DATE:</w:t>
            </w:r>
          </w:p>
        </w:tc>
        <w:tc>
          <w:tcPr>
            <w:tcW w:w="3860" w:type="pct"/>
          </w:tcPr>
          <w:p w14:paraId="0DE603D5" w14:textId="19328238" w:rsidR="00FE460B" w:rsidRPr="00B27F9A" w:rsidRDefault="00346799" w:rsidP="007358C1">
            <w:r>
              <w:t>20</w:t>
            </w:r>
            <w:r w:rsidR="000E39CD">
              <w:t xml:space="preserve"> March 2026</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4D79FD04" w:rsidR="00CD1845" w:rsidRPr="00671979" w:rsidRDefault="00346799" w:rsidP="00EE08F2">
            <w:pPr>
              <w:rPr>
                <w:highlight w:val="yellow"/>
                <w:lang w:val="en-ZA" w:eastAsia="en-US"/>
              </w:rPr>
            </w:pPr>
            <w:r w:rsidRPr="00346799">
              <w:rPr>
                <w:lang w:val="en-ZA" w:eastAsia="en-US"/>
              </w:rPr>
              <w:t>22 April 2026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B55DBA">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r w:rsidRPr="00A5183C">
        <w:t>Scope of Work</w:t>
      </w:r>
      <w:bookmarkEnd w:id="3"/>
    </w:p>
    <w:p w14:paraId="52859DD5" w14:textId="388E0296" w:rsidR="00E12354" w:rsidRDefault="004E7B9A" w:rsidP="003E62A4">
      <w:pPr>
        <w:pStyle w:val="1Paragraph"/>
      </w:pPr>
      <w:proofErr w:type="spellStart"/>
      <w:r w:rsidRPr="00B27F9A">
        <w:t>Necsa</w:t>
      </w:r>
      <w:proofErr w:type="spellEnd"/>
      <w:r w:rsidRPr="00B27F9A">
        <w:t xml:space="preserve"> Group invites qualified service providers to supply Endpoint Detection and Response (EDR) and Endpoint Protection Platform (EPP) services for a period of three (3) years</w:t>
      </w:r>
      <w:r>
        <w:t>.</w:t>
      </w:r>
    </w:p>
    <w:p w14:paraId="151167C1" w14:textId="77777777" w:rsidR="004E7B9A" w:rsidRPr="004E7B9A" w:rsidRDefault="004E7B9A" w:rsidP="004E7B9A">
      <w:pPr>
        <w:pStyle w:val="1Paragraph"/>
        <w:rPr>
          <w:b/>
          <w:bCs/>
          <w:lang w:val="en-US"/>
        </w:rPr>
      </w:pPr>
      <w:bookmarkStart w:id="4" w:name="_Toc224077810"/>
      <w:r w:rsidRPr="004E7B9A">
        <w:rPr>
          <w:b/>
          <w:bCs/>
          <w:lang w:val="en-US"/>
        </w:rPr>
        <w:t>Specification / Technical Requirements</w:t>
      </w:r>
      <w:bookmarkEnd w:id="4"/>
    </w:p>
    <w:p w14:paraId="57C619B9" w14:textId="77777777" w:rsidR="004E7B9A" w:rsidRPr="004E7B9A" w:rsidRDefault="004E7B9A" w:rsidP="004E7B9A">
      <w:pPr>
        <w:pStyle w:val="1Paragraph"/>
        <w:rPr>
          <w:lang w:val="en-US"/>
        </w:rPr>
      </w:pPr>
      <w:r w:rsidRPr="004E7B9A">
        <w:rPr>
          <w:lang w:val="en-US"/>
        </w:rPr>
        <w:t>Detailed specifications are provided below (Scope of Services):</w:t>
      </w:r>
    </w:p>
    <w:p w14:paraId="65D5BA67" w14:textId="77777777" w:rsidR="004E7B9A" w:rsidRPr="004E7B9A" w:rsidRDefault="004E7B9A" w:rsidP="004E7B9A">
      <w:pPr>
        <w:pStyle w:val="1Paragraph"/>
        <w:rPr>
          <w:lang w:val="en-US"/>
        </w:rPr>
      </w:pPr>
      <w:r w:rsidRPr="004E7B9A">
        <w:rPr>
          <w:lang w:val="en-US"/>
        </w:rPr>
        <w:t xml:space="preserve">The required solution </w:t>
      </w:r>
      <w:proofErr w:type="spellStart"/>
      <w:r w:rsidRPr="004E7B9A">
        <w:rPr>
          <w:lang w:val="en-US"/>
        </w:rPr>
        <w:t>SentinelOne</w:t>
      </w:r>
      <w:proofErr w:type="spellEnd"/>
      <w:r w:rsidRPr="004E7B9A">
        <w:rPr>
          <w:lang w:val="en-US"/>
        </w:rPr>
        <w:t xml:space="preserve"> endpoint security or an equivalent platform—Services required but not limited to:</w:t>
      </w:r>
    </w:p>
    <w:p w14:paraId="535CE658" w14:textId="77777777" w:rsidR="004E7B9A" w:rsidRPr="004E7B9A" w:rsidRDefault="004E7B9A" w:rsidP="004E7B9A">
      <w:pPr>
        <w:pStyle w:val="1Paragraph"/>
        <w:numPr>
          <w:ilvl w:val="0"/>
          <w:numId w:val="41"/>
        </w:numPr>
        <w:rPr>
          <w:lang w:val="en-US"/>
        </w:rPr>
      </w:pPr>
      <w:r w:rsidRPr="004E7B9A">
        <w:rPr>
          <w:lang w:val="en-US"/>
        </w:rPr>
        <w:t>Enterprise</w:t>
      </w:r>
      <w:r w:rsidRPr="004E7B9A">
        <w:rPr>
          <w:lang w:val="en-US"/>
        </w:rPr>
        <w:noBreakHyphen/>
        <w:t>wide visibility</w:t>
      </w:r>
    </w:p>
    <w:p w14:paraId="2DFDB182" w14:textId="77777777" w:rsidR="004E7B9A" w:rsidRPr="004E7B9A" w:rsidRDefault="004E7B9A" w:rsidP="004E7B9A">
      <w:pPr>
        <w:pStyle w:val="1Paragraph"/>
        <w:numPr>
          <w:ilvl w:val="0"/>
          <w:numId w:val="41"/>
        </w:numPr>
        <w:rPr>
          <w:lang w:val="en-US"/>
        </w:rPr>
      </w:pPr>
      <w:r w:rsidRPr="004E7B9A">
        <w:rPr>
          <w:lang w:val="en-US"/>
        </w:rPr>
        <w:t>Advanced endpoint protection</w:t>
      </w:r>
    </w:p>
    <w:p w14:paraId="788FA582" w14:textId="77777777" w:rsidR="004E7B9A" w:rsidRPr="004E7B9A" w:rsidRDefault="004E7B9A" w:rsidP="004E7B9A">
      <w:pPr>
        <w:pStyle w:val="1Paragraph"/>
        <w:numPr>
          <w:ilvl w:val="0"/>
          <w:numId w:val="41"/>
        </w:numPr>
        <w:rPr>
          <w:lang w:val="en-US"/>
        </w:rPr>
      </w:pPr>
      <w:r w:rsidRPr="004E7B9A">
        <w:rPr>
          <w:lang w:val="en-US"/>
        </w:rPr>
        <w:t>Automated root</w:t>
      </w:r>
      <w:r w:rsidRPr="004E7B9A">
        <w:rPr>
          <w:lang w:val="en-US"/>
        </w:rPr>
        <w:noBreakHyphen/>
        <w:t>cause analysis</w:t>
      </w:r>
    </w:p>
    <w:p w14:paraId="39CD71E6" w14:textId="77777777" w:rsidR="004E7B9A" w:rsidRPr="004E7B9A" w:rsidRDefault="004E7B9A" w:rsidP="004E7B9A">
      <w:pPr>
        <w:pStyle w:val="1Paragraph"/>
        <w:numPr>
          <w:ilvl w:val="0"/>
          <w:numId w:val="41"/>
        </w:numPr>
        <w:rPr>
          <w:lang w:val="en-US"/>
        </w:rPr>
      </w:pPr>
      <w:r w:rsidRPr="004E7B9A">
        <w:rPr>
          <w:lang w:val="en-US"/>
        </w:rPr>
        <w:t>Managed incident response</w:t>
      </w:r>
    </w:p>
    <w:p w14:paraId="19976032" w14:textId="77777777" w:rsidR="004E7B9A" w:rsidRPr="004E7B9A" w:rsidRDefault="004E7B9A" w:rsidP="004E7B9A">
      <w:pPr>
        <w:pStyle w:val="1Paragraph"/>
        <w:numPr>
          <w:ilvl w:val="0"/>
          <w:numId w:val="41"/>
        </w:numPr>
        <w:rPr>
          <w:lang w:val="en-US"/>
        </w:rPr>
      </w:pPr>
      <w:r w:rsidRPr="004E7B9A">
        <w:rPr>
          <w:lang w:val="en-US"/>
        </w:rPr>
        <w:t>Threat hunting</w:t>
      </w:r>
    </w:p>
    <w:p w14:paraId="5F521742" w14:textId="77777777" w:rsidR="004E7B9A" w:rsidRPr="004E7B9A" w:rsidRDefault="004E7B9A" w:rsidP="004E7B9A">
      <w:pPr>
        <w:pStyle w:val="1Paragraph"/>
        <w:numPr>
          <w:ilvl w:val="0"/>
          <w:numId w:val="41"/>
        </w:numPr>
        <w:rPr>
          <w:lang w:val="en-US"/>
        </w:rPr>
      </w:pPr>
      <w:r w:rsidRPr="004E7B9A">
        <w:rPr>
          <w:lang w:val="en-US"/>
        </w:rPr>
        <w:t>Ransomware protection</w:t>
      </w:r>
    </w:p>
    <w:p w14:paraId="6B53288C" w14:textId="77777777" w:rsidR="004E7B9A" w:rsidRPr="004E7B9A" w:rsidRDefault="004E7B9A" w:rsidP="004E7B9A">
      <w:pPr>
        <w:pStyle w:val="1Paragraph"/>
        <w:numPr>
          <w:ilvl w:val="0"/>
          <w:numId w:val="41"/>
        </w:numPr>
        <w:rPr>
          <w:lang w:val="en-US"/>
        </w:rPr>
      </w:pPr>
      <w:r w:rsidRPr="004E7B9A">
        <w:rPr>
          <w:lang w:val="en-US"/>
        </w:rPr>
        <w:t>Vulnerability Management (Applications and OS)</w:t>
      </w:r>
    </w:p>
    <w:p w14:paraId="70478070" w14:textId="77777777" w:rsidR="004E7B9A" w:rsidRPr="004E7B9A" w:rsidRDefault="004E7B9A" w:rsidP="004E7B9A">
      <w:pPr>
        <w:pStyle w:val="1Paragraph"/>
        <w:ind w:left="0"/>
        <w:rPr>
          <w:b/>
          <w:bCs/>
          <w:lang w:val="en-US"/>
        </w:rPr>
      </w:pPr>
      <w:r w:rsidRPr="004E7B9A">
        <w:rPr>
          <w:b/>
          <w:bCs/>
          <w:lang w:val="en-US"/>
        </w:rPr>
        <w:lastRenderedPageBreak/>
        <w:t>Core Capabilities</w:t>
      </w:r>
    </w:p>
    <w:p w14:paraId="02173304" w14:textId="77777777" w:rsidR="004E7B9A" w:rsidRPr="004E7B9A" w:rsidRDefault="004E7B9A" w:rsidP="00A00127">
      <w:pPr>
        <w:pStyle w:val="1Paragraph"/>
        <w:numPr>
          <w:ilvl w:val="0"/>
          <w:numId w:val="42"/>
        </w:numPr>
        <w:rPr>
          <w:lang w:val="en-US"/>
        </w:rPr>
      </w:pPr>
      <w:r w:rsidRPr="004E7B9A">
        <w:rPr>
          <w:lang w:val="en-US"/>
        </w:rPr>
        <w:t>Comprehensive EPP and EDR functionality</w:t>
      </w:r>
    </w:p>
    <w:p w14:paraId="4F0CCA56" w14:textId="77777777" w:rsidR="004E7B9A" w:rsidRPr="004E7B9A" w:rsidRDefault="004E7B9A" w:rsidP="00A00127">
      <w:pPr>
        <w:pStyle w:val="1Paragraph"/>
        <w:numPr>
          <w:ilvl w:val="0"/>
          <w:numId w:val="42"/>
        </w:numPr>
        <w:rPr>
          <w:lang w:val="en-US"/>
        </w:rPr>
      </w:pPr>
      <w:r w:rsidRPr="004E7B9A">
        <w:rPr>
          <w:lang w:val="en-US"/>
        </w:rPr>
        <w:t>Storyline</w:t>
      </w:r>
      <w:r w:rsidRPr="004E7B9A">
        <w:rPr>
          <w:lang w:val="en-US"/>
        </w:rPr>
        <w:noBreakHyphen/>
        <w:t>based threat hunting</w:t>
      </w:r>
    </w:p>
    <w:p w14:paraId="38BB33B1" w14:textId="77777777" w:rsidR="004E7B9A" w:rsidRPr="004E7B9A" w:rsidRDefault="004E7B9A" w:rsidP="004E7B9A">
      <w:pPr>
        <w:pStyle w:val="1Paragraph"/>
        <w:numPr>
          <w:ilvl w:val="0"/>
          <w:numId w:val="42"/>
        </w:numPr>
        <w:rPr>
          <w:lang w:val="en-US"/>
        </w:rPr>
      </w:pPr>
      <w:r w:rsidRPr="004E7B9A">
        <w:rPr>
          <w:lang w:val="en-US"/>
        </w:rPr>
        <w:t>MITRE ATT\&amp;CK framework coverage</w:t>
      </w:r>
    </w:p>
    <w:p w14:paraId="00BACDBE" w14:textId="77777777" w:rsidR="004E7B9A" w:rsidRPr="004E7B9A" w:rsidRDefault="004E7B9A" w:rsidP="004E7B9A">
      <w:pPr>
        <w:pStyle w:val="1Paragraph"/>
        <w:numPr>
          <w:ilvl w:val="0"/>
          <w:numId w:val="42"/>
        </w:numPr>
        <w:rPr>
          <w:lang w:val="en-US"/>
        </w:rPr>
      </w:pPr>
      <w:r w:rsidRPr="004E7B9A">
        <w:rPr>
          <w:lang w:val="en-US"/>
        </w:rPr>
        <w:t>One</w:t>
      </w:r>
      <w:r w:rsidRPr="004E7B9A">
        <w:rPr>
          <w:lang w:val="en-US"/>
        </w:rPr>
        <w:noBreakHyphen/>
        <w:t>click rollback to pre</w:t>
      </w:r>
      <w:r w:rsidRPr="004E7B9A">
        <w:rPr>
          <w:lang w:val="en-US"/>
        </w:rPr>
        <w:noBreakHyphen/>
        <w:t>attack state</w:t>
      </w:r>
    </w:p>
    <w:p w14:paraId="1973AD98" w14:textId="77777777" w:rsidR="004E7B9A" w:rsidRPr="004E7B9A" w:rsidRDefault="004E7B9A" w:rsidP="004E7B9A">
      <w:pPr>
        <w:pStyle w:val="1Paragraph"/>
        <w:numPr>
          <w:ilvl w:val="0"/>
          <w:numId w:val="42"/>
        </w:numPr>
        <w:rPr>
          <w:lang w:val="en-US"/>
        </w:rPr>
      </w:pPr>
      <w:r w:rsidRPr="004E7B9A">
        <w:rPr>
          <w:lang w:val="en-US"/>
        </w:rPr>
        <w:t>Remote shell access for incident response</w:t>
      </w:r>
    </w:p>
    <w:p w14:paraId="05D76336" w14:textId="77777777" w:rsidR="004E7B9A" w:rsidRPr="004E7B9A" w:rsidRDefault="004E7B9A" w:rsidP="004E7B9A">
      <w:pPr>
        <w:pStyle w:val="1Paragraph"/>
        <w:numPr>
          <w:ilvl w:val="0"/>
          <w:numId w:val="42"/>
        </w:numPr>
        <w:rPr>
          <w:lang w:val="en-US"/>
        </w:rPr>
      </w:pPr>
      <w:r w:rsidRPr="004E7B9A">
        <w:rPr>
          <w:lang w:val="en-US"/>
        </w:rPr>
        <w:t>High</w:t>
      </w:r>
      <w:r w:rsidRPr="004E7B9A">
        <w:rPr>
          <w:lang w:val="en-US"/>
        </w:rPr>
        <w:noBreakHyphen/>
        <w:t>performance processing of up to 13 trillion Deep Visibility events per year</w:t>
      </w:r>
    </w:p>
    <w:p w14:paraId="7D268925" w14:textId="77777777" w:rsidR="004E7B9A" w:rsidRPr="004E7B9A" w:rsidRDefault="004E7B9A" w:rsidP="004E7B9A">
      <w:pPr>
        <w:pStyle w:val="1Paragraph"/>
        <w:numPr>
          <w:ilvl w:val="0"/>
          <w:numId w:val="43"/>
        </w:numPr>
        <w:rPr>
          <w:lang w:val="en-US"/>
        </w:rPr>
      </w:pPr>
      <w:r w:rsidRPr="004E7B9A">
        <w:rPr>
          <w:lang w:val="en-US"/>
        </w:rPr>
        <w:t>Cost per 1,900 seats</w:t>
      </w:r>
    </w:p>
    <w:p w14:paraId="0E5AAA60" w14:textId="77777777" w:rsidR="00DF5CEE" w:rsidRPr="004E7B9A" w:rsidRDefault="004E7B9A" w:rsidP="00DF5CEE">
      <w:pPr>
        <w:pStyle w:val="1Paragraph"/>
        <w:ind w:left="0"/>
        <w:rPr>
          <w:b/>
          <w:bCs/>
          <w:lang w:val="en-US"/>
        </w:rPr>
      </w:pPr>
      <w:r w:rsidRPr="004E7B9A">
        <w:rPr>
          <w:b/>
          <w:bCs/>
          <w:lang w:val="en-US"/>
        </w:rPr>
        <w:t xml:space="preserve">Minimum </w:t>
      </w:r>
      <w:r w:rsidR="00DF5CEE" w:rsidRPr="004E7B9A">
        <w:rPr>
          <w:b/>
          <w:bCs/>
          <w:lang w:val="en-US"/>
        </w:rPr>
        <w:t>Pricing must be considered:</w:t>
      </w:r>
    </w:p>
    <w:p w14:paraId="4A684644" w14:textId="4746E756" w:rsidR="004E7B9A" w:rsidRPr="004E7B9A" w:rsidRDefault="004E7B9A" w:rsidP="004E7B9A">
      <w:pPr>
        <w:pStyle w:val="1Paragraph"/>
        <w:numPr>
          <w:ilvl w:val="0"/>
          <w:numId w:val="43"/>
        </w:numPr>
        <w:rPr>
          <w:lang w:val="en-US"/>
        </w:rPr>
      </w:pPr>
      <w:r w:rsidRPr="004E7B9A">
        <w:rPr>
          <w:lang w:val="en-US"/>
        </w:rPr>
        <w:t>licensing requirements</w:t>
      </w:r>
    </w:p>
    <w:p w14:paraId="1D5C7DA4" w14:textId="77777777" w:rsidR="004E7B9A" w:rsidRPr="004E7B9A" w:rsidRDefault="004E7B9A" w:rsidP="004E7B9A">
      <w:pPr>
        <w:pStyle w:val="1Paragraph"/>
        <w:numPr>
          <w:ilvl w:val="0"/>
          <w:numId w:val="43"/>
        </w:numPr>
        <w:rPr>
          <w:lang w:val="en-US"/>
        </w:rPr>
      </w:pPr>
      <w:r w:rsidRPr="004E7B9A">
        <w:rPr>
          <w:lang w:val="en-US"/>
        </w:rPr>
        <w:t>Bundled vs. add</w:t>
      </w:r>
      <w:r w:rsidRPr="004E7B9A">
        <w:rPr>
          <w:lang w:val="en-US"/>
        </w:rPr>
        <w:noBreakHyphen/>
        <w:t>on components</w:t>
      </w:r>
    </w:p>
    <w:p w14:paraId="004CB561" w14:textId="77777777" w:rsidR="004E7B9A" w:rsidRPr="004E7B9A" w:rsidRDefault="004E7B9A" w:rsidP="004E7B9A">
      <w:pPr>
        <w:pStyle w:val="1Paragraph"/>
        <w:numPr>
          <w:ilvl w:val="0"/>
          <w:numId w:val="43"/>
        </w:numPr>
        <w:rPr>
          <w:lang w:val="en-US"/>
        </w:rPr>
      </w:pPr>
      <w:r w:rsidRPr="004E7B9A">
        <w:rPr>
          <w:lang w:val="en-US"/>
        </w:rPr>
        <w:t>Volume</w:t>
      </w:r>
      <w:r w:rsidRPr="004E7B9A">
        <w:rPr>
          <w:lang w:val="en-US"/>
        </w:rPr>
        <w:noBreakHyphen/>
        <w:t>based discounts</w:t>
      </w:r>
    </w:p>
    <w:p w14:paraId="19D6F194" w14:textId="77777777" w:rsidR="004E7B9A" w:rsidRPr="004E7B9A" w:rsidRDefault="004E7B9A" w:rsidP="004E7B9A">
      <w:pPr>
        <w:pStyle w:val="1Paragraph"/>
        <w:numPr>
          <w:ilvl w:val="0"/>
          <w:numId w:val="43"/>
        </w:numPr>
        <w:rPr>
          <w:lang w:val="en-US"/>
        </w:rPr>
      </w:pPr>
      <w:r w:rsidRPr="004E7B9A">
        <w:rPr>
          <w:lang w:val="en-US"/>
        </w:rPr>
        <w:t>Professional support plan costs</w:t>
      </w:r>
    </w:p>
    <w:p w14:paraId="65FE7C1A" w14:textId="77777777" w:rsidR="004E7B9A" w:rsidRPr="004E7B9A" w:rsidRDefault="004E7B9A" w:rsidP="004E7B9A">
      <w:pPr>
        <w:pStyle w:val="1Paragraph"/>
        <w:ind w:left="0"/>
        <w:rPr>
          <w:b/>
          <w:bCs/>
          <w:lang w:val="en-US"/>
        </w:rPr>
      </w:pPr>
      <w:r w:rsidRPr="004E7B9A">
        <w:rPr>
          <w:b/>
          <w:bCs/>
          <w:lang w:val="en-US"/>
        </w:rPr>
        <w:t>Required Services</w:t>
      </w:r>
    </w:p>
    <w:p w14:paraId="6EEBE8A3" w14:textId="77777777" w:rsidR="004E7B9A" w:rsidRPr="004E7B9A" w:rsidRDefault="004E7B9A" w:rsidP="004E7B9A">
      <w:pPr>
        <w:pStyle w:val="1Paragraph"/>
        <w:numPr>
          <w:ilvl w:val="0"/>
          <w:numId w:val="44"/>
        </w:numPr>
        <w:rPr>
          <w:lang w:val="en-US"/>
        </w:rPr>
      </w:pPr>
      <w:r w:rsidRPr="004E7B9A">
        <w:rPr>
          <w:lang w:val="en-US"/>
        </w:rPr>
        <w:t>Centralized dashboard visibility</w:t>
      </w:r>
    </w:p>
    <w:p w14:paraId="6B48968B" w14:textId="77777777" w:rsidR="004E7B9A" w:rsidRPr="004E7B9A" w:rsidRDefault="004E7B9A" w:rsidP="004E7B9A">
      <w:pPr>
        <w:pStyle w:val="1Paragraph"/>
        <w:numPr>
          <w:ilvl w:val="0"/>
          <w:numId w:val="44"/>
        </w:numPr>
        <w:rPr>
          <w:lang w:val="en-US"/>
        </w:rPr>
      </w:pPr>
      <w:r w:rsidRPr="004E7B9A">
        <w:rPr>
          <w:lang w:val="en-US"/>
        </w:rPr>
        <w:t>24/7 monitoring and alerting</w:t>
      </w:r>
    </w:p>
    <w:p w14:paraId="5AC450E6" w14:textId="77777777" w:rsidR="004E7B9A" w:rsidRPr="004E7B9A" w:rsidRDefault="004E7B9A" w:rsidP="004E7B9A">
      <w:pPr>
        <w:pStyle w:val="1Paragraph"/>
        <w:numPr>
          <w:ilvl w:val="0"/>
          <w:numId w:val="44"/>
        </w:numPr>
        <w:rPr>
          <w:lang w:val="en-US"/>
        </w:rPr>
      </w:pPr>
      <w:r w:rsidRPr="004E7B9A">
        <w:rPr>
          <w:lang w:val="en-US"/>
        </w:rPr>
        <w:t>Incident management</w:t>
      </w:r>
    </w:p>
    <w:p w14:paraId="386071E1" w14:textId="77777777" w:rsidR="004E7B9A" w:rsidRPr="004E7B9A" w:rsidRDefault="004E7B9A" w:rsidP="004E7B9A">
      <w:pPr>
        <w:pStyle w:val="1Paragraph"/>
        <w:numPr>
          <w:ilvl w:val="0"/>
          <w:numId w:val="44"/>
        </w:numPr>
        <w:rPr>
          <w:lang w:val="en-US"/>
        </w:rPr>
      </w:pPr>
      <w:r w:rsidRPr="004E7B9A">
        <w:rPr>
          <w:lang w:val="en-US"/>
        </w:rPr>
        <w:t>Server profiling</w:t>
      </w:r>
    </w:p>
    <w:p w14:paraId="66FD94E9" w14:textId="77777777" w:rsidR="004E7B9A" w:rsidRPr="004E7B9A" w:rsidRDefault="004E7B9A" w:rsidP="004E7B9A">
      <w:pPr>
        <w:pStyle w:val="1Paragraph"/>
        <w:numPr>
          <w:ilvl w:val="0"/>
          <w:numId w:val="44"/>
        </w:numPr>
        <w:rPr>
          <w:lang w:val="en-US"/>
        </w:rPr>
      </w:pPr>
      <w:r w:rsidRPr="004E7B9A">
        <w:rPr>
          <w:lang w:val="en-US"/>
        </w:rPr>
        <w:t>Monthly and quarterly reporting</w:t>
      </w:r>
    </w:p>
    <w:p w14:paraId="2946961F" w14:textId="77777777" w:rsidR="004E7B9A" w:rsidRPr="004E7B9A" w:rsidRDefault="004E7B9A" w:rsidP="004E7B9A">
      <w:pPr>
        <w:pStyle w:val="1Paragraph"/>
        <w:numPr>
          <w:ilvl w:val="0"/>
          <w:numId w:val="44"/>
        </w:numPr>
        <w:rPr>
          <w:lang w:val="en-US"/>
        </w:rPr>
      </w:pPr>
      <w:r w:rsidRPr="004E7B9A">
        <w:rPr>
          <w:lang w:val="en-US"/>
        </w:rPr>
        <w:t xml:space="preserve">Application and OS Vulnerability Reporting </w:t>
      </w:r>
    </w:p>
    <w:p w14:paraId="13F9F72F" w14:textId="77777777" w:rsidR="004E7B9A" w:rsidRPr="004E7B9A" w:rsidRDefault="004E7B9A" w:rsidP="004E7B9A">
      <w:pPr>
        <w:pStyle w:val="1Paragraph"/>
        <w:ind w:left="0"/>
        <w:rPr>
          <w:b/>
          <w:bCs/>
          <w:lang w:val="en-US"/>
        </w:rPr>
      </w:pPr>
      <w:r w:rsidRPr="004E7B9A">
        <w:rPr>
          <w:b/>
          <w:bCs/>
          <w:lang w:val="en-US"/>
        </w:rPr>
        <w:t>Support Priorities</w:t>
      </w:r>
    </w:p>
    <w:tbl>
      <w:tblPr>
        <w:tblW w:w="9341" w:type="dxa"/>
        <w:tblCellSpacing w:w="15" w:type="dxa"/>
        <w:tblCellMar>
          <w:top w:w="15" w:type="dxa"/>
          <w:left w:w="15" w:type="dxa"/>
          <w:bottom w:w="15" w:type="dxa"/>
          <w:right w:w="15" w:type="dxa"/>
        </w:tblCellMar>
        <w:tblLook w:val="04A0" w:firstRow="1" w:lastRow="0" w:firstColumn="1" w:lastColumn="0" w:noHBand="0" w:noVBand="1"/>
      </w:tblPr>
      <w:tblGrid>
        <w:gridCol w:w="1798"/>
        <w:gridCol w:w="3803"/>
        <w:gridCol w:w="2158"/>
        <w:gridCol w:w="1582"/>
      </w:tblGrid>
      <w:tr w:rsidR="004E7B9A" w:rsidRPr="004E7B9A" w14:paraId="18548C40" w14:textId="77777777" w:rsidTr="003A449D">
        <w:trPr>
          <w:tblHeader/>
          <w:tblCellSpacing w:w="15" w:type="dxa"/>
        </w:trPr>
        <w:tc>
          <w:tcPr>
            <w:tcW w:w="0" w:type="auto"/>
            <w:tcBorders>
              <w:top w:val="single" w:sz="12" w:space="0" w:color="auto"/>
              <w:left w:val="single" w:sz="12" w:space="0" w:color="auto"/>
              <w:bottom w:val="single" w:sz="4" w:space="0" w:color="auto"/>
              <w:right w:val="single" w:sz="4" w:space="0" w:color="auto"/>
            </w:tcBorders>
            <w:shd w:val="clear" w:color="auto" w:fill="F5F5F5"/>
            <w:vAlign w:val="center"/>
            <w:hideMark/>
          </w:tcPr>
          <w:p w14:paraId="778C8A55" w14:textId="77777777" w:rsidR="004E7B9A" w:rsidRPr="004E7B9A" w:rsidRDefault="004E7B9A" w:rsidP="004E7B9A">
            <w:pPr>
              <w:pStyle w:val="1Paragraph"/>
              <w:rPr>
                <w:b/>
                <w:bCs/>
                <w:lang w:val="en-US"/>
              </w:rPr>
            </w:pPr>
            <w:r w:rsidRPr="004E7B9A">
              <w:rPr>
                <w:b/>
                <w:bCs/>
                <w:lang w:val="en-US"/>
              </w:rPr>
              <w:t>Priority</w:t>
            </w:r>
          </w:p>
        </w:tc>
        <w:tc>
          <w:tcPr>
            <w:tcW w:w="0" w:type="auto"/>
            <w:tcBorders>
              <w:top w:val="single" w:sz="12" w:space="0" w:color="auto"/>
              <w:left w:val="single" w:sz="6" w:space="0" w:color="E6E6E6"/>
              <w:bottom w:val="single" w:sz="4" w:space="0" w:color="auto"/>
              <w:right w:val="single" w:sz="6" w:space="0" w:color="E6E6E6"/>
            </w:tcBorders>
            <w:shd w:val="clear" w:color="auto" w:fill="F5F5F5"/>
            <w:vAlign w:val="center"/>
            <w:hideMark/>
          </w:tcPr>
          <w:p w14:paraId="65A3CAEC" w14:textId="77777777" w:rsidR="004E7B9A" w:rsidRPr="004E7B9A" w:rsidRDefault="004E7B9A" w:rsidP="004E7B9A">
            <w:pPr>
              <w:pStyle w:val="1Paragraph"/>
              <w:rPr>
                <w:b/>
                <w:bCs/>
                <w:lang w:val="en-US"/>
              </w:rPr>
            </w:pPr>
            <w:r w:rsidRPr="004E7B9A">
              <w:rPr>
                <w:b/>
                <w:bCs/>
                <w:lang w:val="en-US"/>
              </w:rPr>
              <w:t>Definition</w:t>
            </w:r>
          </w:p>
        </w:tc>
        <w:tc>
          <w:tcPr>
            <w:tcW w:w="0" w:type="auto"/>
            <w:tcBorders>
              <w:top w:val="single" w:sz="12" w:space="0" w:color="auto"/>
              <w:left w:val="single" w:sz="4" w:space="0" w:color="auto"/>
              <w:bottom w:val="single" w:sz="4" w:space="0" w:color="auto"/>
              <w:right w:val="single" w:sz="4" w:space="0" w:color="auto"/>
            </w:tcBorders>
            <w:shd w:val="clear" w:color="auto" w:fill="F5F5F5"/>
            <w:vAlign w:val="center"/>
            <w:hideMark/>
          </w:tcPr>
          <w:p w14:paraId="57ACBD3D" w14:textId="77777777" w:rsidR="004E7B9A" w:rsidRPr="004E7B9A" w:rsidRDefault="004E7B9A" w:rsidP="004E7B9A">
            <w:pPr>
              <w:pStyle w:val="1Paragraph"/>
              <w:rPr>
                <w:b/>
                <w:bCs/>
                <w:lang w:val="en-US"/>
              </w:rPr>
            </w:pPr>
            <w:r w:rsidRPr="004E7B9A">
              <w:rPr>
                <w:b/>
                <w:bCs/>
                <w:lang w:val="en-US"/>
              </w:rPr>
              <w:t>Response Time</w:t>
            </w:r>
          </w:p>
        </w:tc>
        <w:tc>
          <w:tcPr>
            <w:tcW w:w="1137" w:type="dxa"/>
            <w:tcBorders>
              <w:top w:val="single" w:sz="12" w:space="0" w:color="auto"/>
              <w:left w:val="single" w:sz="6" w:space="0" w:color="E6E6E6"/>
              <w:bottom w:val="single" w:sz="4" w:space="0" w:color="auto"/>
              <w:right w:val="single" w:sz="12" w:space="0" w:color="auto"/>
            </w:tcBorders>
            <w:shd w:val="clear" w:color="auto" w:fill="F5F5F5"/>
            <w:vAlign w:val="center"/>
            <w:hideMark/>
          </w:tcPr>
          <w:p w14:paraId="18E4B085" w14:textId="77777777" w:rsidR="004E7B9A" w:rsidRPr="004E7B9A" w:rsidRDefault="004E7B9A" w:rsidP="004E7B9A">
            <w:pPr>
              <w:pStyle w:val="1Paragraph"/>
              <w:rPr>
                <w:b/>
                <w:bCs/>
                <w:lang w:val="en-US"/>
              </w:rPr>
            </w:pPr>
            <w:r w:rsidRPr="004E7B9A">
              <w:rPr>
                <w:b/>
                <w:bCs/>
                <w:lang w:val="en-US"/>
              </w:rPr>
              <w:t>MTTR</w:t>
            </w:r>
          </w:p>
        </w:tc>
      </w:tr>
      <w:tr w:rsidR="004E7B9A" w:rsidRPr="004E7B9A" w14:paraId="226914C1" w14:textId="77777777" w:rsidTr="003A449D">
        <w:trPr>
          <w:tblCellSpacing w:w="15" w:type="dxa"/>
        </w:trPr>
        <w:tc>
          <w:tcPr>
            <w:tcW w:w="0" w:type="auto"/>
            <w:tcBorders>
              <w:top w:val="single" w:sz="6" w:space="0" w:color="E6E6E6"/>
              <w:left w:val="single" w:sz="12" w:space="0" w:color="auto"/>
              <w:bottom w:val="single" w:sz="4" w:space="0" w:color="auto"/>
              <w:right w:val="single" w:sz="4" w:space="0" w:color="auto"/>
            </w:tcBorders>
            <w:vAlign w:val="center"/>
            <w:hideMark/>
          </w:tcPr>
          <w:p w14:paraId="7E9533FC" w14:textId="77777777" w:rsidR="004E7B9A" w:rsidRPr="004E7B9A" w:rsidRDefault="004E7B9A" w:rsidP="004E7B9A">
            <w:pPr>
              <w:pStyle w:val="1Paragraph"/>
              <w:rPr>
                <w:lang w:val="en-US"/>
              </w:rPr>
            </w:pPr>
            <w:r w:rsidRPr="004E7B9A">
              <w:rPr>
                <w:b/>
                <w:bCs/>
                <w:lang w:val="en-US"/>
              </w:rPr>
              <w:t>Critical</w:t>
            </w:r>
          </w:p>
        </w:tc>
        <w:tc>
          <w:tcPr>
            <w:tcW w:w="0" w:type="auto"/>
            <w:tcBorders>
              <w:top w:val="single" w:sz="6" w:space="0" w:color="E6E6E6"/>
              <w:left w:val="single" w:sz="6" w:space="0" w:color="E6E6E6"/>
              <w:bottom w:val="single" w:sz="4" w:space="0" w:color="auto"/>
              <w:right w:val="single" w:sz="6" w:space="0" w:color="E6E6E6"/>
            </w:tcBorders>
            <w:vAlign w:val="center"/>
            <w:hideMark/>
          </w:tcPr>
          <w:p w14:paraId="3CF8485A" w14:textId="77777777" w:rsidR="004E7B9A" w:rsidRPr="004E7B9A" w:rsidRDefault="004E7B9A" w:rsidP="004E7B9A">
            <w:pPr>
              <w:pStyle w:val="1Paragraph"/>
              <w:rPr>
                <w:lang w:val="en-US"/>
              </w:rPr>
            </w:pPr>
            <w:r w:rsidRPr="004E7B9A">
              <w:rPr>
                <w:lang w:val="en-US"/>
              </w:rPr>
              <w:t xml:space="preserve">Entire </w:t>
            </w:r>
            <w:proofErr w:type="spellStart"/>
            <w:r w:rsidRPr="004E7B9A">
              <w:rPr>
                <w:lang w:val="en-US"/>
              </w:rPr>
              <w:t>Necsa</w:t>
            </w:r>
            <w:proofErr w:type="spellEnd"/>
            <w:r w:rsidRPr="004E7B9A">
              <w:rPr>
                <w:lang w:val="en-US"/>
              </w:rPr>
              <w:t xml:space="preserve"> staff or an entire ICT service impacted</w:t>
            </w:r>
          </w:p>
        </w:tc>
        <w:tc>
          <w:tcPr>
            <w:tcW w:w="0" w:type="auto"/>
            <w:tcBorders>
              <w:top w:val="single" w:sz="6" w:space="0" w:color="E6E6E6"/>
              <w:left w:val="single" w:sz="4" w:space="0" w:color="auto"/>
              <w:bottom w:val="single" w:sz="4" w:space="0" w:color="auto"/>
              <w:right w:val="single" w:sz="4" w:space="0" w:color="auto"/>
            </w:tcBorders>
            <w:vAlign w:val="center"/>
            <w:hideMark/>
          </w:tcPr>
          <w:p w14:paraId="1BFC7DA3" w14:textId="77777777" w:rsidR="004E7B9A" w:rsidRPr="004E7B9A" w:rsidRDefault="004E7B9A" w:rsidP="004E7B9A">
            <w:pPr>
              <w:pStyle w:val="1Paragraph"/>
              <w:rPr>
                <w:lang w:val="en-US"/>
              </w:rPr>
            </w:pPr>
            <w:r w:rsidRPr="004E7B9A">
              <w:rPr>
                <w:lang w:val="en-US"/>
              </w:rPr>
              <w:t>5 minutes</w:t>
            </w:r>
          </w:p>
        </w:tc>
        <w:tc>
          <w:tcPr>
            <w:tcW w:w="1137" w:type="dxa"/>
            <w:tcBorders>
              <w:top w:val="single" w:sz="6" w:space="0" w:color="E6E6E6"/>
              <w:left w:val="single" w:sz="6" w:space="0" w:color="E6E6E6"/>
              <w:bottom w:val="single" w:sz="4" w:space="0" w:color="auto"/>
              <w:right w:val="single" w:sz="12" w:space="0" w:color="auto"/>
            </w:tcBorders>
            <w:vAlign w:val="center"/>
            <w:hideMark/>
          </w:tcPr>
          <w:p w14:paraId="406CA0FE" w14:textId="77777777" w:rsidR="004E7B9A" w:rsidRPr="004E7B9A" w:rsidRDefault="004E7B9A" w:rsidP="004E7B9A">
            <w:pPr>
              <w:pStyle w:val="1Paragraph"/>
              <w:rPr>
                <w:lang w:val="en-US"/>
              </w:rPr>
            </w:pPr>
            <w:r w:rsidRPr="004E7B9A">
              <w:rPr>
                <w:lang w:val="en-US"/>
              </w:rPr>
              <w:t>2 hours</w:t>
            </w:r>
          </w:p>
        </w:tc>
      </w:tr>
      <w:tr w:rsidR="004E7B9A" w:rsidRPr="004E7B9A" w14:paraId="4176BA91" w14:textId="77777777" w:rsidTr="003A449D">
        <w:trPr>
          <w:tblCellSpacing w:w="15" w:type="dxa"/>
        </w:trPr>
        <w:tc>
          <w:tcPr>
            <w:tcW w:w="0" w:type="auto"/>
            <w:tcBorders>
              <w:top w:val="single" w:sz="6" w:space="0" w:color="E6E6E6"/>
              <w:left w:val="single" w:sz="12" w:space="0" w:color="auto"/>
              <w:bottom w:val="single" w:sz="6" w:space="0" w:color="E6E6E6"/>
              <w:right w:val="single" w:sz="4" w:space="0" w:color="auto"/>
            </w:tcBorders>
            <w:vAlign w:val="center"/>
            <w:hideMark/>
          </w:tcPr>
          <w:p w14:paraId="344DF9D8" w14:textId="77777777" w:rsidR="004E7B9A" w:rsidRPr="004E7B9A" w:rsidRDefault="004E7B9A" w:rsidP="004E7B9A">
            <w:pPr>
              <w:pStyle w:val="1Paragraph"/>
              <w:rPr>
                <w:lang w:val="en-US"/>
              </w:rPr>
            </w:pPr>
            <w:r w:rsidRPr="004E7B9A">
              <w:rPr>
                <w:b/>
                <w:bCs/>
                <w:lang w:val="en-US"/>
              </w:rPr>
              <w:t>High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76A31E" w14:textId="77777777" w:rsidR="004E7B9A" w:rsidRPr="004E7B9A" w:rsidRDefault="004E7B9A" w:rsidP="004E7B9A">
            <w:pPr>
              <w:pStyle w:val="1Paragraph"/>
              <w:rPr>
                <w:lang w:val="en-US"/>
              </w:rPr>
            </w:pPr>
            <w:r w:rsidRPr="004E7B9A">
              <w:rPr>
                <w:lang w:val="en-US"/>
              </w:rPr>
              <w:t>Issue without workaround affecting multiple business units or systems</w:t>
            </w:r>
          </w:p>
        </w:tc>
        <w:tc>
          <w:tcPr>
            <w:tcW w:w="0" w:type="auto"/>
            <w:tcBorders>
              <w:top w:val="single" w:sz="6" w:space="0" w:color="E6E6E6"/>
              <w:left w:val="single" w:sz="4" w:space="0" w:color="auto"/>
              <w:bottom w:val="single" w:sz="6" w:space="0" w:color="E6E6E6"/>
              <w:right w:val="single" w:sz="4" w:space="0" w:color="auto"/>
            </w:tcBorders>
            <w:vAlign w:val="center"/>
            <w:hideMark/>
          </w:tcPr>
          <w:p w14:paraId="185C92F6" w14:textId="77777777" w:rsidR="004E7B9A" w:rsidRPr="004E7B9A" w:rsidRDefault="004E7B9A" w:rsidP="004E7B9A">
            <w:pPr>
              <w:pStyle w:val="1Paragraph"/>
              <w:rPr>
                <w:lang w:val="en-US"/>
              </w:rPr>
            </w:pPr>
            <w:r w:rsidRPr="004E7B9A">
              <w:rPr>
                <w:lang w:val="en-US"/>
              </w:rPr>
              <w:t>15 minutes</w:t>
            </w:r>
          </w:p>
        </w:tc>
        <w:tc>
          <w:tcPr>
            <w:tcW w:w="1137" w:type="dxa"/>
            <w:tcBorders>
              <w:top w:val="single" w:sz="6" w:space="0" w:color="E6E6E6"/>
              <w:left w:val="single" w:sz="6" w:space="0" w:color="E6E6E6"/>
              <w:bottom w:val="single" w:sz="6" w:space="0" w:color="E6E6E6"/>
              <w:right w:val="single" w:sz="12" w:space="0" w:color="auto"/>
            </w:tcBorders>
            <w:vAlign w:val="center"/>
            <w:hideMark/>
          </w:tcPr>
          <w:p w14:paraId="327EB1C6" w14:textId="77777777" w:rsidR="004E7B9A" w:rsidRPr="004E7B9A" w:rsidRDefault="004E7B9A" w:rsidP="004E7B9A">
            <w:pPr>
              <w:pStyle w:val="1Paragraph"/>
              <w:rPr>
                <w:lang w:val="en-US"/>
              </w:rPr>
            </w:pPr>
            <w:r w:rsidRPr="004E7B9A">
              <w:rPr>
                <w:lang w:val="en-US"/>
              </w:rPr>
              <w:t>4 hours</w:t>
            </w:r>
          </w:p>
        </w:tc>
      </w:tr>
      <w:tr w:rsidR="004E7B9A" w:rsidRPr="004E7B9A" w14:paraId="2C77CEE7" w14:textId="77777777" w:rsidTr="003A449D">
        <w:trPr>
          <w:tblCellSpacing w:w="15" w:type="dxa"/>
        </w:trPr>
        <w:tc>
          <w:tcPr>
            <w:tcW w:w="0" w:type="auto"/>
            <w:tcBorders>
              <w:top w:val="single" w:sz="4" w:space="0" w:color="auto"/>
              <w:left w:val="single" w:sz="12" w:space="0" w:color="auto"/>
              <w:bottom w:val="single" w:sz="4" w:space="0" w:color="auto"/>
              <w:right w:val="single" w:sz="4" w:space="0" w:color="auto"/>
            </w:tcBorders>
            <w:vAlign w:val="center"/>
            <w:hideMark/>
          </w:tcPr>
          <w:p w14:paraId="02E02B04" w14:textId="77777777" w:rsidR="004E7B9A" w:rsidRPr="004E7B9A" w:rsidRDefault="004E7B9A" w:rsidP="004E7B9A">
            <w:pPr>
              <w:pStyle w:val="1Paragraph"/>
              <w:rPr>
                <w:lang w:val="en-US"/>
              </w:rPr>
            </w:pPr>
            <w:r w:rsidRPr="004E7B9A">
              <w:rPr>
                <w:b/>
                <w:bCs/>
                <w:lang w:val="en-US"/>
              </w:rPr>
              <w:t>Medium</w:t>
            </w:r>
          </w:p>
        </w:tc>
        <w:tc>
          <w:tcPr>
            <w:tcW w:w="0" w:type="auto"/>
            <w:tcBorders>
              <w:top w:val="single" w:sz="4" w:space="0" w:color="auto"/>
              <w:left w:val="single" w:sz="6" w:space="0" w:color="E6E6E6"/>
              <w:bottom w:val="single" w:sz="4" w:space="0" w:color="auto"/>
              <w:right w:val="single" w:sz="6" w:space="0" w:color="E6E6E6"/>
            </w:tcBorders>
            <w:vAlign w:val="center"/>
            <w:hideMark/>
          </w:tcPr>
          <w:p w14:paraId="6CDEDFDD" w14:textId="77777777" w:rsidR="004E7B9A" w:rsidRPr="004E7B9A" w:rsidRDefault="004E7B9A" w:rsidP="004E7B9A">
            <w:pPr>
              <w:pStyle w:val="1Paragraph"/>
              <w:rPr>
                <w:lang w:val="en-US"/>
              </w:rPr>
            </w:pPr>
            <w:r w:rsidRPr="004E7B9A">
              <w:rPr>
                <w:lang w:val="en-US"/>
              </w:rPr>
              <w:t>General request or issue with workaround affecting a specific group</w:t>
            </w:r>
          </w:p>
        </w:tc>
        <w:tc>
          <w:tcPr>
            <w:tcW w:w="0" w:type="auto"/>
            <w:tcBorders>
              <w:top w:val="single" w:sz="4" w:space="0" w:color="auto"/>
              <w:left w:val="single" w:sz="4" w:space="0" w:color="auto"/>
              <w:bottom w:val="single" w:sz="4" w:space="0" w:color="auto"/>
              <w:right w:val="single" w:sz="4" w:space="0" w:color="auto"/>
            </w:tcBorders>
            <w:vAlign w:val="center"/>
            <w:hideMark/>
          </w:tcPr>
          <w:p w14:paraId="3D3F0FF5" w14:textId="77777777" w:rsidR="004E7B9A" w:rsidRPr="004E7B9A" w:rsidRDefault="004E7B9A" w:rsidP="004E7B9A">
            <w:pPr>
              <w:pStyle w:val="1Paragraph"/>
              <w:rPr>
                <w:lang w:val="en-US"/>
              </w:rPr>
            </w:pPr>
            <w:r w:rsidRPr="004E7B9A">
              <w:rPr>
                <w:lang w:val="en-US"/>
              </w:rPr>
              <w:t>30 minutes</w:t>
            </w:r>
          </w:p>
        </w:tc>
        <w:tc>
          <w:tcPr>
            <w:tcW w:w="1137" w:type="dxa"/>
            <w:tcBorders>
              <w:top w:val="single" w:sz="4" w:space="0" w:color="auto"/>
              <w:left w:val="single" w:sz="6" w:space="0" w:color="E6E6E6"/>
              <w:bottom w:val="single" w:sz="4" w:space="0" w:color="auto"/>
              <w:right w:val="single" w:sz="12" w:space="0" w:color="auto"/>
            </w:tcBorders>
            <w:vAlign w:val="center"/>
            <w:hideMark/>
          </w:tcPr>
          <w:p w14:paraId="3753FF59" w14:textId="77777777" w:rsidR="004E7B9A" w:rsidRPr="004E7B9A" w:rsidRDefault="004E7B9A" w:rsidP="004E7B9A">
            <w:pPr>
              <w:pStyle w:val="1Paragraph"/>
              <w:rPr>
                <w:lang w:val="en-US"/>
              </w:rPr>
            </w:pPr>
            <w:r w:rsidRPr="004E7B9A">
              <w:rPr>
                <w:lang w:val="en-US"/>
              </w:rPr>
              <w:t>2 days</w:t>
            </w:r>
          </w:p>
        </w:tc>
      </w:tr>
      <w:tr w:rsidR="004E7B9A" w:rsidRPr="004E7B9A" w14:paraId="1C81DF13" w14:textId="77777777" w:rsidTr="003A449D">
        <w:trPr>
          <w:tblCellSpacing w:w="15" w:type="dxa"/>
        </w:trPr>
        <w:tc>
          <w:tcPr>
            <w:tcW w:w="0" w:type="auto"/>
            <w:tcBorders>
              <w:top w:val="single" w:sz="6" w:space="0" w:color="E6E6E6"/>
              <w:left w:val="single" w:sz="12" w:space="0" w:color="auto"/>
              <w:bottom w:val="single" w:sz="12" w:space="0" w:color="auto"/>
              <w:right w:val="single" w:sz="4" w:space="0" w:color="auto"/>
            </w:tcBorders>
            <w:vAlign w:val="center"/>
            <w:hideMark/>
          </w:tcPr>
          <w:p w14:paraId="0B493808" w14:textId="77777777" w:rsidR="004E7B9A" w:rsidRPr="004E7B9A" w:rsidRDefault="004E7B9A" w:rsidP="004E7B9A">
            <w:pPr>
              <w:pStyle w:val="1Paragraph"/>
              <w:rPr>
                <w:lang w:val="en-US"/>
              </w:rPr>
            </w:pPr>
            <w:r w:rsidRPr="004E7B9A">
              <w:rPr>
                <w:b/>
                <w:bCs/>
                <w:lang w:val="en-US"/>
              </w:rPr>
              <w:t>Low</w:t>
            </w:r>
          </w:p>
        </w:tc>
        <w:tc>
          <w:tcPr>
            <w:tcW w:w="0" w:type="auto"/>
            <w:tcBorders>
              <w:top w:val="single" w:sz="6" w:space="0" w:color="E6E6E6"/>
              <w:left w:val="single" w:sz="6" w:space="0" w:color="E6E6E6"/>
              <w:bottom w:val="single" w:sz="12" w:space="0" w:color="auto"/>
              <w:right w:val="single" w:sz="6" w:space="0" w:color="E6E6E6"/>
            </w:tcBorders>
            <w:vAlign w:val="center"/>
            <w:hideMark/>
          </w:tcPr>
          <w:p w14:paraId="12F742A8" w14:textId="77777777" w:rsidR="004E7B9A" w:rsidRPr="004E7B9A" w:rsidRDefault="004E7B9A" w:rsidP="004E7B9A">
            <w:pPr>
              <w:pStyle w:val="1Paragraph"/>
              <w:rPr>
                <w:lang w:val="en-US"/>
              </w:rPr>
            </w:pPr>
            <w:r w:rsidRPr="004E7B9A">
              <w:rPr>
                <w:lang w:val="en-US"/>
              </w:rPr>
              <w:t>Issue affecting a single user</w:t>
            </w:r>
          </w:p>
        </w:tc>
        <w:tc>
          <w:tcPr>
            <w:tcW w:w="0" w:type="auto"/>
            <w:tcBorders>
              <w:top w:val="single" w:sz="6" w:space="0" w:color="E6E6E6"/>
              <w:left w:val="single" w:sz="4" w:space="0" w:color="auto"/>
              <w:bottom w:val="single" w:sz="12" w:space="0" w:color="auto"/>
              <w:right w:val="single" w:sz="4" w:space="0" w:color="auto"/>
            </w:tcBorders>
            <w:vAlign w:val="center"/>
            <w:hideMark/>
          </w:tcPr>
          <w:p w14:paraId="32C4DFE7" w14:textId="77777777" w:rsidR="004E7B9A" w:rsidRPr="004E7B9A" w:rsidRDefault="004E7B9A" w:rsidP="004E7B9A">
            <w:pPr>
              <w:pStyle w:val="1Paragraph"/>
              <w:rPr>
                <w:lang w:val="en-US"/>
              </w:rPr>
            </w:pPr>
            <w:r w:rsidRPr="004E7B9A">
              <w:rPr>
                <w:lang w:val="en-US"/>
              </w:rPr>
              <w:t>1 hour</w:t>
            </w:r>
          </w:p>
        </w:tc>
        <w:tc>
          <w:tcPr>
            <w:tcW w:w="1137" w:type="dxa"/>
            <w:tcBorders>
              <w:top w:val="single" w:sz="6" w:space="0" w:color="E6E6E6"/>
              <w:left w:val="single" w:sz="6" w:space="0" w:color="E6E6E6"/>
              <w:bottom w:val="single" w:sz="12" w:space="0" w:color="auto"/>
              <w:right w:val="single" w:sz="12" w:space="0" w:color="auto"/>
            </w:tcBorders>
            <w:vAlign w:val="center"/>
            <w:hideMark/>
          </w:tcPr>
          <w:p w14:paraId="45CE7596" w14:textId="77777777" w:rsidR="004E7B9A" w:rsidRPr="004E7B9A" w:rsidRDefault="004E7B9A" w:rsidP="004E7B9A">
            <w:pPr>
              <w:pStyle w:val="1Paragraph"/>
              <w:rPr>
                <w:lang w:val="en-US"/>
              </w:rPr>
            </w:pPr>
            <w:r w:rsidRPr="004E7B9A">
              <w:rPr>
                <w:lang w:val="en-US"/>
              </w:rPr>
              <w:t>5 days</w:t>
            </w:r>
          </w:p>
        </w:tc>
      </w:tr>
    </w:tbl>
    <w:p w14:paraId="1C658594" w14:textId="77777777" w:rsidR="004E7B9A" w:rsidRPr="00E12354" w:rsidRDefault="004E7B9A" w:rsidP="003E62A4">
      <w:pPr>
        <w:pStyle w:val="1Paragraph"/>
        <w:rPr>
          <w:color w:val="EE0000"/>
          <w:lang w:val="en-ZA"/>
        </w:rPr>
      </w:pPr>
    </w:p>
    <w:p w14:paraId="625A3FF0" w14:textId="77777777" w:rsidR="00554C52" w:rsidRDefault="00554C52"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4BDDD59A" w14:textId="77777777" w:rsidR="00B13225" w:rsidRPr="00B13225" w:rsidRDefault="00B13225" w:rsidP="00B13225">
      <w:pPr>
        <w:pStyle w:val="Index2"/>
        <w:numPr>
          <w:ilvl w:val="0"/>
          <w:numId w:val="0"/>
        </w:numPr>
      </w:pPr>
    </w:p>
    <w:tbl>
      <w:tblPr>
        <w:tblStyle w:val="TableGrid"/>
        <w:tblW w:w="0" w:type="auto"/>
        <w:tblInd w:w="851" w:type="dxa"/>
        <w:tblLook w:val="04A0" w:firstRow="1" w:lastRow="0" w:firstColumn="1" w:lastColumn="0" w:noHBand="0" w:noVBand="1"/>
      </w:tblPr>
      <w:tblGrid>
        <w:gridCol w:w="562"/>
        <w:gridCol w:w="3118"/>
        <w:gridCol w:w="1560"/>
        <w:gridCol w:w="1663"/>
        <w:gridCol w:w="1731"/>
      </w:tblGrid>
      <w:tr w:rsidR="00B13225" w14:paraId="0FE33D04" w14:textId="77777777" w:rsidTr="00B13225">
        <w:tc>
          <w:tcPr>
            <w:tcW w:w="562" w:type="dxa"/>
          </w:tcPr>
          <w:p w14:paraId="487AE411" w14:textId="77777777" w:rsidR="00B13225" w:rsidRPr="00B13225" w:rsidRDefault="00B13225" w:rsidP="00B13225">
            <w:pPr>
              <w:pStyle w:val="1Paragraph"/>
              <w:ind w:left="0"/>
              <w:jc w:val="center"/>
              <w:rPr>
                <w:b/>
                <w:bCs/>
              </w:rPr>
            </w:pPr>
            <w:bookmarkStart w:id="5" w:name="_Toc187404173"/>
          </w:p>
        </w:tc>
        <w:tc>
          <w:tcPr>
            <w:tcW w:w="3118" w:type="dxa"/>
          </w:tcPr>
          <w:p w14:paraId="2D8C4A80" w14:textId="0011760B" w:rsidR="00B13225" w:rsidRPr="00B13225" w:rsidRDefault="00B13225" w:rsidP="001D74ED">
            <w:pPr>
              <w:pStyle w:val="1Paragraph"/>
              <w:ind w:left="0"/>
              <w:rPr>
                <w:b/>
                <w:bCs/>
              </w:rPr>
            </w:pPr>
            <w:r w:rsidRPr="00B13225">
              <w:rPr>
                <w:b/>
                <w:bCs/>
              </w:rPr>
              <w:t>Items</w:t>
            </w:r>
          </w:p>
        </w:tc>
        <w:tc>
          <w:tcPr>
            <w:tcW w:w="1560" w:type="dxa"/>
          </w:tcPr>
          <w:p w14:paraId="7A12E0AC" w14:textId="3D269819" w:rsidR="00B13225" w:rsidRPr="00B13225" w:rsidRDefault="00B13225" w:rsidP="001D74ED">
            <w:pPr>
              <w:pStyle w:val="1Paragraph"/>
              <w:ind w:left="0"/>
              <w:rPr>
                <w:b/>
                <w:bCs/>
              </w:rPr>
            </w:pPr>
            <w:r w:rsidRPr="00B13225">
              <w:rPr>
                <w:b/>
                <w:bCs/>
              </w:rPr>
              <w:t>Unit</w:t>
            </w:r>
          </w:p>
        </w:tc>
        <w:tc>
          <w:tcPr>
            <w:tcW w:w="1663" w:type="dxa"/>
          </w:tcPr>
          <w:p w14:paraId="41420DF6" w14:textId="62843AE7" w:rsidR="00B13225" w:rsidRPr="00B13225" w:rsidRDefault="00B13225" w:rsidP="001D74ED">
            <w:pPr>
              <w:pStyle w:val="1Paragraph"/>
              <w:ind w:left="0"/>
              <w:rPr>
                <w:b/>
                <w:bCs/>
              </w:rPr>
            </w:pPr>
            <w:r w:rsidRPr="00B13225">
              <w:rPr>
                <w:b/>
                <w:bCs/>
              </w:rPr>
              <w:t>Price Per Unit</w:t>
            </w:r>
          </w:p>
        </w:tc>
        <w:tc>
          <w:tcPr>
            <w:tcW w:w="1731" w:type="dxa"/>
          </w:tcPr>
          <w:p w14:paraId="1E1E6A5D" w14:textId="611AB311" w:rsidR="00B13225" w:rsidRPr="00B13225" w:rsidRDefault="00B13225" w:rsidP="001D74ED">
            <w:pPr>
              <w:pStyle w:val="1Paragraph"/>
              <w:ind w:left="0"/>
              <w:rPr>
                <w:b/>
                <w:bCs/>
              </w:rPr>
            </w:pPr>
            <w:r w:rsidRPr="00B13225">
              <w:rPr>
                <w:b/>
                <w:bCs/>
              </w:rPr>
              <w:t>Sub Total (Excl. VAT)</w:t>
            </w:r>
          </w:p>
        </w:tc>
      </w:tr>
      <w:tr w:rsidR="00B13225" w14:paraId="6FC90CC0" w14:textId="77777777" w:rsidTr="00B13225">
        <w:tc>
          <w:tcPr>
            <w:tcW w:w="562" w:type="dxa"/>
          </w:tcPr>
          <w:p w14:paraId="1BA88405" w14:textId="58547D0C" w:rsidR="00B13225" w:rsidRPr="00B13225" w:rsidRDefault="00B13225" w:rsidP="00B13225">
            <w:pPr>
              <w:pStyle w:val="1Paragraph"/>
              <w:ind w:left="0"/>
              <w:jc w:val="center"/>
              <w:rPr>
                <w:b/>
                <w:bCs/>
              </w:rPr>
            </w:pPr>
            <w:r w:rsidRPr="00B13225">
              <w:rPr>
                <w:b/>
                <w:bCs/>
              </w:rPr>
              <w:t>1</w:t>
            </w:r>
          </w:p>
        </w:tc>
        <w:tc>
          <w:tcPr>
            <w:tcW w:w="3118" w:type="dxa"/>
          </w:tcPr>
          <w:p w14:paraId="2ADD64D2" w14:textId="6663E660" w:rsidR="00B13225" w:rsidRDefault="00B13225" w:rsidP="001D74ED">
            <w:pPr>
              <w:pStyle w:val="1Paragraph"/>
              <w:ind w:left="0"/>
            </w:pPr>
            <w:r w:rsidRPr="00B13225">
              <w:t>Specialist</w:t>
            </w:r>
            <w:r>
              <w:t xml:space="preserve"> </w:t>
            </w:r>
            <w:r w:rsidRPr="00B13225">
              <w:t>Privacy</w:t>
            </w:r>
            <w:r>
              <w:t xml:space="preserve"> </w:t>
            </w:r>
            <w:r w:rsidRPr="00B13225">
              <w:t>Consulting</w:t>
            </w:r>
          </w:p>
        </w:tc>
        <w:tc>
          <w:tcPr>
            <w:tcW w:w="1560" w:type="dxa"/>
          </w:tcPr>
          <w:p w14:paraId="0A719E30" w14:textId="4F97DB52" w:rsidR="00B13225" w:rsidRDefault="00B13225" w:rsidP="001D74ED">
            <w:pPr>
              <w:pStyle w:val="1Paragraph"/>
              <w:ind w:left="0"/>
            </w:pPr>
            <w:r>
              <w:t>1200 (Hours)</w:t>
            </w:r>
          </w:p>
        </w:tc>
        <w:tc>
          <w:tcPr>
            <w:tcW w:w="1663" w:type="dxa"/>
          </w:tcPr>
          <w:p w14:paraId="43CE5F5E" w14:textId="77777777" w:rsidR="00B13225" w:rsidRDefault="00B13225" w:rsidP="001D74ED">
            <w:pPr>
              <w:pStyle w:val="1Paragraph"/>
              <w:ind w:left="0"/>
            </w:pPr>
          </w:p>
        </w:tc>
        <w:tc>
          <w:tcPr>
            <w:tcW w:w="1731" w:type="dxa"/>
          </w:tcPr>
          <w:p w14:paraId="5F2D815F" w14:textId="77777777" w:rsidR="00B13225" w:rsidRDefault="00B13225" w:rsidP="001D74ED">
            <w:pPr>
              <w:pStyle w:val="1Paragraph"/>
              <w:ind w:left="0"/>
            </w:pPr>
          </w:p>
        </w:tc>
      </w:tr>
      <w:tr w:rsidR="00B13225" w14:paraId="050937EB" w14:textId="77777777" w:rsidTr="00B13225">
        <w:tc>
          <w:tcPr>
            <w:tcW w:w="562" w:type="dxa"/>
          </w:tcPr>
          <w:p w14:paraId="0EFB0987" w14:textId="3C4E2873" w:rsidR="00B13225" w:rsidRPr="00B13225" w:rsidRDefault="00B13225" w:rsidP="00B13225">
            <w:pPr>
              <w:pStyle w:val="1Paragraph"/>
              <w:ind w:left="0"/>
              <w:jc w:val="center"/>
              <w:rPr>
                <w:b/>
                <w:bCs/>
              </w:rPr>
            </w:pPr>
            <w:r w:rsidRPr="00B13225">
              <w:rPr>
                <w:b/>
                <w:bCs/>
              </w:rPr>
              <w:t>2</w:t>
            </w:r>
          </w:p>
        </w:tc>
        <w:tc>
          <w:tcPr>
            <w:tcW w:w="3118" w:type="dxa"/>
          </w:tcPr>
          <w:p w14:paraId="4FA9498C" w14:textId="1ACEBE21" w:rsidR="00B13225" w:rsidRDefault="00B13225" w:rsidP="00B13225">
            <w:pPr>
              <w:pStyle w:val="Default"/>
              <w:jc w:val="both"/>
            </w:pPr>
            <w:r>
              <w:rPr>
                <w:sz w:val="22"/>
                <w:szCs w:val="22"/>
              </w:rPr>
              <w:t xml:space="preserve">Project Management </w:t>
            </w:r>
          </w:p>
        </w:tc>
        <w:tc>
          <w:tcPr>
            <w:tcW w:w="1560" w:type="dxa"/>
          </w:tcPr>
          <w:p w14:paraId="2C7760F8" w14:textId="666DB22E" w:rsidR="00B13225" w:rsidRDefault="00B13225" w:rsidP="001D74ED">
            <w:pPr>
              <w:pStyle w:val="1Paragraph"/>
              <w:ind w:left="0"/>
            </w:pPr>
            <w:r>
              <w:t>40 (Hours)</w:t>
            </w:r>
          </w:p>
        </w:tc>
        <w:tc>
          <w:tcPr>
            <w:tcW w:w="1663" w:type="dxa"/>
          </w:tcPr>
          <w:p w14:paraId="7ACFCD27" w14:textId="77777777" w:rsidR="00B13225" w:rsidRDefault="00B13225" w:rsidP="001D74ED">
            <w:pPr>
              <w:pStyle w:val="1Paragraph"/>
              <w:ind w:left="0"/>
            </w:pPr>
          </w:p>
        </w:tc>
        <w:tc>
          <w:tcPr>
            <w:tcW w:w="1731" w:type="dxa"/>
          </w:tcPr>
          <w:p w14:paraId="10FE40D0" w14:textId="77777777" w:rsidR="00B13225" w:rsidRDefault="00B13225" w:rsidP="001D74ED">
            <w:pPr>
              <w:pStyle w:val="1Paragraph"/>
              <w:ind w:left="0"/>
            </w:pPr>
          </w:p>
        </w:tc>
      </w:tr>
      <w:tr w:rsidR="00B13225" w14:paraId="4A0A6380" w14:textId="77777777" w:rsidTr="00B13225">
        <w:tc>
          <w:tcPr>
            <w:tcW w:w="562" w:type="dxa"/>
          </w:tcPr>
          <w:p w14:paraId="4DB2E95E" w14:textId="1D729D9E" w:rsidR="00B13225" w:rsidRPr="00B13225" w:rsidRDefault="00B13225" w:rsidP="00B13225">
            <w:pPr>
              <w:pStyle w:val="1Paragraph"/>
              <w:ind w:left="0"/>
              <w:jc w:val="center"/>
              <w:rPr>
                <w:b/>
                <w:bCs/>
              </w:rPr>
            </w:pPr>
            <w:r w:rsidRPr="00B13225">
              <w:rPr>
                <w:b/>
                <w:bCs/>
              </w:rPr>
              <w:t>3</w:t>
            </w:r>
          </w:p>
        </w:tc>
        <w:tc>
          <w:tcPr>
            <w:tcW w:w="3118" w:type="dxa"/>
          </w:tcPr>
          <w:p w14:paraId="63AFA16C" w14:textId="6DF1675F" w:rsidR="00B13225" w:rsidRDefault="00B13225" w:rsidP="001D74ED">
            <w:pPr>
              <w:pStyle w:val="1Paragraph"/>
              <w:ind w:left="0"/>
            </w:pPr>
            <w:r>
              <w:t xml:space="preserve">Training per personnel </w:t>
            </w:r>
          </w:p>
        </w:tc>
        <w:tc>
          <w:tcPr>
            <w:tcW w:w="1560" w:type="dxa"/>
          </w:tcPr>
          <w:p w14:paraId="63D0AA1D" w14:textId="75FDEB86" w:rsidR="00B13225" w:rsidRDefault="00B13225" w:rsidP="001D74ED">
            <w:pPr>
              <w:pStyle w:val="1Paragraph"/>
              <w:ind w:left="0"/>
            </w:pPr>
            <w:r>
              <w:t>5 (People)</w:t>
            </w:r>
          </w:p>
        </w:tc>
        <w:tc>
          <w:tcPr>
            <w:tcW w:w="1663" w:type="dxa"/>
          </w:tcPr>
          <w:p w14:paraId="571AFA5E" w14:textId="77777777" w:rsidR="00B13225" w:rsidRDefault="00B13225" w:rsidP="001D74ED">
            <w:pPr>
              <w:pStyle w:val="1Paragraph"/>
              <w:ind w:left="0"/>
            </w:pPr>
          </w:p>
        </w:tc>
        <w:tc>
          <w:tcPr>
            <w:tcW w:w="1731" w:type="dxa"/>
          </w:tcPr>
          <w:p w14:paraId="4103CE33" w14:textId="77777777" w:rsidR="00B13225" w:rsidRDefault="00B13225" w:rsidP="001D74ED">
            <w:pPr>
              <w:pStyle w:val="1Paragraph"/>
              <w:ind w:left="0"/>
            </w:pPr>
          </w:p>
        </w:tc>
      </w:tr>
      <w:tr w:rsidR="00B13225" w14:paraId="269744A1" w14:textId="77777777" w:rsidTr="00B13225">
        <w:tc>
          <w:tcPr>
            <w:tcW w:w="562" w:type="dxa"/>
          </w:tcPr>
          <w:p w14:paraId="0B9811B3" w14:textId="6117986D" w:rsidR="00B13225" w:rsidRPr="00B13225" w:rsidRDefault="00B13225" w:rsidP="00B13225">
            <w:pPr>
              <w:pStyle w:val="1Paragraph"/>
              <w:ind w:left="0"/>
              <w:jc w:val="center"/>
              <w:rPr>
                <w:b/>
                <w:bCs/>
              </w:rPr>
            </w:pPr>
            <w:r>
              <w:rPr>
                <w:b/>
                <w:bCs/>
              </w:rPr>
              <w:t>4</w:t>
            </w:r>
          </w:p>
        </w:tc>
        <w:tc>
          <w:tcPr>
            <w:tcW w:w="3118" w:type="dxa"/>
          </w:tcPr>
          <w:p w14:paraId="63EBBE97" w14:textId="7906CFCE" w:rsidR="00B13225" w:rsidRDefault="00B13225" w:rsidP="001D74ED">
            <w:pPr>
              <w:pStyle w:val="1Paragraph"/>
              <w:ind w:left="0"/>
            </w:pPr>
            <w:r>
              <w:t xml:space="preserve">Software and Licenses </w:t>
            </w:r>
          </w:p>
        </w:tc>
        <w:tc>
          <w:tcPr>
            <w:tcW w:w="1560" w:type="dxa"/>
          </w:tcPr>
          <w:p w14:paraId="65FB9A65" w14:textId="3FFBD83A" w:rsidR="00B13225" w:rsidRDefault="00B13225" w:rsidP="001D74ED">
            <w:pPr>
              <w:pStyle w:val="1Paragraph"/>
              <w:ind w:left="0"/>
            </w:pPr>
            <w:r>
              <w:t>1,900 (Seats)</w:t>
            </w:r>
          </w:p>
        </w:tc>
        <w:tc>
          <w:tcPr>
            <w:tcW w:w="1663" w:type="dxa"/>
          </w:tcPr>
          <w:p w14:paraId="005EF1FB" w14:textId="77777777" w:rsidR="00B13225" w:rsidRDefault="00B13225" w:rsidP="001D74ED">
            <w:pPr>
              <w:pStyle w:val="1Paragraph"/>
              <w:ind w:left="0"/>
            </w:pPr>
          </w:p>
        </w:tc>
        <w:tc>
          <w:tcPr>
            <w:tcW w:w="1731" w:type="dxa"/>
          </w:tcPr>
          <w:p w14:paraId="5575E321" w14:textId="77777777" w:rsidR="00B13225" w:rsidRDefault="00B13225" w:rsidP="001D74ED">
            <w:pPr>
              <w:pStyle w:val="1Paragraph"/>
              <w:ind w:left="0"/>
            </w:pPr>
          </w:p>
        </w:tc>
      </w:tr>
      <w:tr w:rsidR="00B13225" w14:paraId="55AD00B1" w14:textId="77777777" w:rsidTr="00802549">
        <w:tc>
          <w:tcPr>
            <w:tcW w:w="6903" w:type="dxa"/>
            <w:gridSpan w:val="4"/>
          </w:tcPr>
          <w:p w14:paraId="3A858190" w14:textId="6E228132" w:rsidR="00B13225" w:rsidRPr="00B13225" w:rsidRDefault="00B13225" w:rsidP="00B13225">
            <w:pPr>
              <w:pStyle w:val="1Paragraph"/>
              <w:ind w:left="0"/>
              <w:jc w:val="center"/>
              <w:rPr>
                <w:b/>
                <w:bCs/>
              </w:rPr>
            </w:pPr>
            <w:r w:rsidRPr="00B13225">
              <w:rPr>
                <w:b/>
                <w:bCs/>
              </w:rPr>
              <w:t>Total for 36 months</w:t>
            </w:r>
          </w:p>
        </w:tc>
        <w:tc>
          <w:tcPr>
            <w:tcW w:w="1731" w:type="dxa"/>
          </w:tcPr>
          <w:p w14:paraId="2EC84FE0" w14:textId="77777777" w:rsidR="00B13225" w:rsidRDefault="00B13225" w:rsidP="001D74ED">
            <w:pPr>
              <w:pStyle w:val="1Paragraph"/>
              <w:ind w:left="0"/>
            </w:pPr>
          </w:p>
        </w:tc>
      </w:tr>
    </w:tbl>
    <w:p w14:paraId="78904A02" w14:textId="77777777" w:rsidR="001D74ED" w:rsidRPr="001D74ED" w:rsidRDefault="001D74ED" w:rsidP="001D74ED">
      <w:pPr>
        <w:pStyle w:val="1Paragraph"/>
      </w:pPr>
    </w:p>
    <w:p w14:paraId="14DB13AD" w14:textId="2928FE3A" w:rsidR="0002680D" w:rsidRDefault="0002680D" w:rsidP="00B55DBA">
      <w:pPr>
        <w:pStyle w:val="Index3"/>
      </w:pPr>
      <w:r>
        <w:t>Project Plan and Schedule</w:t>
      </w:r>
      <w:bookmarkEnd w:id="5"/>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01DE1F4E" w14:textId="77777777" w:rsidR="009D79A3" w:rsidRDefault="00213098" w:rsidP="00B55DBA">
      <w:pPr>
        <w:pStyle w:val="Index3"/>
      </w:pPr>
      <w:bookmarkStart w:id="6" w:name="_Toc187404174"/>
      <w:r>
        <w:t xml:space="preserve">Applicable </w:t>
      </w:r>
      <w:proofErr w:type="spellStart"/>
      <w:r>
        <w:t>Necsa</w:t>
      </w:r>
      <w:proofErr w:type="spellEnd"/>
      <w:r>
        <w:t xml:space="preserve"> Policies</w:t>
      </w:r>
      <w:bookmarkEnd w:id="6"/>
    </w:p>
    <w:p w14:paraId="4163AD8E" w14:textId="77777777"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7"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tbl>
    <w:p w14:paraId="6957EED3" w14:textId="77777777" w:rsidR="006B719C" w:rsidRPr="005B1AF4" w:rsidRDefault="006B719C" w:rsidP="005E71C3">
      <w:pPr>
        <w:pStyle w:val="Index2"/>
      </w:pPr>
      <w:bookmarkStart w:id="8" w:name="_Toc187404175"/>
      <w:bookmarkEnd w:id="7"/>
      <w:r w:rsidRPr="005B1AF4">
        <w:lastRenderedPageBreak/>
        <w:t>Applicable Necsa Procedures</w:t>
      </w:r>
      <w:bookmarkEnd w:id="8"/>
    </w:p>
    <w:p w14:paraId="6D720269" w14:textId="77777777" w:rsidR="006B719C" w:rsidRPr="00A0106E" w:rsidRDefault="006B719C" w:rsidP="00B55DBA">
      <w:pPr>
        <w:pStyle w:val="Index3"/>
      </w:pPr>
      <w:bookmarkStart w:id="9" w:name="_Toc187404176"/>
      <w:r w:rsidRPr="00A0106E">
        <w:t xml:space="preserve">Requirements to Access </w:t>
      </w:r>
      <w:proofErr w:type="spellStart"/>
      <w:r w:rsidRPr="00A0106E">
        <w:t>Necsa</w:t>
      </w:r>
      <w:proofErr w:type="spellEnd"/>
      <w:r w:rsidRPr="00A0106E">
        <w:t xml:space="preserve"> Site</w:t>
      </w:r>
      <w:bookmarkEnd w:id="9"/>
    </w:p>
    <w:p w14:paraId="49D36B08" w14:textId="77777777"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B55DBA">
      <w:pPr>
        <w:pStyle w:val="Index3"/>
      </w:pPr>
      <w:bookmarkStart w:id="10" w:name="_Toc187404177"/>
      <w:r w:rsidRPr="00A0106E">
        <w:t>Emergencies, Incidents, Accidents</w:t>
      </w:r>
      <w:bookmarkEnd w:id="10"/>
    </w:p>
    <w:p w14:paraId="3E95F933" w14:textId="77777777" w:rsidR="00931917" w:rsidRPr="00A0106E" w:rsidRDefault="00931917" w:rsidP="00B55DBA">
      <w:pPr>
        <w:pStyle w:val="Index3"/>
      </w:pPr>
      <w:bookmarkStart w:id="11" w:name="_Toc187404178"/>
      <w:proofErr w:type="spellStart"/>
      <w:r w:rsidRPr="00A0106E">
        <w:t>Necsa</w:t>
      </w:r>
      <w:proofErr w:type="spellEnd"/>
      <w:r w:rsidRPr="00A0106E">
        <w:t xml:space="preserve"> Health, Safety and Environmental Requirements</w:t>
      </w:r>
      <w:bookmarkEnd w:id="11"/>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B55DBA">
      <w:pPr>
        <w:pStyle w:val="Index3"/>
      </w:pPr>
      <w:bookmarkStart w:id="12" w:name="_Toc187404179"/>
      <w:proofErr w:type="spellStart"/>
      <w:r w:rsidRPr="00A0106E">
        <w:t>Necsa</w:t>
      </w:r>
      <w:proofErr w:type="spellEnd"/>
      <w:r w:rsidRPr="00A0106E">
        <w:t xml:space="preserve"> Requirements for Quality</w:t>
      </w:r>
      <w:bookmarkEnd w:id="12"/>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B55DBA">
      <w:pPr>
        <w:pStyle w:val="Index3"/>
      </w:pPr>
      <w:bookmarkStart w:id="13" w:name="_Toc187404180"/>
      <w:proofErr w:type="spellStart"/>
      <w:r>
        <w:t>Necsa</w:t>
      </w:r>
      <w:proofErr w:type="spellEnd"/>
      <w:r>
        <w:t xml:space="preserve"> Requirements for Project SHEQ</w:t>
      </w:r>
      <w:bookmarkEnd w:id="13"/>
    </w:p>
    <w:p w14:paraId="7E05E025" w14:textId="77777777"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B55DBA">
      <w:pPr>
        <w:pStyle w:val="Index3"/>
      </w:pPr>
      <w:bookmarkStart w:id="14" w:name="_Toc187404181"/>
      <w:r>
        <w:t>Confidentiality</w:t>
      </w:r>
      <w:bookmarkEnd w:id="14"/>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lastRenderedPageBreak/>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5" w:name="_Toc187404182"/>
      <w:bookmarkEnd w:id="15"/>
    </w:p>
    <w:p w14:paraId="414896C5" w14:textId="77777777" w:rsidR="00D6488C" w:rsidRPr="005E71C3" w:rsidRDefault="00D6488C" w:rsidP="005E71C3">
      <w:pPr>
        <w:pStyle w:val="Index2"/>
        <w:numPr>
          <w:ilvl w:val="1"/>
          <w:numId w:val="12"/>
        </w:numPr>
        <w:rPr>
          <w:lang w:val="en-ZA"/>
        </w:rPr>
      </w:pPr>
      <w:bookmarkStart w:id="16" w:name="_Toc187404183"/>
      <w:r w:rsidRPr="005E71C3">
        <w:rPr>
          <w:lang w:val="en-ZA"/>
        </w:rPr>
        <w:t>Instruction to Bidders</w:t>
      </w:r>
      <w:bookmarkEnd w:id="16"/>
    </w:p>
    <w:p w14:paraId="18CCD684" w14:textId="77777777" w:rsidR="00A42E16" w:rsidRPr="00A42E16" w:rsidRDefault="00A42E16" w:rsidP="00B55DBA">
      <w:pPr>
        <w:pStyle w:val="Index3"/>
      </w:pPr>
      <w:bookmarkStart w:id="17" w:name="_Toc187404184"/>
      <w:r w:rsidRPr="00A42E16">
        <w:t>General</w:t>
      </w:r>
      <w:bookmarkEnd w:id="17"/>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B55DBA">
      <w:pPr>
        <w:pStyle w:val="Index3"/>
      </w:pPr>
      <w:bookmarkStart w:id="18" w:name="_Toc187404185"/>
      <w:r>
        <w:t>Bidder Information</w:t>
      </w:r>
      <w:bookmarkEnd w:id="18"/>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6190CC94" w14:textId="77777777" w:rsidR="00DA39DC" w:rsidRDefault="00DA39DC" w:rsidP="00B55DBA">
      <w:pPr>
        <w:pStyle w:val="Index3"/>
      </w:pPr>
      <w:bookmarkStart w:id="19" w:name="_Toc187404186"/>
      <w:r>
        <w:t>Consortium</w:t>
      </w:r>
      <w:bookmarkEnd w:id="19"/>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 xml:space="preserve">he member’s agreement to be jointly and severally liable to NECSA for the performance </w:t>
      </w:r>
      <w:r w:rsidRPr="004D17C6">
        <w:lastRenderedPageBreak/>
        <w:t>of the contract.</w:t>
      </w:r>
    </w:p>
    <w:p w14:paraId="5895E75C" w14:textId="77777777" w:rsidR="007E35E4" w:rsidRDefault="007E35E4" w:rsidP="007E35E4"/>
    <w:p w14:paraId="185ED057" w14:textId="77777777" w:rsidR="00EB0405" w:rsidRPr="007E35E4" w:rsidRDefault="00EB0405" w:rsidP="007E35E4"/>
    <w:p w14:paraId="09D99EC0" w14:textId="77777777" w:rsidR="00DA39DC" w:rsidRDefault="00DA39DC" w:rsidP="00B55DBA">
      <w:pPr>
        <w:pStyle w:val="Index3"/>
      </w:pPr>
      <w:bookmarkStart w:id="20" w:name="_Toc187404187"/>
      <w:r>
        <w:t>Sub-contracting</w:t>
      </w:r>
      <w:bookmarkEnd w:id="20"/>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Default="00F80D24" w:rsidP="00B55DBA">
      <w:pPr>
        <w:pStyle w:val="Index3"/>
      </w:pPr>
      <w:bookmarkStart w:id="21" w:name="_Toc187404188"/>
      <w:proofErr w:type="spellStart"/>
      <w:r>
        <w:t>Necsa’s</w:t>
      </w:r>
      <w:proofErr w:type="spellEnd"/>
      <w:r>
        <w:t xml:space="preserve"> Bidding </w:t>
      </w:r>
      <w:r w:rsidR="003B5673">
        <w:t>Rights</w:t>
      </w:r>
      <w:bookmarkEnd w:id="21"/>
    </w:p>
    <w:p w14:paraId="1C8270F9" w14:textId="77777777" w:rsidR="00BF4F02" w:rsidRPr="00BF4F02" w:rsidRDefault="00BF4F02" w:rsidP="00BF4F02">
      <w:pPr>
        <w:pStyle w:val="1Paragraph"/>
      </w:pPr>
    </w:p>
    <w:p w14:paraId="1AEFC658" w14:textId="77777777" w:rsidR="00F80D24" w:rsidRDefault="00F80D24" w:rsidP="00F270E1">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lastRenderedPageBreak/>
        <w:t>or is written for a particular brand or product; the Bidder shall notify SCM before closing date</w:t>
      </w:r>
      <w:r w:rsidR="004547A5">
        <w:t>.</w:t>
      </w:r>
    </w:p>
    <w:p w14:paraId="769ABEC4" w14:textId="77777777" w:rsidR="00786A37" w:rsidRDefault="00786A37" w:rsidP="00F270E1">
      <w:pPr>
        <w:pStyle w:val="Index4"/>
      </w:pPr>
      <w:proofErr w:type="spellStart"/>
      <w:r>
        <w:t>Necsa</w:t>
      </w:r>
      <w:proofErr w:type="spellEnd"/>
      <w:r>
        <w:t xml:space="preserve"> will not necessarily accept the lowest or any tender, and it reserves the right to accept a tender as a whole or in part.</w:t>
      </w:r>
    </w:p>
    <w:p w14:paraId="299559CB" w14:textId="77777777" w:rsidR="00786A37" w:rsidRDefault="00786A37" w:rsidP="00F270E1">
      <w:pPr>
        <w:pStyle w:val="Index4"/>
      </w:pPr>
      <w:proofErr w:type="spellStart"/>
      <w:r>
        <w:t>Necsa</w:t>
      </w:r>
      <w:proofErr w:type="spellEnd"/>
      <w:r>
        <w:t xml:space="preserve">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proofErr w:type="spellStart"/>
      <w:proofErr w:type="gramStart"/>
      <w:r>
        <w:rPr>
          <w:lang w:val="en-ZA"/>
        </w:rPr>
        <w:t>Necsa</w:t>
      </w:r>
      <w:proofErr w:type="spellEnd"/>
      <w:r>
        <w:rPr>
          <w:lang w:val="en-ZA"/>
        </w:rPr>
        <w:t xml:space="preserve">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7E35E4">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27461776" w14:textId="77777777" w:rsidR="00F80D24" w:rsidRDefault="00F80D24" w:rsidP="00B55DBA">
      <w:pPr>
        <w:pStyle w:val="Index3"/>
      </w:pPr>
      <w:bookmarkStart w:id="22" w:name="_Toc187404189"/>
      <w:r>
        <w:t>Bidding Process</w:t>
      </w:r>
      <w:bookmarkEnd w:id="22"/>
    </w:p>
    <w:p w14:paraId="46FEE3DB" w14:textId="77777777" w:rsidR="00F80D24" w:rsidRDefault="003B5673" w:rsidP="00F270E1">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B55DBA">
      <w:pPr>
        <w:pStyle w:val="Index3"/>
      </w:pPr>
      <w:bookmarkStart w:id="23" w:name="_Toc187404190"/>
      <w:r>
        <w:t>Bid Submission Requirements</w:t>
      </w:r>
      <w:bookmarkEnd w:id="23"/>
    </w:p>
    <w:p w14:paraId="52323116" w14:textId="77777777" w:rsidR="00FA4A35" w:rsidRPr="00B10893" w:rsidRDefault="00FA4A35" w:rsidP="00F270E1">
      <w:pPr>
        <w:pStyle w:val="Index4"/>
      </w:pPr>
      <w:r w:rsidRPr="00B10893">
        <w:t xml:space="preserve">Bidders must submit their responses and all supporting documents in properly labelled </w:t>
      </w:r>
      <w:r w:rsidRPr="00B10893">
        <w:lastRenderedPageBreak/>
        <w:t>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6DE3863C" w:rsidR="00687DB8" w:rsidRDefault="00B341B9" w:rsidP="00860F6B">
      <w:pPr>
        <w:pStyle w:val="Index4"/>
        <w:numPr>
          <w:ilvl w:val="0"/>
          <w:numId w:val="0"/>
        </w:numPr>
      </w:pPr>
      <w:r>
        <w:t xml:space="preserve">Only international Suppliers </w:t>
      </w:r>
      <w:r w:rsidR="00143AE7">
        <w:t xml:space="preserve">shall be </w:t>
      </w:r>
      <w:proofErr w:type="gramStart"/>
      <w:r w:rsidR="00143AE7">
        <w:t xml:space="preserve">permitted </w:t>
      </w:r>
      <w:r>
        <w:t xml:space="preserve"> to</w:t>
      </w:r>
      <w:proofErr w:type="gramEnd"/>
      <w:r>
        <w:t xml:space="preserve"> submit their bids through email.</w:t>
      </w:r>
    </w:p>
    <w:p w14:paraId="306C796D" w14:textId="77777777" w:rsidR="00860F6B" w:rsidRDefault="00860F6B" w:rsidP="00860F6B">
      <w:pPr>
        <w:pStyle w:val="Index4"/>
        <w:numPr>
          <w:ilvl w:val="0"/>
          <w:numId w:val="0"/>
        </w:numPr>
      </w:pPr>
    </w:p>
    <w:p w14:paraId="4C7B2A0E" w14:textId="77777777" w:rsidR="0047600F" w:rsidRPr="00656238" w:rsidRDefault="0047600F" w:rsidP="005E71C3">
      <w:pPr>
        <w:pStyle w:val="Index2"/>
      </w:pPr>
      <w:bookmarkStart w:id="24" w:name="_Toc187404191"/>
      <w:r w:rsidRPr="00656238">
        <w:t>Eligibility Requirements</w:t>
      </w:r>
      <w:bookmarkEnd w:id="24"/>
    </w:p>
    <w:p w14:paraId="2C0944A9" w14:textId="77777777" w:rsidR="0047600F" w:rsidRDefault="0047600F" w:rsidP="00B55DBA">
      <w:pPr>
        <w:pStyle w:val="Index3"/>
        <w:numPr>
          <w:ilvl w:val="2"/>
          <w:numId w:val="17"/>
        </w:numPr>
      </w:pPr>
      <w:bookmarkStart w:id="25" w:name="_Toc187404192"/>
      <w:r>
        <w:t>Pre-qualification Criteria</w:t>
      </w:r>
      <w:bookmarkEnd w:id="25"/>
    </w:p>
    <w:p w14:paraId="7A9BDE9C" w14:textId="77777777" w:rsidR="0047600F" w:rsidRDefault="006E040B" w:rsidP="0047600F">
      <w:pPr>
        <w:pStyle w:val="1Paragraph"/>
      </w:pPr>
      <w:r w:rsidRPr="006E040B">
        <w:t>Non-compliance to the following pre-qualification criteria will result in automatic disqualification:</w:t>
      </w:r>
    </w:p>
    <w:p w14:paraId="28FCE7B2" w14:textId="77777777" w:rsidR="001C131D" w:rsidRDefault="001C131D" w:rsidP="0047600F">
      <w:pPr>
        <w:pStyle w:val="1Paragraph"/>
      </w:pPr>
    </w:p>
    <w:p w14:paraId="70B715A3" w14:textId="77777777" w:rsidR="001C131D" w:rsidRDefault="001C131D" w:rsidP="0047600F">
      <w:pPr>
        <w:pStyle w:val="1Paragraph"/>
      </w:pPr>
    </w:p>
    <w:p w14:paraId="59ED7E95" w14:textId="77777777" w:rsidR="001C131D" w:rsidRDefault="001C131D" w:rsidP="0047600F">
      <w:pPr>
        <w:pStyle w:val="1Paragraph"/>
      </w:pPr>
    </w:p>
    <w:p w14:paraId="739A2DA4" w14:textId="77777777" w:rsidR="001C131D" w:rsidRDefault="001C131D" w:rsidP="0047600F">
      <w:pPr>
        <w:pStyle w:val="1Paragraph"/>
      </w:pPr>
    </w:p>
    <w:tbl>
      <w:tblPr>
        <w:tblStyle w:val="TableGrid"/>
        <w:tblW w:w="4953" w:type="pct"/>
        <w:tblInd w:w="-147" w:type="dxa"/>
        <w:tblLook w:val="04A0" w:firstRow="1" w:lastRow="0" w:firstColumn="1" w:lastColumn="0" w:noHBand="0" w:noVBand="1"/>
      </w:tblPr>
      <w:tblGrid>
        <w:gridCol w:w="776"/>
        <w:gridCol w:w="7658"/>
        <w:gridCol w:w="962"/>
      </w:tblGrid>
      <w:tr w:rsidR="006E040B" w:rsidRPr="00A8791F" w14:paraId="5CFF4CA8" w14:textId="77777777" w:rsidTr="00EB0405">
        <w:trPr>
          <w:tblHeader/>
        </w:trPr>
        <w:tc>
          <w:tcPr>
            <w:tcW w:w="413"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075"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12"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EB0405">
        <w:trPr>
          <w:trHeight w:val="291"/>
        </w:trPr>
        <w:tc>
          <w:tcPr>
            <w:tcW w:w="413"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075" w:type="pct"/>
          </w:tcPr>
          <w:p w14:paraId="53035911" w14:textId="2EF99F2C" w:rsidR="007622D8" w:rsidRPr="00DA5F33" w:rsidRDefault="006E6BE0" w:rsidP="00880DCF">
            <w:pPr>
              <w:pStyle w:val="aDSPara"/>
              <w:spacing w:before="60" w:after="60"/>
              <w:ind w:left="0"/>
              <w:jc w:val="left"/>
              <w:rPr>
                <w:rFonts w:cs="Arial"/>
                <w:color w:val="000000"/>
                <w:sz w:val="20"/>
                <w:szCs w:val="20"/>
                <w:lang w:val="en-ZA"/>
              </w:rPr>
            </w:pPr>
            <w:r w:rsidRPr="00DA5F33">
              <w:rPr>
                <w:rFonts w:cs="Arial"/>
                <w:color w:val="000000"/>
                <w:sz w:val="20"/>
                <w:szCs w:val="20"/>
                <w:lang w:val="en-ZA"/>
              </w:rPr>
              <w:t xml:space="preserve">Bidder to complete and submit </w:t>
            </w:r>
            <w:r w:rsidR="007622D8" w:rsidRPr="00DA5F33">
              <w:rPr>
                <w:rFonts w:cs="Arial"/>
                <w:color w:val="000000"/>
                <w:sz w:val="20"/>
                <w:szCs w:val="20"/>
                <w:lang w:val="en-ZA"/>
              </w:rPr>
              <w:t>Bidder company information (</w:t>
            </w:r>
            <w:r w:rsidR="007A7BBC" w:rsidRPr="00DA5F33">
              <w:rPr>
                <w:rFonts w:cs="Arial"/>
                <w:color w:val="000000"/>
                <w:sz w:val="20"/>
                <w:szCs w:val="20"/>
                <w:lang w:val="en-ZA"/>
              </w:rPr>
              <w:t xml:space="preserve">Paragraph </w:t>
            </w:r>
            <w:r w:rsidR="00880DCF" w:rsidRPr="00DA5F33">
              <w:rPr>
                <w:rFonts w:cs="Arial"/>
                <w:color w:val="000000"/>
                <w:sz w:val="20"/>
                <w:szCs w:val="20"/>
                <w:lang w:val="en-ZA"/>
              </w:rPr>
              <w:t>7</w:t>
            </w:r>
            <w:r w:rsidR="007622D8" w:rsidRPr="00DA5F33">
              <w:rPr>
                <w:rFonts w:cs="Arial"/>
                <w:color w:val="000000"/>
                <w:sz w:val="20"/>
                <w:szCs w:val="20"/>
                <w:lang w:val="en-ZA"/>
              </w:rPr>
              <w:t>)</w:t>
            </w:r>
          </w:p>
        </w:tc>
        <w:tc>
          <w:tcPr>
            <w:tcW w:w="512" w:type="pct"/>
          </w:tcPr>
          <w:p w14:paraId="427CC9ED" w14:textId="77777777" w:rsidR="007622D8" w:rsidRPr="00DA5F33" w:rsidRDefault="007622D8" w:rsidP="00813A84">
            <w:pPr>
              <w:pStyle w:val="aDSPara"/>
              <w:spacing w:before="60" w:after="60"/>
              <w:ind w:left="0"/>
              <w:jc w:val="left"/>
              <w:rPr>
                <w:sz w:val="20"/>
                <w:szCs w:val="20"/>
                <w:lang w:val="en-ZA"/>
              </w:rPr>
            </w:pPr>
          </w:p>
        </w:tc>
      </w:tr>
      <w:tr w:rsidR="00860F6B" w:rsidRPr="00526ADF" w14:paraId="697DA58B" w14:textId="77777777" w:rsidTr="00EB0405">
        <w:trPr>
          <w:trHeight w:val="291"/>
        </w:trPr>
        <w:tc>
          <w:tcPr>
            <w:tcW w:w="413" w:type="pct"/>
          </w:tcPr>
          <w:p w14:paraId="76733422" w14:textId="77777777" w:rsidR="00860F6B" w:rsidRDefault="00860F6B" w:rsidP="00434728">
            <w:pPr>
              <w:pStyle w:val="aDSPara"/>
              <w:spacing w:before="60" w:after="60"/>
              <w:ind w:left="0"/>
              <w:jc w:val="center"/>
              <w:rPr>
                <w:sz w:val="20"/>
                <w:szCs w:val="20"/>
              </w:rPr>
            </w:pPr>
            <w:r>
              <w:rPr>
                <w:sz w:val="20"/>
                <w:szCs w:val="20"/>
              </w:rPr>
              <w:t>3</w:t>
            </w:r>
          </w:p>
        </w:tc>
        <w:tc>
          <w:tcPr>
            <w:tcW w:w="4075" w:type="pct"/>
          </w:tcPr>
          <w:p w14:paraId="3CA3F210" w14:textId="0733D446" w:rsidR="00860F6B" w:rsidRPr="00DA5F33" w:rsidRDefault="00DF5CEE" w:rsidP="00860F6B">
            <w:pPr>
              <w:pStyle w:val="aDSPara"/>
              <w:spacing w:before="60" w:after="60"/>
              <w:ind w:left="0"/>
              <w:rPr>
                <w:rFonts w:cs="Arial"/>
                <w:color w:val="000000"/>
                <w:sz w:val="20"/>
                <w:szCs w:val="20"/>
                <w:lang w:val="en-ZA"/>
              </w:rPr>
            </w:pPr>
            <w:r w:rsidRPr="00B13225">
              <w:rPr>
                <w:sz w:val="20"/>
                <w:lang w:val="en-ZA"/>
              </w:rPr>
              <w:t xml:space="preserve">Bidder to submit proof of current </w:t>
            </w:r>
            <w:proofErr w:type="spellStart"/>
            <w:r w:rsidRPr="00B13225">
              <w:rPr>
                <w:sz w:val="20"/>
                <w:lang w:val="en-ZA"/>
              </w:rPr>
              <w:t>SentinelOne</w:t>
            </w:r>
            <w:proofErr w:type="spellEnd"/>
            <w:r w:rsidRPr="00B13225">
              <w:rPr>
                <w:sz w:val="20"/>
                <w:lang w:val="en-ZA"/>
              </w:rPr>
              <w:t xml:space="preserve"> partner status Partner tier level (Managed, Sell, Deliver)</w:t>
            </w:r>
          </w:p>
        </w:tc>
        <w:tc>
          <w:tcPr>
            <w:tcW w:w="512" w:type="pct"/>
          </w:tcPr>
          <w:p w14:paraId="788A376F" w14:textId="77777777" w:rsidR="00860F6B" w:rsidRPr="00DA5F33" w:rsidRDefault="00860F6B" w:rsidP="00813A84">
            <w:pPr>
              <w:pStyle w:val="aDSPara"/>
              <w:spacing w:before="60" w:after="60"/>
              <w:ind w:left="0"/>
              <w:jc w:val="left"/>
              <w:rPr>
                <w:sz w:val="20"/>
                <w:szCs w:val="20"/>
                <w:lang w:val="en-ZA"/>
              </w:rPr>
            </w:pPr>
          </w:p>
        </w:tc>
      </w:tr>
      <w:tr w:rsidR="00DA5F33" w:rsidRPr="00526ADF" w14:paraId="10126428" w14:textId="77777777" w:rsidTr="00EB0405">
        <w:trPr>
          <w:trHeight w:val="291"/>
        </w:trPr>
        <w:tc>
          <w:tcPr>
            <w:tcW w:w="413" w:type="pct"/>
          </w:tcPr>
          <w:p w14:paraId="51CD7097" w14:textId="70FDA567" w:rsidR="00DA5F33" w:rsidRDefault="00491F97" w:rsidP="00434728">
            <w:pPr>
              <w:pStyle w:val="aDSPara"/>
              <w:spacing w:before="60" w:after="60"/>
              <w:ind w:left="0"/>
              <w:jc w:val="center"/>
              <w:rPr>
                <w:sz w:val="20"/>
                <w:szCs w:val="20"/>
              </w:rPr>
            </w:pPr>
            <w:r>
              <w:rPr>
                <w:sz w:val="20"/>
                <w:szCs w:val="20"/>
              </w:rPr>
              <w:t>3</w:t>
            </w:r>
          </w:p>
        </w:tc>
        <w:tc>
          <w:tcPr>
            <w:tcW w:w="4075" w:type="pct"/>
          </w:tcPr>
          <w:p w14:paraId="5165375B" w14:textId="0840ED80" w:rsidR="00DA5F33" w:rsidRPr="00DA5F33" w:rsidRDefault="00DF5CEE" w:rsidP="00860F6B">
            <w:pPr>
              <w:pStyle w:val="aDSPara"/>
              <w:spacing w:before="60" w:after="60"/>
              <w:ind w:left="0"/>
              <w:rPr>
                <w:rFonts w:cs="Arial"/>
                <w:color w:val="000000"/>
                <w:sz w:val="20"/>
                <w:szCs w:val="20"/>
                <w:lang w:val="en-ZA"/>
              </w:rPr>
            </w:pPr>
            <w:r w:rsidRPr="00B13225">
              <w:rPr>
                <w:sz w:val="20"/>
                <w:lang w:val="en-ZA"/>
              </w:rPr>
              <w:t>Bidder to submit ISO 27001 Certificate or equivalent certificate.</w:t>
            </w:r>
          </w:p>
        </w:tc>
        <w:tc>
          <w:tcPr>
            <w:tcW w:w="512" w:type="pct"/>
          </w:tcPr>
          <w:p w14:paraId="33098A7B" w14:textId="77777777" w:rsidR="00DA5F33" w:rsidRPr="00DA5F33" w:rsidRDefault="00DA5F33" w:rsidP="00813A84">
            <w:pPr>
              <w:pStyle w:val="aDSPara"/>
              <w:spacing w:before="60" w:after="60"/>
              <w:ind w:left="0"/>
              <w:jc w:val="left"/>
              <w:rPr>
                <w:sz w:val="20"/>
                <w:szCs w:val="20"/>
                <w:lang w:val="en-ZA"/>
              </w:rPr>
            </w:pPr>
          </w:p>
        </w:tc>
      </w:tr>
      <w:tr w:rsidR="006E6BE0" w:rsidRPr="00526ADF" w14:paraId="6EAF3989" w14:textId="77777777" w:rsidTr="00EB0405">
        <w:trPr>
          <w:trHeight w:val="291"/>
        </w:trPr>
        <w:tc>
          <w:tcPr>
            <w:tcW w:w="413" w:type="pct"/>
          </w:tcPr>
          <w:p w14:paraId="33FCB792" w14:textId="4268FFD1" w:rsidR="006E6BE0" w:rsidRDefault="00491F97" w:rsidP="00434728">
            <w:pPr>
              <w:pStyle w:val="aDSPara"/>
              <w:spacing w:before="60" w:after="60"/>
              <w:ind w:left="0"/>
              <w:jc w:val="center"/>
              <w:rPr>
                <w:sz w:val="20"/>
                <w:szCs w:val="20"/>
              </w:rPr>
            </w:pPr>
            <w:r>
              <w:rPr>
                <w:sz w:val="20"/>
                <w:szCs w:val="20"/>
              </w:rPr>
              <w:t>4</w:t>
            </w:r>
          </w:p>
        </w:tc>
        <w:tc>
          <w:tcPr>
            <w:tcW w:w="4075" w:type="pct"/>
          </w:tcPr>
          <w:p w14:paraId="011B2B05" w14:textId="17B544BA" w:rsidR="006E6BE0" w:rsidRPr="00DA5F33" w:rsidRDefault="006E6BE0" w:rsidP="00860F6B">
            <w:pPr>
              <w:pStyle w:val="aDSPara"/>
              <w:spacing w:before="60" w:after="60"/>
              <w:ind w:left="0"/>
              <w:rPr>
                <w:rFonts w:cs="Arial"/>
                <w:color w:val="000000"/>
                <w:sz w:val="20"/>
                <w:szCs w:val="20"/>
                <w:lang w:val="en-ZA"/>
              </w:rPr>
            </w:pPr>
            <w:r w:rsidRPr="00DA5F33">
              <w:rPr>
                <w:rFonts w:cs="Arial"/>
                <w:color w:val="000000"/>
                <w:sz w:val="20"/>
                <w:szCs w:val="20"/>
                <w:lang w:val="en-ZA"/>
              </w:rPr>
              <w:t>Bidder to complete and</w:t>
            </w:r>
            <w:r w:rsidRPr="00DA5F33">
              <w:rPr>
                <w:sz w:val="20"/>
                <w:szCs w:val="20"/>
                <w:lang w:val="en-ZA"/>
              </w:rPr>
              <w:t xml:space="preserve"> sign the supplied pro forma document named POPIA document number FIN-SCM-AGR-0002</w:t>
            </w:r>
          </w:p>
        </w:tc>
        <w:tc>
          <w:tcPr>
            <w:tcW w:w="512" w:type="pct"/>
          </w:tcPr>
          <w:p w14:paraId="0A4E08AB" w14:textId="77777777" w:rsidR="006E6BE0" w:rsidRPr="00DA5F33" w:rsidRDefault="006E6BE0" w:rsidP="00813A84">
            <w:pPr>
              <w:pStyle w:val="aDSPara"/>
              <w:spacing w:before="60" w:after="60"/>
              <w:ind w:left="0"/>
              <w:jc w:val="left"/>
              <w:rPr>
                <w:sz w:val="20"/>
                <w:szCs w:val="20"/>
                <w:lang w:val="en-ZA"/>
              </w:rPr>
            </w:pPr>
          </w:p>
        </w:tc>
      </w:tr>
      <w:tr w:rsidR="001C131D" w:rsidRPr="00526ADF" w14:paraId="1767B4B7" w14:textId="77777777" w:rsidTr="00EB0405">
        <w:trPr>
          <w:trHeight w:val="291"/>
        </w:trPr>
        <w:tc>
          <w:tcPr>
            <w:tcW w:w="413" w:type="pct"/>
          </w:tcPr>
          <w:p w14:paraId="4DEE79F8" w14:textId="522A842B" w:rsidR="001C131D" w:rsidRDefault="00B80BE4" w:rsidP="00434728">
            <w:pPr>
              <w:pStyle w:val="aDSPara"/>
              <w:spacing w:before="60" w:after="60"/>
              <w:ind w:left="0"/>
              <w:jc w:val="center"/>
              <w:rPr>
                <w:sz w:val="20"/>
                <w:szCs w:val="20"/>
              </w:rPr>
            </w:pPr>
            <w:r>
              <w:rPr>
                <w:sz w:val="20"/>
                <w:szCs w:val="20"/>
              </w:rPr>
              <w:t>5</w:t>
            </w:r>
          </w:p>
        </w:tc>
        <w:tc>
          <w:tcPr>
            <w:tcW w:w="4075" w:type="pct"/>
          </w:tcPr>
          <w:p w14:paraId="50C9F2A3" w14:textId="1D329E0E" w:rsidR="001C131D" w:rsidRPr="00DA5F33" w:rsidRDefault="006A23BD" w:rsidP="00860F6B">
            <w:pPr>
              <w:pStyle w:val="aDSPara"/>
              <w:spacing w:before="60" w:after="60"/>
              <w:ind w:left="0"/>
              <w:rPr>
                <w:rFonts w:cs="Arial"/>
                <w:color w:val="000000"/>
                <w:sz w:val="20"/>
                <w:szCs w:val="20"/>
                <w:lang w:val="en-ZA"/>
              </w:rPr>
            </w:pPr>
            <w:r w:rsidRPr="006A23BD">
              <w:rPr>
                <w:rFonts w:cs="Arial"/>
                <w:color w:val="000000"/>
                <w:sz w:val="20"/>
                <w:szCs w:val="20"/>
                <w:lang w:val="en-ZA"/>
              </w:rPr>
              <w:t xml:space="preserve"> Bidder to submit valid letter of good standing (</w:t>
            </w:r>
            <w:r w:rsidR="00B80BE4" w:rsidRPr="006A23BD">
              <w:rPr>
                <w:rFonts w:cs="Arial"/>
                <w:color w:val="000000"/>
                <w:sz w:val="20"/>
                <w:szCs w:val="20"/>
                <w:lang w:val="en-ZA"/>
              </w:rPr>
              <w:t>COIDA</w:t>
            </w:r>
            <w:r w:rsidRPr="006A23BD">
              <w:rPr>
                <w:rFonts w:cs="Arial"/>
                <w:color w:val="000000"/>
                <w:sz w:val="20"/>
                <w:szCs w:val="20"/>
                <w:lang w:val="en-ZA"/>
              </w:rPr>
              <w:t>)</w:t>
            </w:r>
          </w:p>
        </w:tc>
        <w:tc>
          <w:tcPr>
            <w:tcW w:w="512" w:type="pct"/>
          </w:tcPr>
          <w:p w14:paraId="6E6E455B" w14:textId="77777777" w:rsidR="001C131D" w:rsidRPr="00DA5F33" w:rsidRDefault="001C131D" w:rsidP="00813A84">
            <w:pPr>
              <w:pStyle w:val="aDSPara"/>
              <w:spacing w:before="60" w:after="60"/>
              <w:ind w:left="0"/>
              <w:jc w:val="left"/>
              <w:rPr>
                <w:sz w:val="20"/>
                <w:szCs w:val="20"/>
                <w:lang w:val="en-ZA"/>
              </w:rPr>
            </w:pPr>
          </w:p>
        </w:tc>
      </w:tr>
    </w:tbl>
    <w:p w14:paraId="1444A808" w14:textId="77777777" w:rsidR="006E040B" w:rsidRDefault="006E040B" w:rsidP="00B55DBA">
      <w:pPr>
        <w:pStyle w:val="Index3"/>
        <w:numPr>
          <w:ilvl w:val="2"/>
          <w:numId w:val="17"/>
        </w:numPr>
      </w:pPr>
      <w:bookmarkStart w:id="26" w:name="_Toc187404193"/>
      <w:r w:rsidRPr="00A00833">
        <w:t>Technical / Functional Evaluation Criteria</w:t>
      </w:r>
      <w:bookmarkEnd w:id="26"/>
    </w:p>
    <w:tbl>
      <w:tblPr>
        <w:tblW w:w="49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3446"/>
        <w:gridCol w:w="885"/>
        <w:gridCol w:w="857"/>
        <w:gridCol w:w="3438"/>
      </w:tblGrid>
      <w:tr w:rsidR="00492E44" w:rsidRPr="005E71C3" w14:paraId="7D1189B5" w14:textId="77777777" w:rsidTr="004B5F9A">
        <w:trPr>
          <w:cantSplit/>
          <w:trHeight w:val="535"/>
          <w:tblHeader/>
        </w:trPr>
        <w:tc>
          <w:tcPr>
            <w:tcW w:w="409" w:type="pct"/>
            <w:shd w:val="clear" w:color="auto" w:fill="ECE8D3"/>
          </w:tcPr>
          <w:p w14:paraId="28EEE8EA"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Item</w:t>
            </w:r>
          </w:p>
        </w:tc>
        <w:tc>
          <w:tcPr>
            <w:tcW w:w="1834" w:type="pct"/>
            <w:shd w:val="clear" w:color="auto" w:fill="ECE8D3"/>
          </w:tcPr>
          <w:p w14:paraId="706A20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Requirement</w:t>
            </w:r>
          </w:p>
        </w:tc>
        <w:tc>
          <w:tcPr>
            <w:tcW w:w="471" w:type="pct"/>
            <w:shd w:val="clear" w:color="auto" w:fill="ECE8D3"/>
          </w:tcPr>
          <w:p w14:paraId="3275DFCD"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Weight</w:t>
            </w:r>
          </w:p>
        </w:tc>
        <w:tc>
          <w:tcPr>
            <w:tcW w:w="456" w:type="pct"/>
            <w:shd w:val="clear" w:color="auto" w:fill="ECE8D3"/>
          </w:tcPr>
          <w:p w14:paraId="6F1794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Points</w:t>
            </w:r>
          </w:p>
        </w:tc>
        <w:tc>
          <w:tcPr>
            <w:tcW w:w="1830" w:type="pct"/>
            <w:shd w:val="clear" w:color="auto" w:fill="ECE8D3"/>
          </w:tcPr>
          <w:p w14:paraId="76B0F0C4"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Criteria</w:t>
            </w:r>
          </w:p>
        </w:tc>
      </w:tr>
      <w:tr w:rsidR="001B670E" w:rsidRPr="005E71C3" w14:paraId="64D0C924" w14:textId="0222A850" w:rsidTr="001B670E">
        <w:trPr>
          <w:cantSplit/>
          <w:trHeight w:val="1273"/>
        </w:trPr>
        <w:tc>
          <w:tcPr>
            <w:tcW w:w="409" w:type="pct"/>
            <w:vMerge w:val="restart"/>
          </w:tcPr>
          <w:p w14:paraId="24DCE45C" w14:textId="77777777" w:rsidR="001B670E" w:rsidRPr="005E71C3" w:rsidRDefault="001B670E" w:rsidP="0098279B">
            <w:pPr>
              <w:pStyle w:val="aDSPara"/>
              <w:spacing w:before="60" w:after="60"/>
              <w:ind w:left="0"/>
              <w:jc w:val="center"/>
              <w:rPr>
                <w:rFonts w:eastAsia="MS Mincho" w:cs="Arial"/>
                <w:sz w:val="20"/>
                <w:szCs w:val="20"/>
                <w:highlight w:val="yellow"/>
              </w:rPr>
            </w:pPr>
            <w:r w:rsidRPr="005E71C3">
              <w:rPr>
                <w:rFonts w:cs="Arial"/>
                <w:sz w:val="20"/>
                <w:szCs w:val="20"/>
              </w:rPr>
              <w:t>1</w:t>
            </w:r>
          </w:p>
        </w:tc>
        <w:tc>
          <w:tcPr>
            <w:tcW w:w="1834" w:type="pct"/>
            <w:vMerge w:val="restart"/>
          </w:tcPr>
          <w:p w14:paraId="2D525517" w14:textId="08493421" w:rsidR="001B670E" w:rsidRDefault="001B670E" w:rsidP="0098279B">
            <w:pPr>
              <w:pStyle w:val="aDSPara"/>
              <w:spacing w:before="60" w:after="60"/>
              <w:ind w:left="0"/>
              <w:jc w:val="left"/>
              <w:rPr>
                <w:rFonts w:cs="Arial"/>
                <w:b/>
                <w:sz w:val="20"/>
                <w:szCs w:val="20"/>
                <w:lang w:val="en-ZA"/>
              </w:rPr>
            </w:pPr>
            <w:r>
              <w:rPr>
                <w:rFonts w:cs="Arial"/>
                <w:b/>
                <w:sz w:val="20"/>
                <w:szCs w:val="20"/>
                <w:lang w:val="en-ZA"/>
              </w:rPr>
              <w:t xml:space="preserve">Proof of minimum 5 years in Cybersecurity Business. </w:t>
            </w:r>
          </w:p>
          <w:p w14:paraId="2F3E6686" w14:textId="77777777" w:rsidR="001B670E" w:rsidRDefault="001B670E" w:rsidP="00D647BA">
            <w:pPr>
              <w:widowControl/>
              <w:spacing w:before="0" w:after="0" w:line="300" w:lineRule="atLeast"/>
              <w:outlineLvl w:val="9"/>
              <w:rPr>
                <w:rFonts w:ascii="Segoe UI" w:hAnsi="Segoe UI" w:cs="Segoe UI"/>
                <w:iCs w:val="0"/>
                <w:sz w:val="21"/>
                <w:szCs w:val="21"/>
                <w:lang w:val="en-ZA"/>
              </w:rPr>
            </w:pPr>
            <w:r w:rsidRPr="00D647BA">
              <w:rPr>
                <w:rFonts w:ascii="Segoe UI" w:hAnsi="Segoe UI" w:cs="Segoe UI"/>
                <w:iCs w:val="0"/>
                <w:sz w:val="21"/>
                <w:szCs w:val="21"/>
                <w:lang w:val="en-ZA"/>
              </w:rPr>
              <w:t xml:space="preserve">Bidders must provide documentary evidence </w:t>
            </w:r>
            <w:r w:rsidRPr="00D647BA">
              <w:rPr>
                <w:rFonts w:ascii="Segoe UI" w:hAnsi="Segoe UI" w:cs="Segoe UI"/>
                <w:iCs w:val="0"/>
                <w:sz w:val="21"/>
                <w:szCs w:val="21"/>
                <w:lang w:val="en-ZA"/>
              </w:rPr>
              <w:lastRenderedPageBreak/>
              <w:t>demonstrating that they have been actively operating in the cybersecurity sector for at least five (5) consecutive years</w:t>
            </w:r>
            <w:r>
              <w:rPr>
                <w:rFonts w:ascii="Segoe UI" w:hAnsi="Segoe UI" w:cs="Segoe UI"/>
                <w:iCs w:val="0"/>
                <w:sz w:val="21"/>
                <w:szCs w:val="21"/>
                <w:lang w:val="en-ZA"/>
              </w:rPr>
              <w:t xml:space="preserve">. </w:t>
            </w:r>
          </w:p>
          <w:p w14:paraId="22CB3868" w14:textId="77777777" w:rsidR="001B670E" w:rsidRPr="001B670E" w:rsidRDefault="001B670E" w:rsidP="001B670E">
            <w:pPr>
              <w:widowControl/>
              <w:spacing w:before="0" w:after="0" w:line="300" w:lineRule="atLeast"/>
              <w:outlineLvl w:val="9"/>
              <w:rPr>
                <w:rFonts w:ascii="Segoe UI" w:hAnsi="Segoe UI" w:cs="Segoe UI"/>
                <w:iCs w:val="0"/>
                <w:sz w:val="21"/>
                <w:szCs w:val="21"/>
                <w:lang w:val="en-ZA"/>
              </w:rPr>
            </w:pPr>
            <w:r w:rsidRPr="001B670E">
              <w:rPr>
                <w:rFonts w:ascii="Segoe UI" w:hAnsi="Segoe UI" w:cs="Segoe UI"/>
                <w:b/>
                <w:bCs/>
                <w:iCs w:val="0"/>
                <w:sz w:val="21"/>
                <w:szCs w:val="21"/>
                <w:lang w:val="en-ZA"/>
              </w:rPr>
              <w:t>Bidders must also submit a concise business profile clearly showing their cybersecurity experience</w:t>
            </w:r>
            <w:r w:rsidRPr="001B670E">
              <w:rPr>
                <w:rFonts w:ascii="Segoe UI" w:hAnsi="Segoe UI" w:cs="Segoe UI"/>
                <w:iCs w:val="0"/>
                <w:sz w:val="21"/>
                <w:szCs w:val="21"/>
                <w:lang w:val="en-ZA"/>
              </w:rPr>
              <w:t>, including:</w:t>
            </w:r>
          </w:p>
          <w:p w14:paraId="693FB676" w14:textId="77777777" w:rsidR="001B670E" w:rsidRPr="001B670E" w:rsidRDefault="001B670E" w:rsidP="001B670E">
            <w:pPr>
              <w:widowControl/>
              <w:numPr>
                <w:ilvl w:val="0"/>
                <w:numId w:val="46"/>
              </w:numPr>
              <w:spacing w:before="0" w:after="0" w:line="300" w:lineRule="atLeast"/>
              <w:outlineLvl w:val="9"/>
              <w:rPr>
                <w:rFonts w:ascii="Segoe UI" w:hAnsi="Segoe UI" w:cs="Segoe UI"/>
                <w:iCs w:val="0"/>
                <w:sz w:val="21"/>
                <w:szCs w:val="21"/>
                <w:lang w:val="en-ZA"/>
              </w:rPr>
            </w:pPr>
            <w:r w:rsidRPr="001B670E">
              <w:rPr>
                <w:rFonts w:ascii="Segoe UI" w:hAnsi="Segoe UI" w:cs="Segoe UI"/>
                <w:iCs w:val="0"/>
                <w:sz w:val="21"/>
                <w:szCs w:val="21"/>
                <w:lang w:val="en-ZA"/>
              </w:rPr>
              <w:t>Company background</w:t>
            </w:r>
          </w:p>
          <w:p w14:paraId="4C47AE0C" w14:textId="77777777" w:rsidR="001B670E" w:rsidRPr="001B670E" w:rsidRDefault="001B670E" w:rsidP="001B670E">
            <w:pPr>
              <w:widowControl/>
              <w:numPr>
                <w:ilvl w:val="0"/>
                <w:numId w:val="46"/>
              </w:numPr>
              <w:spacing w:before="0" w:after="0" w:line="300" w:lineRule="atLeast"/>
              <w:outlineLvl w:val="9"/>
              <w:rPr>
                <w:rFonts w:ascii="Segoe UI" w:hAnsi="Segoe UI" w:cs="Segoe UI"/>
                <w:iCs w:val="0"/>
                <w:sz w:val="21"/>
                <w:szCs w:val="21"/>
                <w:lang w:val="en-ZA"/>
              </w:rPr>
            </w:pPr>
            <w:r w:rsidRPr="001B670E">
              <w:rPr>
                <w:rFonts w:ascii="Segoe UI" w:hAnsi="Segoe UI" w:cs="Segoe UI"/>
                <w:iCs w:val="0"/>
                <w:sz w:val="21"/>
                <w:szCs w:val="21"/>
                <w:lang w:val="en-ZA"/>
              </w:rPr>
              <w:t>Core cybersecurity services</w:t>
            </w:r>
          </w:p>
          <w:p w14:paraId="05E7C2FD" w14:textId="3CA3288C" w:rsidR="001B670E" w:rsidRPr="001B670E" w:rsidRDefault="001B670E" w:rsidP="001B670E">
            <w:pPr>
              <w:widowControl/>
              <w:numPr>
                <w:ilvl w:val="0"/>
                <w:numId w:val="46"/>
              </w:numPr>
              <w:spacing w:before="0" w:after="0" w:line="300" w:lineRule="atLeast"/>
              <w:outlineLvl w:val="9"/>
              <w:rPr>
                <w:rFonts w:ascii="Segoe UI" w:hAnsi="Segoe UI" w:cs="Segoe UI"/>
                <w:i/>
                <w:sz w:val="21"/>
                <w:szCs w:val="21"/>
                <w:lang w:val="en-ZA"/>
              </w:rPr>
            </w:pPr>
            <w:r w:rsidRPr="001B670E">
              <w:rPr>
                <w:rFonts w:ascii="Segoe UI" w:hAnsi="Segoe UI" w:cs="Segoe UI"/>
                <w:iCs w:val="0"/>
                <w:sz w:val="21"/>
                <w:szCs w:val="21"/>
                <w:lang w:val="en-ZA"/>
              </w:rPr>
              <w:t>Relevant technical capabilities and expertise</w:t>
            </w:r>
            <w:r w:rsidRPr="00D647BA">
              <w:rPr>
                <w:rFonts w:ascii="Segoe UI" w:hAnsi="Segoe UI" w:cs="Segoe UI"/>
                <w:iCs w:val="0"/>
                <w:sz w:val="21"/>
                <w:szCs w:val="21"/>
                <w:lang w:val="en-ZA"/>
              </w:rPr>
              <w:t xml:space="preserve"> </w:t>
            </w:r>
          </w:p>
        </w:tc>
        <w:tc>
          <w:tcPr>
            <w:tcW w:w="471" w:type="pct"/>
            <w:vMerge w:val="restart"/>
            <w:vAlign w:val="center"/>
          </w:tcPr>
          <w:p w14:paraId="5E75B5EA" w14:textId="2320ECF6" w:rsidR="001B670E" w:rsidRPr="00DA5F33" w:rsidRDefault="001B670E" w:rsidP="00646A6D">
            <w:pPr>
              <w:pStyle w:val="aDSPara"/>
              <w:spacing w:before="60" w:after="60"/>
              <w:ind w:left="0"/>
              <w:rPr>
                <w:rFonts w:eastAsia="MS Mincho" w:cs="Arial"/>
                <w:sz w:val="20"/>
                <w:szCs w:val="20"/>
                <w:lang w:val="en-ZA"/>
              </w:rPr>
            </w:pPr>
            <w:r>
              <w:rPr>
                <w:rFonts w:eastAsia="MS Mincho" w:cs="Arial"/>
                <w:sz w:val="20"/>
                <w:szCs w:val="20"/>
                <w:lang w:val="en-ZA"/>
              </w:rPr>
              <w:lastRenderedPageBreak/>
              <w:t>35</w:t>
            </w:r>
          </w:p>
        </w:tc>
        <w:tc>
          <w:tcPr>
            <w:tcW w:w="456" w:type="pct"/>
            <w:vAlign w:val="center"/>
          </w:tcPr>
          <w:p w14:paraId="57858624" w14:textId="6405BD0C" w:rsidR="001B670E" w:rsidRPr="00DA5F33" w:rsidRDefault="001B670E" w:rsidP="004B5F9A">
            <w:pPr>
              <w:pStyle w:val="aDSPara"/>
              <w:spacing w:before="60" w:after="60"/>
              <w:ind w:left="0"/>
              <w:jc w:val="center"/>
              <w:rPr>
                <w:rFonts w:eastAsia="MS Mincho" w:cs="Arial"/>
                <w:sz w:val="20"/>
                <w:szCs w:val="20"/>
                <w:lang w:val="en-ZA"/>
              </w:rPr>
            </w:pPr>
            <w:r>
              <w:rPr>
                <w:rFonts w:eastAsia="MS Mincho" w:cs="Arial"/>
                <w:sz w:val="20"/>
                <w:szCs w:val="20"/>
                <w:lang w:val="en-ZA"/>
              </w:rPr>
              <w:t>35</w:t>
            </w:r>
          </w:p>
        </w:tc>
        <w:tc>
          <w:tcPr>
            <w:tcW w:w="1830" w:type="pct"/>
            <w:vAlign w:val="center"/>
          </w:tcPr>
          <w:p w14:paraId="069FA6DC" w14:textId="252C6070" w:rsidR="001B670E" w:rsidRPr="00DA5F33" w:rsidRDefault="001B670E" w:rsidP="004B5F9A">
            <w:pPr>
              <w:pStyle w:val="aDSPara"/>
              <w:spacing w:before="60" w:after="60"/>
              <w:ind w:left="0"/>
              <w:jc w:val="center"/>
              <w:rPr>
                <w:rFonts w:eastAsia="MS Mincho" w:cs="Arial"/>
                <w:sz w:val="20"/>
                <w:szCs w:val="20"/>
                <w:lang w:val="en-ZA"/>
              </w:rPr>
            </w:pPr>
            <w:r>
              <w:rPr>
                <w:sz w:val="18"/>
              </w:rPr>
              <w:t>Above 8</w:t>
            </w:r>
            <w:r w:rsidRPr="00984293">
              <w:rPr>
                <w:sz w:val="18"/>
              </w:rPr>
              <w:t xml:space="preserve"> Years</w:t>
            </w:r>
          </w:p>
        </w:tc>
      </w:tr>
      <w:tr w:rsidR="001B670E" w:rsidRPr="005E71C3" w14:paraId="26640CA4" w14:textId="77777777" w:rsidTr="001B670E">
        <w:trPr>
          <w:cantSplit/>
          <w:trHeight w:val="1399"/>
        </w:trPr>
        <w:tc>
          <w:tcPr>
            <w:tcW w:w="409" w:type="pct"/>
            <w:vMerge/>
            <w:tcBorders>
              <w:bottom w:val="single" w:sz="4" w:space="0" w:color="auto"/>
            </w:tcBorders>
          </w:tcPr>
          <w:p w14:paraId="18BE968F" w14:textId="77777777" w:rsidR="001B670E" w:rsidRPr="005E71C3" w:rsidRDefault="001B670E" w:rsidP="0098279B">
            <w:pPr>
              <w:pStyle w:val="aDSPara"/>
              <w:spacing w:before="60" w:after="60"/>
              <w:ind w:left="0"/>
              <w:jc w:val="center"/>
              <w:rPr>
                <w:rFonts w:cs="Arial"/>
                <w:sz w:val="20"/>
                <w:szCs w:val="20"/>
              </w:rPr>
            </w:pPr>
          </w:p>
        </w:tc>
        <w:tc>
          <w:tcPr>
            <w:tcW w:w="1834" w:type="pct"/>
            <w:vMerge/>
            <w:tcBorders>
              <w:bottom w:val="single" w:sz="4" w:space="0" w:color="auto"/>
            </w:tcBorders>
          </w:tcPr>
          <w:p w14:paraId="62A2A006" w14:textId="77777777" w:rsidR="001B670E" w:rsidRDefault="001B670E" w:rsidP="00D647BA">
            <w:pPr>
              <w:spacing w:before="0" w:after="0" w:line="300" w:lineRule="atLeast"/>
              <w:rPr>
                <w:b/>
                <w:sz w:val="20"/>
                <w:szCs w:val="20"/>
                <w:lang w:val="en-ZA"/>
              </w:rPr>
            </w:pPr>
          </w:p>
        </w:tc>
        <w:tc>
          <w:tcPr>
            <w:tcW w:w="471" w:type="pct"/>
            <w:vMerge/>
            <w:tcBorders>
              <w:bottom w:val="single" w:sz="4" w:space="0" w:color="auto"/>
            </w:tcBorders>
            <w:vAlign w:val="center"/>
          </w:tcPr>
          <w:p w14:paraId="13E1E93D" w14:textId="77777777" w:rsidR="001B670E" w:rsidRPr="00DA5F33" w:rsidRDefault="001B670E" w:rsidP="00646A6D">
            <w:pPr>
              <w:pStyle w:val="aDSPara"/>
              <w:spacing w:before="60" w:after="60"/>
              <w:ind w:left="0"/>
              <w:rPr>
                <w:rFonts w:eastAsia="MS Mincho" w:cs="Arial"/>
                <w:sz w:val="20"/>
                <w:szCs w:val="20"/>
                <w:lang w:val="en-ZA"/>
              </w:rPr>
            </w:pPr>
          </w:p>
        </w:tc>
        <w:tc>
          <w:tcPr>
            <w:tcW w:w="456" w:type="pct"/>
            <w:tcBorders>
              <w:bottom w:val="single" w:sz="4" w:space="0" w:color="auto"/>
            </w:tcBorders>
            <w:vAlign w:val="center"/>
          </w:tcPr>
          <w:p w14:paraId="5CBD8194" w14:textId="7512C9C5" w:rsidR="001B670E" w:rsidRPr="00DA5F33" w:rsidRDefault="001B670E" w:rsidP="004B5F9A">
            <w:pPr>
              <w:pStyle w:val="aDSPara"/>
              <w:spacing w:before="60" w:after="60"/>
              <w:ind w:left="0"/>
              <w:jc w:val="center"/>
              <w:rPr>
                <w:rFonts w:eastAsia="MS Mincho" w:cs="Arial"/>
                <w:sz w:val="20"/>
                <w:szCs w:val="20"/>
                <w:lang w:val="en-ZA"/>
              </w:rPr>
            </w:pPr>
            <w:r>
              <w:rPr>
                <w:rFonts w:eastAsia="MS Mincho" w:cs="Arial"/>
                <w:sz w:val="20"/>
                <w:szCs w:val="20"/>
                <w:lang w:val="en-ZA"/>
              </w:rPr>
              <w:t>30</w:t>
            </w:r>
          </w:p>
        </w:tc>
        <w:tc>
          <w:tcPr>
            <w:tcW w:w="1830" w:type="pct"/>
            <w:tcBorders>
              <w:bottom w:val="single" w:sz="4" w:space="0" w:color="auto"/>
            </w:tcBorders>
            <w:vAlign w:val="center"/>
          </w:tcPr>
          <w:p w14:paraId="6D210259" w14:textId="0B376742" w:rsidR="001B670E" w:rsidRPr="00DA5F33" w:rsidRDefault="001B670E" w:rsidP="004B5F9A">
            <w:pPr>
              <w:pStyle w:val="aDSPara"/>
              <w:spacing w:before="60" w:after="60"/>
              <w:ind w:left="0"/>
              <w:jc w:val="center"/>
              <w:rPr>
                <w:rFonts w:eastAsia="MS Mincho" w:cs="Arial"/>
                <w:sz w:val="20"/>
                <w:szCs w:val="20"/>
                <w:lang w:val="en-ZA"/>
              </w:rPr>
            </w:pPr>
            <w:r>
              <w:rPr>
                <w:rFonts w:ascii="Calibri"/>
                <w:iCs/>
                <w:lang w:val="en-GB"/>
              </w:rPr>
              <w:t>5-8</w:t>
            </w:r>
            <w:r w:rsidRPr="001E52DA">
              <w:rPr>
                <w:rFonts w:ascii="Calibri"/>
                <w:iCs/>
                <w:lang w:val="en-GB"/>
              </w:rPr>
              <w:t xml:space="preserve"> years</w:t>
            </w:r>
          </w:p>
        </w:tc>
      </w:tr>
      <w:tr w:rsidR="001B670E" w:rsidRPr="005E71C3" w14:paraId="3D22BEA8" w14:textId="77777777" w:rsidTr="00B815B9">
        <w:trPr>
          <w:cantSplit/>
          <w:trHeight w:val="1128"/>
        </w:trPr>
        <w:tc>
          <w:tcPr>
            <w:tcW w:w="409" w:type="pct"/>
            <w:vMerge/>
          </w:tcPr>
          <w:p w14:paraId="68A76714" w14:textId="77777777" w:rsidR="001B670E" w:rsidRPr="001B670E" w:rsidRDefault="001B670E" w:rsidP="0098279B">
            <w:pPr>
              <w:pStyle w:val="aDSPara"/>
              <w:spacing w:before="60" w:after="60"/>
              <w:ind w:left="0"/>
              <w:jc w:val="center"/>
              <w:rPr>
                <w:rFonts w:cs="Arial"/>
                <w:sz w:val="20"/>
                <w:szCs w:val="20"/>
                <w:lang w:val="en-ZA"/>
              </w:rPr>
            </w:pPr>
          </w:p>
        </w:tc>
        <w:tc>
          <w:tcPr>
            <w:tcW w:w="1834" w:type="pct"/>
            <w:vMerge/>
          </w:tcPr>
          <w:p w14:paraId="792A4EE4" w14:textId="77777777" w:rsidR="001B670E" w:rsidRDefault="001B670E" w:rsidP="0098279B">
            <w:pPr>
              <w:pStyle w:val="aDSPara"/>
              <w:spacing w:before="60" w:after="60"/>
              <w:ind w:left="0"/>
              <w:jc w:val="left"/>
              <w:rPr>
                <w:rFonts w:cs="Arial"/>
                <w:b/>
                <w:sz w:val="20"/>
                <w:szCs w:val="20"/>
                <w:lang w:val="en-ZA"/>
              </w:rPr>
            </w:pPr>
          </w:p>
        </w:tc>
        <w:tc>
          <w:tcPr>
            <w:tcW w:w="471" w:type="pct"/>
            <w:vMerge/>
            <w:vAlign w:val="center"/>
          </w:tcPr>
          <w:p w14:paraId="67217EDB" w14:textId="77777777" w:rsidR="001B670E" w:rsidRPr="00DA5F33" w:rsidRDefault="001B670E" w:rsidP="00646A6D">
            <w:pPr>
              <w:pStyle w:val="aDSPara"/>
              <w:spacing w:before="60" w:after="60"/>
              <w:ind w:left="0"/>
              <w:rPr>
                <w:rFonts w:eastAsia="MS Mincho" w:cs="Arial"/>
                <w:sz w:val="20"/>
                <w:szCs w:val="20"/>
                <w:lang w:val="en-ZA"/>
              </w:rPr>
            </w:pPr>
          </w:p>
        </w:tc>
        <w:tc>
          <w:tcPr>
            <w:tcW w:w="456" w:type="pct"/>
            <w:vAlign w:val="center"/>
          </w:tcPr>
          <w:p w14:paraId="0B0C857B" w14:textId="07D917D6" w:rsidR="001B670E" w:rsidRPr="00DA5F33" w:rsidRDefault="001B670E" w:rsidP="004B5F9A">
            <w:pPr>
              <w:pStyle w:val="aDSPara"/>
              <w:spacing w:before="60" w:after="60"/>
              <w:ind w:left="0"/>
              <w:jc w:val="center"/>
              <w:rPr>
                <w:rFonts w:eastAsia="MS Mincho" w:cs="Arial"/>
                <w:sz w:val="20"/>
                <w:szCs w:val="20"/>
                <w:lang w:val="en-ZA"/>
              </w:rPr>
            </w:pPr>
            <w:r>
              <w:rPr>
                <w:rFonts w:eastAsia="MS Mincho" w:cs="Arial"/>
                <w:sz w:val="20"/>
                <w:szCs w:val="20"/>
                <w:lang w:val="en-ZA"/>
              </w:rPr>
              <w:t>25</w:t>
            </w:r>
          </w:p>
        </w:tc>
        <w:tc>
          <w:tcPr>
            <w:tcW w:w="1830" w:type="pct"/>
            <w:vAlign w:val="center"/>
          </w:tcPr>
          <w:p w14:paraId="7A698510" w14:textId="42C13724" w:rsidR="001B670E" w:rsidRPr="00DA5F33" w:rsidRDefault="001B670E" w:rsidP="004B5F9A">
            <w:pPr>
              <w:pStyle w:val="aDSPara"/>
              <w:spacing w:before="60" w:after="60"/>
              <w:ind w:left="0"/>
              <w:jc w:val="center"/>
              <w:rPr>
                <w:rFonts w:eastAsia="MS Mincho" w:cs="Arial"/>
                <w:sz w:val="20"/>
                <w:szCs w:val="20"/>
                <w:lang w:val="en-ZA"/>
              </w:rPr>
            </w:pPr>
            <w:r>
              <w:rPr>
                <w:rFonts w:ascii="Calibri"/>
                <w:iCs/>
                <w:lang w:val="en-GB"/>
              </w:rPr>
              <w:t xml:space="preserve">3-5 </w:t>
            </w:r>
            <w:r w:rsidRPr="001E52DA">
              <w:rPr>
                <w:rFonts w:ascii="Calibri"/>
                <w:iCs/>
                <w:lang w:val="en-GB"/>
              </w:rPr>
              <w:t>Years</w:t>
            </w:r>
          </w:p>
        </w:tc>
      </w:tr>
      <w:tr w:rsidR="001B670E" w:rsidRPr="005E71C3" w14:paraId="4046859F" w14:textId="77777777" w:rsidTr="001B670E">
        <w:trPr>
          <w:cantSplit/>
          <w:trHeight w:val="70"/>
        </w:trPr>
        <w:tc>
          <w:tcPr>
            <w:tcW w:w="409" w:type="pct"/>
            <w:vMerge/>
          </w:tcPr>
          <w:p w14:paraId="10A28CCA" w14:textId="77777777" w:rsidR="001B670E" w:rsidRPr="005E71C3" w:rsidRDefault="001B670E" w:rsidP="0098279B">
            <w:pPr>
              <w:pStyle w:val="aDSPara"/>
              <w:spacing w:before="60" w:after="60"/>
              <w:ind w:left="0"/>
              <w:jc w:val="center"/>
              <w:rPr>
                <w:rFonts w:cs="Arial"/>
                <w:sz w:val="20"/>
                <w:szCs w:val="20"/>
              </w:rPr>
            </w:pPr>
          </w:p>
        </w:tc>
        <w:tc>
          <w:tcPr>
            <w:tcW w:w="1834" w:type="pct"/>
            <w:vMerge/>
          </w:tcPr>
          <w:p w14:paraId="46FFCDD1" w14:textId="77777777" w:rsidR="001B670E" w:rsidRDefault="001B670E" w:rsidP="0098279B">
            <w:pPr>
              <w:pStyle w:val="aDSPara"/>
              <w:spacing w:before="60" w:after="60"/>
              <w:ind w:left="0"/>
              <w:jc w:val="left"/>
              <w:rPr>
                <w:rFonts w:cs="Arial"/>
                <w:b/>
                <w:sz w:val="20"/>
                <w:szCs w:val="20"/>
                <w:lang w:val="en-ZA"/>
              </w:rPr>
            </w:pPr>
          </w:p>
        </w:tc>
        <w:tc>
          <w:tcPr>
            <w:tcW w:w="471" w:type="pct"/>
            <w:vMerge/>
            <w:vAlign w:val="center"/>
          </w:tcPr>
          <w:p w14:paraId="5E8799C0" w14:textId="77777777" w:rsidR="001B670E" w:rsidRPr="00DA5F33" w:rsidRDefault="001B670E" w:rsidP="00646A6D">
            <w:pPr>
              <w:pStyle w:val="aDSPara"/>
              <w:spacing w:before="60" w:after="60"/>
              <w:ind w:left="0"/>
              <w:rPr>
                <w:rFonts w:eastAsia="MS Mincho" w:cs="Arial"/>
                <w:sz w:val="20"/>
                <w:szCs w:val="20"/>
                <w:lang w:val="en-ZA"/>
              </w:rPr>
            </w:pPr>
          </w:p>
        </w:tc>
        <w:tc>
          <w:tcPr>
            <w:tcW w:w="456" w:type="pct"/>
            <w:vAlign w:val="center"/>
          </w:tcPr>
          <w:p w14:paraId="132237E4" w14:textId="4FD47E6E" w:rsidR="001B670E" w:rsidRPr="00DA5F33" w:rsidRDefault="001B670E" w:rsidP="004B5F9A">
            <w:pPr>
              <w:pStyle w:val="aDSPara"/>
              <w:spacing w:before="60" w:after="60"/>
              <w:ind w:left="0"/>
              <w:jc w:val="center"/>
              <w:rPr>
                <w:rFonts w:eastAsia="MS Mincho" w:cs="Arial"/>
                <w:sz w:val="20"/>
                <w:szCs w:val="20"/>
                <w:lang w:val="en-ZA"/>
              </w:rPr>
            </w:pPr>
            <w:r>
              <w:rPr>
                <w:rFonts w:eastAsia="MS Mincho" w:cs="Arial"/>
                <w:sz w:val="20"/>
                <w:szCs w:val="20"/>
                <w:lang w:val="en-ZA"/>
              </w:rPr>
              <w:t>15</w:t>
            </w:r>
          </w:p>
        </w:tc>
        <w:tc>
          <w:tcPr>
            <w:tcW w:w="1830" w:type="pct"/>
            <w:vAlign w:val="center"/>
          </w:tcPr>
          <w:p w14:paraId="22C6D0D7" w14:textId="62CA6F47" w:rsidR="001B670E" w:rsidRPr="00DA5F33" w:rsidRDefault="001B670E" w:rsidP="004B5F9A">
            <w:pPr>
              <w:pStyle w:val="aDSPara"/>
              <w:spacing w:before="60" w:after="60"/>
              <w:ind w:left="0"/>
              <w:jc w:val="center"/>
              <w:rPr>
                <w:rFonts w:eastAsia="MS Mincho" w:cs="Arial"/>
                <w:sz w:val="20"/>
                <w:szCs w:val="20"/>
                <w:lang w:val="en-ZA"/>
              </w:rPr>
            </w:pPr>
            <w:r>
              <w:rPr>
                <w:rFonts w:ascii="Calibri"/>
                <w:iCs/>
                <w:lang w:val="en-GB"/>
              </w:rPr>
              <w:t>Less than 3 years</w:t>
            </w:r>
          </w:p>
        </w:tc>
      </w:tr>
      <w:tr w:rsidR="004B5F9A" w:rsidRPr="005E71C3" w14:paraId="2D81075C" w14:textId="3D005123" w:rsidTr="004B5F9A">
        <w:trPr>
          <w:cantSplit/>
          <w:trHeight w:val="1290"/>
        </w:trPr>
        <w:tc>
          <w:tcPr>
            <w:tcW w:w="409" w:type="pct"/>
            <w:vMerge w:val="restart"/>
          </w:tcPr>
          <w:p w14:paraId="621E054D" w14:textId="29EEE4CE" w:rsidR="004B5F9A" w:rsidRPr="005E71C3" w:rsidRDefault="004B5F9A" w:rsidP="00646A6D">
            <w:pPr>
              <w:pStyle w:val="aDSPara"/>
              <w:spacing w:before="60" w:after="60"/>
              <w:ind w:left="0"/>
              <w:jc w:val="center"/>
              <w:rPr>
                <w:rFonts w:eastAsia="MS Mincho" w:cs="Arial"/>
                <w:sz w:val="20"/>
                <w:szCs w:val="20"/>
              </w:rPr>
            </w:pPr>
            <w:r>
              <w:rPr>
                <w:rFonts w:eastAsia="MS Mincho" w:cs="Arial"/>
                <w:sz w:val="20"/>
                <w:szCs w:val="20"/>
              </w:rPr>
              <w:t>2</w:t>
            </w:r>
          </w:p>
        </w:tc>
        <w:tc>
          <w:tcPr>
            <w:tcW w:w="1834" w:type="pct"/>
            <w:vMerge w:val="restart"/>
          </w:tcPr>
          <w:p w14:paraId="21E5DD97" w14:textId="44410159" w:rsidR="004B5F9A" w:rsidRDefault="004B5F9A" w:rsidP="00B33F5E">
            <w:pPr>
              <w:widowControl/>
              <w:spacing w:before="0" w:after="0" w:line="300" w:lineRule="atLeast"/>
              <w:outlineLvl w:val="9"/>
              <w:rPr>
                <w:rFonts w:ascii="Segoe UI" w:hAnsi="Segoe UI" w:cs="Segoe UI"/>
                <w:b/>
                <w:bCs/>
                <w:iCs w:val="0"/>
                <w:sz w:val="21"/>
                <w:szCs w:val="21"/>
                <w:lang w:val="en-ZA"/>
              </w:rPr>
            </w:pPr>
            <w:r w:rsidRPr="00B33F5E">
              <w:rPr>
                <w:rFonts w:ascii="Segoe UI" w:hAnsi="Segoe UI" w:cs="Segoe UI"/>
                <w:b/>
                <w:bCs/>
                <w:iCs w:val="0"/>
                <w:sz w:val="21"/>
                <w:szCs w:val="21"/>
                <w:lang w:val="en-ZA"/>
              </w:rPr>
              <w:t>Relevant Experience:</w:t>
            </w:r>
            <w:r>
              <w:rPr>
                <w:rFonts w:ascii="Segoe UI" w:hAnsi="Segoe UI" w:cs="Segoe UI"/>
                <w:b/>
                <w:bCs/>
                <w:iCs w:val="0"/>
                <w:sz w:val="21"/>
                <w:szCs w:val="21"/>
                <w:lang w:val="en-ZA"/>
              </w:rPr>
              <w:t xml:space="preserve"> </w:t>
            </w:r>
            <w:r w:rsidRPr="00B33F5E">
              <w:rPr>
                <w:rFonts w:ascii="Segoe UI" w:hAnsi="Segoe UI" w:cs="Segoe UI"/>
                <w:b/>
                <w:bCs/>
                <w:iCs w:val="0"/>
                <w:sz w:val="21"/>
                <w:szCs w:val="21"/>
                <w:lang w:val="en-ZA"/>
              </w:rPr>
              <w:t>Similar Large-Scale Deployments</w:t>
            </w:r>
            <w:r>
              <w:rPr>
                <w:rFonts w:ascii="Segoe UI" w:hAnsi="Segoe UI" w:cs="Segoe UI"/>
                <w:b/>
                <w:bCs/>
                <w:iCs w:val="0"/>
                <w:sz w:val="21"/>
                <w:szCs w:val="21"/>
                <w:lang w:val="en-ZA"/>
              </w:rPr>
              <w:t xml:space="preserve">. </w:t>
            </w:r>
          </w:p>
          <w:p w14:paraId="3D5F167C" w14:textId="77777777" w:rsidR="004B5F9A" w:rsidRDefault="004B5F9A" w:rsidP="00B33F5E">
            <w:pPr>
              <w:widowControl/>
              <w:spacing w:before="0" w:after="0" w:line="300" w:lineRule="atLeast"/>
              <w:outlineLvl w:val="9"/>
              <w:rPr>
                <w:rFonts w:ascii="Segoe UI" w:hAnsi="Segoe UI" w:cs="Segoe UI"/>
                <w:b/>
                <w:bCs/>
                <w:iCs w:val="0"/>
                <w:sz w:val="21"/>
                <w:szCs w:val="21"/>
                <w:lang w:val="en-ZA"/>
              </w:rPr>
            </w:pPr>
          </w:p>
          <w:p w14:paraId="5663B855" w14:textId="08C719BF" w:rsidR="00B815B9" w:rsidRPr="00B815B9" w:rsidRDefault="00B815B9" w:rsidP="00B815B9">
            <w:pPr>
              <w:widowControl/>
              <w:spacing w:before="0" w:after="0" w:line="300" w:lineRule="atLeast"/>
              <w:outlineLvl w:val="9"/>
              <w:rPr>
                <w:rFonts w:ascii="Segoe UI" w:hAnsi="Segoe UI" w:cs="Segoe UI"/>
                <w:iCs w:val="0"/>
                <w:sz w:val="21"/>
                <w:szCs w:val="21"/>
                <w:lang w:val="en-ZA"/>
              </w:rPr>
            </w:pPr>
            <w:r w:rsidRPr="00B815B9">
              <w:rPr>
                <w:rFonts w:ascii="Segoe UI" w:hAnsi="Segoe UI" w:cs="Segoe UI"/>
                <w:iCs w:val="0"/>
                <w:sz w:val="21"/>
                <w:szCs w:val="21"/>
                <w:lang w:val="en-ZA"/>
              </w:rPr>
              <w:t xml:space="preserve">Bidders must provide proof </w:t>
            </w:r>
            <w:proofErr w:type="gramStart"/>
            <w:r w:rsidR="00671979">
              <w:rPr>
                <w:rFonts w:ascii="Segoe UI" w:hAnsi="Segoe UI" w:cs="Segoe UI"/>
                <w:iCs w:val="0"/>
                <w:sz w:val="21"/>
                <w:szCs w:val="21"/>
                <w:lang w:val="en-ZA"/>
              </w:rPr>
              <w:t xml:space="preserve">of </w:t>
            </w:r>
            <w:r w:rsidRPr="00B815B9">
              <w:rPr>
                <w:rFonts w:ascii="Segoe UI" w:hAnsi="Segoe UI" w:cs="Segoe UI"/>
                <w:iCs w:val="0"/>
                <w:sz w:val="21"/>
                <w:szCs w:val="21"/>
                <w:lang w:val="en-ZA"/>
              </w:rPr>
              <w:t xml:space="preserve"> cybersecurity</w:t>
            </w:r>
            <w:proofErr w:type="gramEnd"/>
            <w:r w:rsidRPr="00B815B9">
              <w:rPr>
                <w:rFonts w:ascii="Segoe UI" w:hAnsi="Segoe UI" w:cs="Segoe UI"/>
                <w:iCs w:val="0"/>
                <w:sz w:val="21"/>
                <w:szCs w:val="21"/>
                <w:lang w:val="en-ZA"/>
              </w:rPr>
              <w:t xml:space="preserve"> deployment (EDR/EPP/endpoint security) for a minimum of 500 endpoints for a single client within the last five (5) years.</w:t>
            </w:r>
          </w:p>
          <w:p w14:paraId="4AA37E4D" w14:textId="77777777" w:rsidR="00B815B9" w:rsidRPr="00B815B9" w:rsidRDefault="00B815B9" w:rsidP="00B815B9">
            <w:pPr>
              <w:widowControl/>
              <w:spacing w:before="0" w:after="0" w:line="300" w:lineRule="atLeast"/>
              <w:outlineLvl w:val="9"/>
              <w:rPr>
                <w:rFonts w:ascii="Segoe UI" w:hAnsi="Segoe UI" w:cs="Segoe UI"/>
                <w:iCs w:val="0"/>
                <w:sz w:val="21"/>
                <w:szCs w:val="21"/>
                <w:lang w:val="en-ZA"/>
              </w:rPr>
            </w:pPr>
            <w:r w:rsidRPr="00B815B9">
              <w:rPr>
                <w:rFonts w:ascii="Segoe UI" w:hAnsi="Segoe UI" w:cs="Segoe UI"/>
                <w:iCs w:val="0"/>
                <w:sz w:val="21"/>
                <w:szCs w:val="21"/>
                <w:lang w:val="en-ZA"/>
              </w:rPr>
              <w:t>Each reference must include:</w:t>
            </w:r>
          </w:p>
          <w:p w14:paraId="7D313F9D" w14:textId="1618045C" w:rsidR="00B815B9" w:rsidRPr="00B815B9" w:rsidRDefault="00B815B9" w:rsidP="00B815B9">
            <w:pPr>
              <w:widowControl/>
              <w:numPr>
                <w:ilvl w:val="0"/>
                <w:numId w:val="49"/>
              </w:numPr>
              <w:spacing w:before="0" w:after="0" w:line="300" w:lineRule="atLeast"/>
              <w:outlineLvl w:val="9"/>
              <w:rPr>
                <w:rFonts w:ascii="Segoe UI" w:hAnsi="Segoe UI" w:cs="Segoe UI"/>
                <w:iCs w:val="0"/>
                <w:sz w:val="21"/>
                <w:szCs w:val="21"/>
                <w:lang w:val="en-ZA"/>
              </w:rPr>
            </w:pPr>
            <w:r w:rsidRPr="00B815B9">
              <w:rPr>
                <w:rFonts w:ascii="Segoe UI" w:hAnsi="Segoe UI" w:cs="Segoe UI"/>
                <w:iCs w:val="0"/>
                <w:sz w:val="21"/>
                <w:szCs w:val="21"/>
                <w:lang w:val="en-ZA"/>
              </w:rPr>
              <w:t>Client name</w:t>
            </w:r>
          </w:p>
          <w:p w14:paraId="65625C99" w14:textId="77777777" w:rsidR="00B815B9" w:rsidRPr="00B815B9" w:rsidRDefault="00B815B9" w:rsidP="00B815B9">
            <w:pPr>
              <w:widowControl/>
              <w:numPr>
                <w:ilvl w:val="0"/>
                <w:numId w:val="49"/>
              </w:numPr>
              <w:spacing w:before="0" w:after="0" w:line="300" w:lineRule="atLeast"/>
              <w:outlineLvl w:val="9"/>
              <w:rPr>
                <w:rFonts w:ascii="Segoe UI" w:hAnsi="Segoe UI" w:cs="Segoe UI"/>
                <w:iCs w:val="0"/>
                <w:sz w:val="21"/>
                <w:szCs w:val="21"/>
                <w:lang w:val="en-ZA"/>
              </w:rPr>
            </w:pPr>
            <w:r w:rsidRPr="00B815B9">
              <w:rPr>
                <w:rFonts w:ascii="Segoe UI" w:hAnsi="Segoe UI" w:cs="Segoe UI"/>
                <w:iCs w:val="0"/>
                <w:sz w:val="21"/>
                <w:szCs w:val="21"/>
                <w:lang w:val="en-ZA"/>
              </w:rPr>
              <w:t>Number of endpoints</w:t>
            </w:r>
          </w:p>
          <w:p w14:paraId="09874F73" w14:textId="77777777" w:rsidR="00B815B9" w:rsidRPr="00B815B9" w:rsidRDefault="00B815B9" w:rsidP="00B815B9">
            <w:pPr>
              <w:widowControl/>
              <w:numPr>
                <w:ilvl w:val="0"/>
                <w:numId w:val="49"/>
              </w:numPr>
              <w:spacing w:before="0" w:after="0" w:line="300" w:lineRule="atLeast"/>
              <w:outlineLvl w:val="9"/>
              <w:rPr>
                <w:rFonts w:ascii="Segoe UI" w:hAnsi="Segoe UI" w:cs="Segoe UI"/>
                <w:iCs w:val="0"/>
                <w:sz w:val="21"/>
                <w:szCs w:val="21"/>
                <w:lang w:val="en-ZA"/>
              </w:rPr>
            </w:pPr>
            <w:r w:rsidRPr="00B815B9">
              <w:rPr>
                <w:rFonts w:ascii="Segoe UI" w:hAnsi="Segoe UI" w:cs="Segoe UI"/>
                <w:iCs w:val="0"/>
                <w:sz w:val="21"/>
                <w:szCs w:val="21"/>
                <w:lang w:val="en-ZA"/>
              </w:rPr>
              <w:t>Project start and end dates</w:t>
            </w:r>
          </w:p>
          <w:p w14:paraId="26FF978A" w14:textId="77777777" w:rsidR="00B815B9" w:rsidRPr="00B815B9" w:rsidRDefault="00B815B9" w:rsidP="00B815B9">
            <w:pPr>
              <w:widowControl/>
              <w:numPr>
                <w:ilvl w:val="0"/>
                <w:numId w:val="49"/>
              </w:numPr>
              <w:spacing w:before="0" w:after="0" w:line="300" w:lineRule="atLeast"/>
              <w:outlineLvl w:val="9"/>
              <w:rPr>
                <w:rFonts w:ascii="Segoe UI" w:hAnsi="Segoe UI" w:cs="Segoe UI"/>
                <w:iCs w:val="0"/>
                <w:sz w:val="21"/>
                <w:szCs w:val="21"/>
                <w:lang w:val="en-ZA"/>
              </w:rPr>
            </w:pPr>
            <w:r w:rsidRPr="00B815B9">
              <w:rPr>
                <w:rFonts w:ascii="Segoe UI" w:hAnsi="Segoe UI" w:cs="Segoe UI"/>
                <w:iCs w:val="0"/>
                <w:sz w:val="21"/>
                <w:szCs w:val="21"/>
                <w:lang w:val="en-ZA"/>
              </w:rPr>
              <w:t>Summary of services delivered</w:t>
            </w:r>
          </w:p>
          <w:p w14:paraId="36655BC8" w14:textId="77777777" w:rsidR="00B815B9" w:rsidRPr="00B815B9" w:rsidRDefault="00B815B9" w:rsidP="00B815B9">
            <w:pPr>
              <w:widowControl/>
              <w:numPr>
                <w:ilvl w:val="0"/>
                <w:numId w:val="49"/>
              </w:numPr>
              <w:spacing w:before="0" w:after="0" w:line="300" w:lineRule="atLeast"/>
              <w:outlineLvl w:val="9"/>
              <w:rPr>
                <w:rFonts w:ascii="Segoe UI" w:hAnsi="Segoe UI" w:cs="Segoe UI"/>
                <w:iCs w:val="0"/>
                <w:sz w:val="21"/>
                <w:szCs w:val="21"/>
                <w:lang w:val="en-ZA"/>
              </w:rPr>
            </w:pPr>
            <w:r w:rsidRPr="00B815B9">
              <w:rPr>
                <w:rFonts w:ascii="Segoe UI" w:hAnsi="Segoe UI" w:cs="Segoe UI"/>
                <w:iCs w:val="0"/>
                <w:sz w:val="21"/>
                <w:szCs w:val="21"/>
                <w:lang w:val="en-ZA"/>
              </w:rPr>
              <w:t>Technologies/products used</w:t>
            </w:r>
          </w:p>
          <w:p w14:paraId="697EC88B" w14:textId="77777777" w:rsidR="00B815B9" w:rsidRPr="00B815B9" w:rsidRDefault="00B815B9" w:rsidP="00B815B9">
            <w:pPr>
              <w:widowControl/>
              <w:numPr>
                <w:ilvl w:val="0"/>
                <w:numId w:val="49"/>
              </w:numPr>
              <w:spacing w:before="0" w:after="0" w:line="300" w:lineRule="atLeast"/>
              <w:outlineLvl w:val="9"/>
              <w:rPr>
                <w:rFonts w:ascii="Segoe UI" w:hAnsi="Segoe UI" w:cs="Segoe UI"/>
                <w:iCs w:val="0"/>
                <w:sz w:val="21"/>
                <w:szCs w:val="21"/>
                <w:lang w:val="en-ZA"/>
              </w:rPr>
            </w:pPr>
            <w:r w:rsidRPr="00B815B9">
              <w:rPr>
                <w:rFonts w:ascii="Segoe UI" w:hAnsi="Segoe UI" w:cs="Segoe UI"/>
                <w:iCs w:val="0"/>
                <w:sz w:val="21"/>
                <w:szCs w:val="21"/>
                <w:lang w:val="en-ZA"/>
              </w:rPr>
              <w:t>Scope of work (e.g., policy design, agent rollout, MDR, integrations)</w:t>
            </w:r>
          </w:p>
          <w:p w14:paraId="3551D4F4" w14:textId="59CF9C39" w:rsidR="00B815B9" w:rsidRPr="00B815B9" w:rsidRDefault="00B815B9" w:rsidP="00F473CE">
            <w:pPr>
              <w:widowControl/>
              <w:spacing w:before="0" w:after="0" w:line="300" w:lineRule="atLeast"/>
              <w:ind w:left="720"/>
              <w:outlineLvl w:val="9"/>
              <w:rPr>
                <w:rFonts w:ascii="Segoe UI" w:hAnsi="Segoe UI" w:cs="Segoe UI"/>
                <w:iCs w:val="0"/>
                <w:sz w:val="21"/>
                <w:szCs w:val="21"/>
                <w:lang w:val="en-ZA"/>
              </w:rPr>
            </w:pPr>
            <w:r w:rsidRPr="00B815B9">
              <w:rPr>
                <w:rFonts w:ascii="Segoe UI" w:hAnsi="Segoe UI" w:cs="Segoe UI"/>
                <w:iCs w:val="0"/>
                <w:sz w:val="21"/>
                <w:szCs w:val="21"/>
                <w:lang w:val="en-ZA"/>
              </w:rPr>
              <w:t>Project outcome</w:t>
            </w:r>
          </w:p>
        </w:tc>
        <w:tc>
          <w:tcPr>
            <w:tcW w:w="471" w:type="pct"/>
            <w:vMerge w:val="restart"/>
            <w:vAlign w:val="center"/>
          </w:tcPr>
          <w:p w14:paraId="1F6372AE" w14:textId="20D3044F" w:rsidR="004B5F9A" w:rsidRPr="005E71C3" w:rsidRDefault="00B815B9" w:rsidP="00646A6D">
            <w:pPr>
              <w:pStyle w:val="aDSPara"/>
              <w:spacing w:before="60" w:after="60"/>
              <w:ind w:left="0"/>
              <w:jc w:val="center"/>
              <w:rPr>
                <w:rFonts w:eastAsia="MS Mincho" w:cs="Arial"/>
                <w:bCs/>
                <w:color w:val="000000"/>
                <w:sz w:val="20"/>
                <w:szCs w:val="20"/>
              </w:rPr>
            </w:pPr>
            <w:r>
              <w:rPr>
                <w:rFonts w:eastAsia="MS Mincho" w:cs="Arial"/>
                <w:bCs/>
                <w:color w:val="000000"/>
                <w:sz w:val="20"/>
                <w:szCs w:val="20"/>
              </w:rPr>
              <w:t>40</w:t>
            </w:r>
          </w:p>
        </w:tc>
        <w:tc>
          <w:tcPr>
            <w:tcW w:w="456" w:type="pct"/>
            <w:vAlign w:val="center"/>
          </w:tcPr>
          <w:p w14:paraId="57A34453" w14:textId="7347696C" w:rsidR="004B5F9A" w:rsidRPr="00DA5F33" w:rsidRDefault="00B815B9" w:rsidP="00A00127">
            <w:pPr>
              <w:pStyle w:val="aDSPara"/>
              <w:spacing w:before="60" w:after="60"/>
              <w:ind w:left="0"/>
              <w:jc w:val="center"/>
              <w:rPr>
                <w:rFonts w:cs="Arial"/>
                <w:sz w:val="20"/>
                <w:szCs w:val="20"/>
                <w:lang w:val="en-ZA"/>
              </w:rPr>
            </w:pPr>
            <w:r>
              <w:rPr>
                <w:rFonts w:cs="Arial"/>
                <w:sz w:val="20"/>
                <w:szCs w:val="20"/>
                <w:lang w:val="en-ZA"/>
              </w:rPr>
              <w:t>4</w:t>
            </w:r>
            <w:r w:rsidR="004B5F9A">
              <w:rPr>
                <w:rFonts w:cs="Arial"/>
                <w:sz w:val="20"/>
                <w:szCs w:val="20"/>
                <w:lang w:val="en-ZA"/>
              </w:rPr>
              <w:t>0</w:t>
            </w:r>
          </w:p>
        </w:tc>
        <w:tc>
          <w:tcPr>
            <w:tcW w:w="1830" w:type="pct"/>
            <w:vAlign w:val="center"/>
          </w:tcPr>
          <w:p w14:paraId="50358EEB" w14:textId="66231492" w:rsidR="004B5F9A" w:rsidRPr="00DA5F33" w:rsidRDefault="00A00127" w:rsidP="00A00127">
            <w:pPr>
              <w:pStyle w:val="aDSPara"/>
              <w:spacing w:before="60" w:after="60"/>
              <w:ind w:left="0"/>
              <w:jc w:val="center"/>
              <w:rPr>
                <w:rFonts w:cs="Arial"/>
                <w:sz w:val="20"/>
                <w:szCs w:val="20"/>
                <w:lang w:val="en-ZA"/>
              </w:rPr>
            </w:pPr>
            <w:r w:rsidRPr="001E34BF">
              <w:rPr>
                <w:rFonts w:ascii="Calibri"/>
                <w:iCs/>
                <w:lang w:val="en-GB"/>
              </w:rPr>
              <w:t>5 or more references</w:t>
            </w:r>
          </w:p>
        </w:tc>
      </w:tr>
      <w:tr w:rsidR="004B5F9A" w:rsidRPr="005E71C3" w14:paraId="00B3BF89" w14:textId="77777777" w:rsidTr="004B5F9A">
        <w:trPr>
          <w:cantSplit/>
          <w:trHeight w:val="1440"/>
        </w:trPr>
        <w:tc>
          <w:tcPr>
            <w:tcW w:w="409" w:type="pct"/>
            <w:vMerge/>
          </w:tcPr>
          <w:p w14:paraId="2178466C" w14:textId="77777777" w:rsidR="004B5F9A" w:rsidRDefault="004B5F9A" w:rsidP="00646A6D">
            <w:pPr>
              <w:pStyle w:val="aDSPara"/>
              <w:spacing w:before="60" w:after="60"/>
              <w:ind w:left="0"/>
              <w:jc w:val="center"/>
              <w:rPr>
                <w:rFonts w:eastAsia="MS Mincho" w:cs="Arial"/>
                <w:sz w:val="20"/>
                <w:szCs w:val="20"/>
              </w:rPr>
            </w:pPr>
          </w:p>
        </w:tc>
        <w:tc>
          <w:tcPr>
            <w:tcW w:w="1834" w:type="pct"/>
            <w:vMerge/>
          </w:tcPr>
          <w:p w14:paraId="1E326372" w14:textId="77777777" w:rsidR="004B5F9A" w:rsidRPr="00B33F5E" w:rsidRDefault="004B5F9A" w:rsidP="00B33F5E">
            <w:pPr>
              <w:widowControl/>
              <w:spacing w:before="0" w:after="0" w:line="300" w:lineRule="atLeast"/>
              <w:outlineLvl w:val="9"/>
              <w:rPr>
                <w:rFonts w:ascii="Segoe UI" w:hAnsi="Segoe UI" w:cs="Segoe UI"/>
                <w:b/>
                <w:bCs/>
                <w:iCs w:val="0"/>
                <w:sz w:val="21"/>
                <w:szCs w:val="21"/>
                <w:lang w:val="en-ZA"/>
              </w:rPr>
            </w:pPr>
          </w:p>
        </w:tc>
        <w:tc>
          <w:tcPr>
            <w:tcW w:w="471" w:type="pct"/>
            <w:vMerge/>
            <w:vAlign w:val="center"/>
          </w:tcPr>
          <w:p w14:paraId="0E1DC776" w14:textId="77777777" w:rsidR="004B5F9A" w:rsidRPr="005E71C3" w:rsidRDefault="004B5F9A" w:rsidP="00646A6D">
            <w:pPr>
              <w:pStyle w:val="aDSPara"/>
              <w:spacing w:before="60" w:after="60"/>
              <w:ind w:left="0"/>
              <w:jc w:val="center"/>
              <w:rPr>
                <w:rFonts w:eastAsia="MS Mincho" w:cs="Arial"/>
                <w:bCs/>
                <w:color w:val="000000"/>
                <w:sz w:val="20"/>
                <w:szCs w:val="20"/>
              </w:rPr>
            </w:pPr>
          </w:p>
        </w:tc>
        <w:tc>
          <w:tcPr>
            <w:tcW w:w="456" w:type="pct"/>
            <w:vAlign w:val="center"/>
          </w:tcPr>
          <w:p w14:paraId="2779B271" w14:textId="3EEDBF77" w:rsidR="004B5F9A" w:rsidRPr="00DA5F33" w:rsidRDefault="00B815B9" w:rsidP="00A00127">
            <w:pPr>
              <w:pStyle w:val="aDSPara"/>
              <w:spacing w:before="60" w:after="60"/>
              <w:ind w:left="0"/>
              <w:jc w:val="center"/>
              <w:rPr>
                <w:rFonts w:cs="Arial"/>
                <w:sz w:val="20"/>
                <w:szCs w:val="20"/>
                <w:lang w:val="en-ZA"/>
              </w:rPr>
            </w:pPr>
            <w:r>
              <w:rPr>
                <w:rFonts w:cs="Arial"/>
                <w:sz w:val="20"/>
                <w:szCs w:val="20"/>
                <w:lang w:val="en-ZA"/>
              </w:rPr>
              <w:t>3</w:t>
            </w:r>
            <w:r w:rsidR="004B5F9A">
              <w:rPr>
                <w:rFonts w:cs="Arial"/>
                <w:sz w:val="20"/>
                <w:szCs w:val="20"/>
                <w:lang w:val="en-ZA"/>
              </w:rPr>
              <w:t>5</w:t>
            </w:r>
          </w:p>
        </w:tc>
        <w:tc>
          <w:tcPr>
            <w:tcW w:w="1830" w:type="pct"/>
            <w:vAlign w:val="center"/>
          </w:tcPr>
          <w:p w14:paraId="02BF51DA" w14:textId="0D7805DA" w:rsidR="004B5F9A" w:rsidRPr="00DA5F33" w:rsidRDefault="00A00127" w:rsidP="00A00127">
            <w:pPr>
              <w:pStyle w:val="aDSPara"/>
              <w:spacing w:before="60" w:after="60"/>
              <w:ind w:left="0"/>
              <w:jc w:val="center"/>
              <w:rPr>
                <w:rFonts w:cs="Arial"/>
                <w:sz w:val="20"/>
                <w:szCs w:val="20"/>
                <w:lang w:val="en-ZA"/>
              </w:rPr>
            </w:pPr>
            <w:r w:rsidRPr="001E34BF">
              <w:rPr>
                <w:rFonts w:ascii="Calibri"/>
                <w:iCs/>
                <w:lang w:val="en-GB"/>
              </w:rPr>
              <w:t>4 references</w:t>
            </w:r>
          </w:p>
        </w:tc>
      </w:tr>
      <w:tr w:rsidR="004B5F9A" w:rsidRPr="005E71C3" w14:paraId="7C104D16" w14:textId="77777777" w:rsidTr="004B5F9A">
        <w:trPr>
          <w:cantSplit/>
          <w:trHeight w:val="990"/>
        </w:trPr>
        <w:tc>
          <w:tcPr>
            <w:tcW w:w="409" w:type="pct"/>
            <w:vMerge/>
          </w:tcPr>
          <w:p w14:paraId="376B844D" w14:textId="77777777" w:rsidR="004B5F9A" w:rsidRDefault="004B5F9A" w:rsidP="00646A6D">
            <w:pPr>
              <w:pStyle w:val="aDSPara"/>
              <w:spacing w:before="60" w:after="60"/>
              <w:ind w:left="0"/>
              <w:jc w:val="center"/>
              <w:rPr>
                <w:rFonts w:eastAsia="MS Mincho" w:cs="Arial"/>
                <w:sz w:val="20"/>
                <w:szCs w:val="20"/>
              </w:rPr>
            </w:pPr>
          </w:p>
        </w:tc>
        <w:tc>
          <w:tcPr>
            <w:tcW w:w="1834" w:type="pct"/>
            <w:vMerge/>
          </w:tcPr>
          <w:p w14:paraId="32BF3F63" w14:textId="77777777" w:rsidR="004B5F9A" w:rsidRPr="00B33F5E" w:rsidRDefault="004B5F9A" w:rsidP="00B33F5E">
            <w:pPr>
              <w:widowControl/>
              <w:spacing w:before="0" w:after="0" w:line="300" w:lineRule="atLeast"/>
              <w:outlineLvl w:val="9"/>
              <w:rPr>
                <w:rFonts w:ascii="Segoe UI" w:hAnsi="Segoe UI" w:cs="Segoe UI"/>
                <w:b/>
                <w:bCs/>
                <w:iCs w:val="0"/>
                <w:sz w:val="21"/>
                <w:szCs w:val="21"/>
                <w:lang w:val="en-ZA"/>
              </w:rPr>
            </w:pPr>
          </w:p>
        </w:tc>
        <w:tc>
          <w:tcPr>
            <w:tcW w:w="471" w:type="pct"/>
            <w:vMerge/>
            <w:vAlign w:val="center"/>
          </w:tcPr>
          <w:p w14:paraId="6DEF8264" w14:textId="77777777" w:rsidR="004B5F9A" w:rsidRPr="005E71C3" w:rsidRDefault="004B5F9A" w:rsidP="00646A6D">
            <w:pPr>
              <w:pStyle w:val="aDSPara"/>
              <w:spacing w:before="60" w:after="60"/>
              <w:ind w:left="0"/>
              <w:jc w:val="center"/>
              <w:rPr>
                <w:rFonts w:eastAsia="MS Mincho" w:cs="Arial"/>
                <w:bCs/>
                <w:color w:val="000000"/>
                <w:sz w:val="20"/>
                <w:szCs w:val="20"/>
              </w:rPr>
            </w:pPr>
          </w:p>
        </w:tc>
        <w:tc>
          <w:tcPr>
            <w:tcW w:w="456" w:type="pct"/>
            <w:vAlign w:val="center"/>
          </w:tcPr>
          <w:p w14:paraId="186A36D5" w14:textId="3C024A6B" w:rsidR="004B5F9A" w:rsidRPr="00DA5F33" w:rsidRDefault="00B815B9" w:rsidP="00A00127">
            <w:pPr>
              <w:pStyle w:val="aDSPara"/>
              <w:spacing w:before="60" w:after="60"/>
              <w:ind w:left="0"/>
              <w:jc w:val="center"/>
              <w:rPr>
                <w:rFonts w:cs="Arial"/>
                <w:sz w:val="20"/>
                <w:szCs w:val="20"/>
                <w:lang w:val="en-ZA"/>
              </w:rPr>
            </w:pPr>
            <w:r>
              <w:rPr>
                <w:rFonts w:cs="Arial"/>
                <w:sz w:val="20"/>
                <w:szCs w:val="20"/>
                <w:lang w:val="en-ZA"/>
              </w:rPr>
              <w:t>20</w:t>
            </w:r>
          </w:p>
        </w:tc>
        <w:tc>
          <w:tcPr>
            <w:tcW w:w="1830" w:type="pct"/>
            <w:vAlign w:val="center"/>
          </w:tcPr>
          <w:p w14:paraId="3DC650A3" w14:textId="3F44469F" w:rsidR="004B5F9A" w:rsidRPr="00DA5F33" w:rsidRDefault="00A00127" w:rsidP="00A00127">
            <w:pPr>
              <w:pStyle w:val="aDSPara"/>
              <w:spacing w:before="60" w:after="60"/>
              <w:ind w:left="0"/>
              <w:jc w:val="center"/>
              <w:rPr>
                <w:rFonts w:cs="Arial"/>
                <w:sz w:val="20"/>
                <w:szCs w:val="20"/>
                <w:lang w:val="en-ZA"/>
              </w:rPr>
            </w:pPr>
            <w:r w:rsidRPr="001E34BF">
              <w:rPr>
                <w:rFonts w:ascii="Calibri"/>
                <w:iCs/>
                <w:lang w:val="en-GB"/>
              </w:rPr>
              <w:t>3 references</w:t>
            </w:r>
          </w:p>
        </w:tc>
      </w:tr>
      <w:tr w:rsidR="004B5F9A" w:rsidRPr="005E71C3" w14:paraId="4222295D" w14:textId="77777777" w:rsidTr="004B5F9A">
        <w:trPr>
          <w:cantSplit/>
          <w:trHeight w:val="1215"/>
        </w:trPr>
        <w:tc>
          <w:tcPr>
            <w:tcW w:w="409" w:type="pct"/>
            <w:vMerge/>
          </w:tcPr>
          <w:p w14:paraId="4C1C1F6B" w14:textId="77777777" w:rsidR="004B5F9A" w:rsidRDefault="004B5F9A" w:rsidP="00646A6D">
            <w:pPr>
              <w:pStyle w:val="aDSPara"/>
              <w:spacing w:before="60" w:after="60"/>
              <w:ind w:left="0"/>
              <w:jc w:val="center"/>
              <w:rPr>
                <w:rFonts w:eastAsia="MS Mincho" w:cs="Arial"/>
                <w:sz w:val="20"/>
                <w:szCs w:val="20"/>
              </w:rPr>
            </w:pPr>
          </w:p>
        </w:tc>
        <w:tc>
          <w:tcPr>
            <w:tcW w:w="1834" w:type="pct"/>
            <w:vMerge/>
          </w:tcPr>
          <w:p w14:paraId="6DEE1B98" w14:textId="77777777" w:rsidR="004B5F9A" w:rsidRPr="00B33F5E" w:rsidRDefault="004B5F9A" w:rsidP="00B33F5E">
            <w:pPr>
              <w:widowControl/>
              <w:spacing w:before="0" w:after="0" w:line="300" w:lineRule="atLeast"/>
              <w:outlineLvl w:val="9"/>
              <w:rPr>
                <w:rFonts w:ascii="Segoe UI" w:hAnsi="Segoe UI" w:cs="Segoe UI"/>
                <w:b/>
                <w:bCs/>
                <w:iCs w:val="0"/>
                <w:sz w:val="21"/>
                <w:szCs w:val="21"/>
                <w:lang w:val="en-ZA"/>
              </w:rPr>
            </w:pPr>
          </w:p>
        </w:tc>
        <w:tc>
          <w:tcPr>
            <w:tcW w:w="471" w:type="pct"/>
            <w:vMerge/>
            <w:vAlign w:val="center"/>
          </w:tcPr>
          <w:p w14:paraId="62A57A3F" w14:textId="77777777" w:rsidR="004B5F9A" w:rsidRPr="005E71C3" w:rsidRDefault="004B5F9A" w:rsidP="00646A6D">
            <w:pPr>
              <w:pStyle w:val="aDSPara"/>
              <w:spacing w:before="60" w:after="60"/>
              <w:ind w:left="0"/>
              <w:jc w:val="center"/>
              <w:rPr>
                <w:rFonts w:eastAsia="MS Mincho" w:cs="Arial"/>
                <w:bCs/>
                <w:color w:val="000000"/>
                <w:sz w:val="20"/>
                <w:szCs w:val="20"/>
              </w:rPr>
            </w:pPr>
          </w:p>
        </w:tc>
        <w:tc>
          <w:tcPr>
            <w:tcW w:w="456" w:type="pct"/>
            <w:vAlign w:val="center"/>
          </w:tcPr>
          <w:p w14:paraId="014FAF9D" w14:textId="27A801A5" w:rsidR="004B5F9A" w:rsidRPr="00DA5F33" w:rsidRDefault="00A00127" w:rsidP="00A00127">
            <w:pPr>
              <w:pStyle w:val="aDSPara"/>
              <w:spacing w:before="60" w:after="60"/>
              <w:ind w:left="0"/>
              <w:jc w:val="center"/>
              <w:rPr>
                <w:rFonts w:cs="Arial"/>
                <w:sz w:val="20"/>
                <w:szCs w:val="20"/>
                <w:lang w:val="en-ZA"/>
              </w:rPr>
            </w:pPr>
            <w:r>
              <w:rPr>
                <w:rFonts w:cs="Arial"/>
                <w:sz w:val="20"/>
                <w:szCs w:val="20"/>
                <w:lang w:val="en-ZA"/>
              </w:rPr>
              <w:t>1</w:t>
            </w:r>
            <w:r w:rsidR="00B815B9">
              <w:rPr>
                <w:rFonts w:cs="Arial"/>
                <w:sz w:val="20"/>
                <w:szCs w:val="20"/>
                <w:lang w:val="en-ZA"/>
              </w:rPr>
              <w:t>5</w:t>
            </w:r>
          </w:p>
        </w:tc>
        <w:tc>
          <w:tcPr>
            <w:tcW w:w="1830" w:type="pct"/>
            <w:vAlign w:val="center"/>
          </w:tcPr>
          <w:p w14:paraId="1C8BF0BD" w14:textId="2AA18BC1" w:rsidR="00A00127" w:rsidRPr="001E34BF" w:rsidRDefault="00A00127" w:rsidP="00A00127">
            <w:pPr>
              <w:pStyle w:val="TableParagraph"/>
              <w:spacing w:line="242" w:lineRule="exact"/>
              <w:jc w:val="center"/>
              <w:rPr>
                <w:rFonts w:ascii="Calibri"/>
                <w:iCs/>
                <w:lang w:val="en-GB"/>
              </w:rPr>
            </w:pPr>
            <w:r w:rsidRPr="001E34BF">
              <w:rPr>
                <w:rFonts w:ascii="Calibri"/>
                <w:iCs/>
                <w:lang w:val="en-GB"/>
              </w:rPr>
              <w:t>2 references</w:t>
            </w:r>
          </w:p>
          <w:p w14:paraId="6910BCA6" w14:textId="77777777" w:rsidR="004B5F9A" w:rsidRPr="00DA5F33" w:rsidRDefault="004B5F9A" w:rsidP="00A00127">
            <w:pPr>
              <w:pStyle w:val="aDSPara"/>
              <w:spacing w:before="60" w:after="60"/>
              <w:ind w:left="0"/>
              <w:jc w:val="center"/>
              <w:rPr>
                <w:rFonts w:cs="Arial"/>
                <w:sz w:val="20"/>
                <w:szCs w:val="20"/>
                <w:lang w:val="en-ZA"/>
              </w:rPr>
            </w:pPr>
          </w:p>
        </w:tc>
      </w:tr>
      <w:tr w:rsidR="004B5F9A" w:rsidRPr="005E71C3" w14:paraId="0286500B" w14:textId="77777777" w:rsidTr="004B5F9A">
        <w:trPr>
          <w:cantSplit/>
          <w:trHeight w:val="1710"/>
        </w:trPr>
        <w:tc>
          <w:tcPr>
            <w:tcW w:w="409" w:type="pct"/>
            <w:vMerge/>
          </w:tcPr>
          <w:p w14:paraId="4A1A75DF" w14:textId="77777777" w:rsidR="004B5F9A" w:rsidRDefault="004B5F9A" w:rsidP="00646A6D">
            <w:pPr>
              <w:pStyle w:val="aDSPara"/>
              <w:spacing w:before="60" w:after="60"/>
              <w:ind w:left="0"/>
              <w:jc w:val="center"/>
              <w:rPr>
                <w:rFonts w:eastAsia="MS Mincho" w:cs="Arial"/>
                <w:sz w:val="20"/>
                <w:szCs w:val="20"/>
              </w:rPr>
            </w:pPr>
          </w:p>
        </w:tc>
        <w:tc>
          <w:tcPr>
            <w:tcW w:w="1834" w:type="pct"/>
            <w:vMerge/>
          </w:tcPr>
          <w:p w14:paraId="7428DA74" w14:textId="77777777" w:rsidR="004B5F9A" w:rsidRPr="00B33F5E" w:rsidRDefault="004B5F9A" w:rsidP="00B33F5E">
            <w:pPr>
              <w:widowControl/>
              <w:spacing w:before="0" w:after="0" w:line="300" w:lineRule="atLeast"/>
              <w:outlineLvl w:val="9"/>
              <w:rPr>
                <w:rFonts w:ascii="Segoe UI" w:hAnsi="Segoe UI" w:cs="Segoe UI"/>
                <w:b/>
                <w:bCs/>
                <w:iCs w:val="0"/>
                <w:sz w:val="21"/>
                <w:szCs w:val="21"/>
                <w:lang w:val="en-ZA"/>
              </w:rPr>
            </w:pPr>
          </w:p>
        </w:tc>
        <w:tc>
          <w:tcPr>
            <w:tcW w:w="471" w:type="pct"/>
            <w:vMerge/>
            <w:vAlign w:val="center"/>
          </w:tcPr>
          <w:p w14:paraId="5E518A4D" w14:textId="77777777" w:rsidR="004B5F9A" w:rsidRPr="005E71C3" w:rsidRDefault="004B5F9A" w:rsidP="00646A6D">
            <w:pPr>
              <w:pStyle w:val="aDSPara"/>
              <w:spacing w:before="60" w:after="60"/>
              <w:ind w:left="0"/>
              <w:jc w:val="center"/>
              <w:rPr>
                <w:rFonts w:eastAsia="MS Mincho" w:cs="Arial"/>
                <w:bCs/>
                <w:color w:val="000000"/>
                <w:sz w:val="20"/>
                <w:szCs w:val="20"/>
              </w:rPr>
            </w:pPr>
          </w:p>
        </w:tc>
        <w:tc>
          <w:tcPr>
            <w:tcW w:w="456" w:type="pct"/>
            <w:vAlign w:val="center"/>
          </w:tcPr>
          <w:p w14:paraId="7933970B" w14:textId="2DEC5462" w:rsidR="004B5F9A" w:rsidRPr="00DA5F33" w:rsidRDefault="00A00127" w:rsidP="00A00127">
            <w:pPr>
              <w:pStyle w:val="aDSPara"/>
              <w:spacing w:before="60" w:after="60"/>
              <w:ind w:left="0"/>
              <w:jc w:val="center"/>
              <w:rPr>
                <w:rFonts w:cs="Arial"/>
                <w:sz w:val="20"/>
                <w:szCs w:val="20"/>
                <w:lang w:val="en-ZA"/>
              </w:rPr>
            </w:pPr>
            <w:r>
              <w:rPr>
                <w:rFonts w:cs="Arial"/>
                <w:sz w:val="20"/>
                <w:szCs w:val="20"/>
                <w:lang w:val="en-ZA"/>
              </w:rPr>
              <w:t>0</w:t>
            </w:r>
          </w:p>
        </w:tc>
        <w:tc>
          <w:tcPr>
            <w:tcW w:w="1830" w:type="pct"/>
            <w:vAlign w:val="center"/>
          </w:tcPr>
          <w:p w14:paraId="4B36707D" w14:textId="5E6E07BA" w:rsidR="004B5F9A" w:rsidRPr="00DA5F33" w:rsidRDefault="00A00127" w:rsidP="00A00127">
            <w:pPr>
              <w:pStyle w:val="aDSPara"/>
              <w:spacing w:before="60" w:after="60"/>
              <w:ind w:left="0"/>
              <w:jc w:val="center"/>
              <w:rPr>
                <w:rFonts w:cs="Arial"/>
                <w:sz w:val="20"/>
                <w:szCs w:val="20"/>
                <w:lang w:val="en-ZA"/>
              </w:rPr>
            </w:pPr>
            <w:r w:rsidRPr="001E34BF">
              <w:rPr>
                <w:rFonts w:ascii="Calibri"/>
                <w:iCs/>
                <w:lang w:val="en-GB"/>
              </w:rPr>
              <w:t>1 or no references</w:t>
            </w:r>
          </w:p>
        </w:tc>
      </w:tr>
      <w:tr w:rsidR="009316BD" w:rsidRPr="005E71C3" w14:paraId="497FF853" w14:textId="77777777" w:rsidTr="00FA1AA1">
        <w:trPr>
          <w:cantSplit/>
          <w:trHeight w:val="3829"/>
        </w:trPr>
        <w:tc>
          <w:tcPr>
            <w:tcW w:w="409" w:type="pct"/>
            <w:vMerge w:val="restart"/>
          </w:tcPr>
          <w:p w14:paraId="363E26DC" w14:textId="77777777" w:rsidR="009316BD" w:rsidRPr="00DA5F33" w:rsidRDefault="009316BD" w:rsidP="009316BD">
            <w:pPr>
              <w:pStyle w:val="aDSPara"/>
              <w:spacing w:before="60" w:after="0"/>
              <w:ind w:left="0"/>
              <w:jc w:val="center"/>
              <w:rPr>
                <w:rFonts w:eastAsia="MS Mincho" w:cs="Arial"/>
                <w:sz w:val="20"/>
                <w:szCs w:val="20"/>
                <w:lang w:val="en-ZA"/>
              </w:rPr>
            </w:pPr>
          </w:p>
        </w:tc>
        <w:tc>
          <w:tcPr>
            <w:tcW w:w="1834" w:type="pct"/>
            <w:vMerge w:val="restart"/>
          </w:tcPr>
          <w:p w14:paraId="479D7DD5" w14:textId="2371197D" w:rsidR="00FA1AA1" w:rsidRPr="00FA1AA1" w:rsidRDefault="00FA1AA1" w:rsidP="00FA1AA1">
            <w:pPr>
              <w:spacing w:before="0" w:after="0" w:line="300" w:lineRule="atLeast"/>
              <w:rPr>
                <w:sz w:val="20"/>
                <w:szCs w:val="20"/>
                <w:lang w:val="en-ZA"/>
              </w:rPr>
            </w:pPr>
            <w:r w:rsidRPr="00FA1AA1">
              <w:rPr>
                <w:sz w:val="20"/>
                <w:szCs w:val="20"/>
                <w:lang w:val="en-ZA"/>
              </w:rPr>
              <w:t>Bidders must provide details of the key staff</w:t>
            </w:r>
            <w:r>
              <w:rPr>
                <w:sz w:val="20"/>
                <w:szCs w:val="20"/>
                <w:lang w:val="en-ZA"/>
              </w:rPr>
              <w:t>/technicians</w:t>
            </w:r>
            <w:r w:rsidRPr="00FA1AA1">
              <w:rPr>
                <w:sz w:val="20"/>
                <w:szCs w:val="20"/>
                <w:lang w:val="en-ZA"/>
              </w:rPr>
              <w:t xml:space="preserve"> who will be assigned to this contract. The submission must include</w:t>
            </w:r>
            <w:r>
              <w:rPr>
                <w:sz w:val="20"/>
                <w:szCs w:val="20"/>
                <w:lang w:val="en-ZA"/>
              </w:rPr>
              <w:t xml:space="preserve"> </w:t>
            </w:r>
            <w:r w:rsidRPr="00FA1AA1">
              <w:rPr>
                <w:sz w:val="20"/>
                <w:szCs w:val="20"/>
                <w:lang w:val="en-ZA"/>
              </w:rPr>
              <w:t>Unabridged CVs for all Technicians (mandatory):</w:t>
            </w:r>
          </w:p>
          <w:p w14:paraId="7FF12BF7" w14:textId="7121CCD8" w:rsidR="00FA1AA1" w:rsidRPr="00FA1AA1" w:rsidRDefault="00FA1AA1" w:rsidP="00FA1AA1">
            <w:pPr>
              <w:numPr>
                <w:ilvl w:val="0"/>
                <w:numId w:val="52"/>
              </w:numPr>
              <w:spacing w:before="0" w:after="0" w:line="300" w:lineRule="atLeast"/>
              <w:rPr>
                <w:sz w:val="20"/>
                <w:szCs w:val="20"/>
                <w:lang w:val="en-ZA"/>
              </w:rPr>
            </w:pPr>
            <w:r w:rsidRPr="00FA1AA1">
              <w:rPr>
                <w:sz w:val="20"/>
                <w:szCs w:val="20"/>
                <w:lang w:val="en-ZA"/>
              </w:rPr>
              <w:t>List of Key Personnel designated for the project.</w:t>
            </w:r>
          </w:p>
          <w:p w14:paraId="00D8C620" w14:textId="39BA913F" w:rsidR="00FA1AA1" w:rsidRPr="00FA1AA1" w:rsidRDefault="00FA1AA1" w:rsidP="00FA1AA1">
            <w:pPr>
              <w:numPr>
                <w:ilvl w:val="0"/>
                <w:numId w:val="52"/>
              </w:numPr>
              <w:spacing w:before="0" w:after="0" w:line="300" w:lineRule="atLeast"/>
              <w:rPr>
                <w:sz w:val="20"/>
                <w:szCs w:val="20"/>
                <w:lang w:val="en-ZA"/>
              </w:rPr>
            </w:pPr>
            <w:r w:rsidRPr="00FA1AA1">
              <w:rPr>
                <w:sz w:val="20"/>
                <w:szCs w:val="20"/>
                <w:lang w:val="en-ZA"/>
              </w:rPr>
              <w:t xml:space="preserve">Brief bios outlining each member’s education, </w:t>
            </w:r>
            <w:r>
              <w:rPr>
                <w:sz w:val="20"/>
                <w:szCs w:val="20"/>
                <w:lang w:val="en-ZA"/>
              </w:rPr>
              <w:t>cybersecurity</w:t>
            </w:r>
            <w:r w:rsidRPr="00FA1AA1">
              <w:rPr>
                <w:sz w:val="20"/>
                <w:szCs w:val="20"/>
                <w:lang w:val="en-ZA"/>
              </w:rPr>
              <w:t xml:space="preserve"> certifications, and relevant cybersecurity experience.</w:t>
            </w:r>
          </w:p>
          <w:p w14:paraId="17357C9D" w14:textId="77777777" w:rsidR="00FA1AA1" w:rsidRPr="00FA1AA1" w:rsidRDefault="00FA1AA1" w:rsidP="00FA1AA1">
            <w:pPr>
              <w:spacing w:before="0" w:after="0" w:line="300" w:lineRule="atLeast"/>
              <w:rPr>
                <w:sz w:val="20"/>
                <w:szCs w:val="20"/>
                <w:lang w:val="en-ZA"/>
              </w:rPr>
            </w:pPr>
            <w:r w:rsidRPr="00FA1AA1">
              <w:rPr>
                <w:sz w:val="20"/>
                <w:szCs w:val="20"/>
                <w:lang w:val="en-ZA"/>
              </w:rPr>
              <w:t>Technician Requirements:</w:t>
            </w:r>
          </w:p>
          <w:p w14:paraId="79FA5558" w14:textId="77777777" w:rsidR="00FA1AA1" w:rsidRPr="00FA1AA1" w:rsidRDefault="00FA1AA1" w:rsidP="00FA1AA1">
            <w:pPr>
              <w:numPr>
                <w:ilvl w:val="0"/>
                <w:numId w:val="51"/>
              </w:numPr>
              <w:spacing w:before="0" w:after="0" w:line="300" w:lineRule="atLeast"/>
              <w:rPr>
                <w:sz w:val="20"/>
                <w:szCs w:val="20"/>
                <w:lang w:val="en-ZA"/>
              </w:rPr>
            </w:pPr>
            <w:r w:rsidRPr="00FA1AA1">
              <w:rPr>
                <w:sz w:val="20"/>
                <w:szCs w:val="20"/>
                <w:lang w:val="en-ZA"/>
              </w:rPr>
              <w:t>Must hold recognized cybersecurity</w:t>
            </w:r>
            <w:r w:rsidRPr="00FA1AA1">
              <w:rPr>
                <w:sz w:val="20"/>
                <w:szCs w:val="20"/>
                <w:lang w:val="en-ZA"/>
              </w:rPr>
              <w:noBreakHyphen/>
              <w:t>related educational qualifications.</w:t>
            </w:r>
          </w:p>
          <w:p w14:paraId="096592A7" w14:textId="574A4E68" w:rsidR="009316BD" w:rsidRPr="00FA1AA1" w:rsidRDefault="00FA1AA1" w:rsidP="00FA1AA1">
            <w:pPr>
              <w:numPr>
                <w:ilvl w:val="0"/>
                <w:numId w:val="51"/>
              </w:numPr>
              <w:spacing w:before="0" w:after="0" w:line="300" w:lineRule="atLeast"/>
              <w:rPr>
                <w:sz w:val="20"/>
                <w:szCs w:val="20"/>
                <w:lang w:val="en-ZA"/>
              </w:rPr>
            </w:pPr>
            <w:r w:rsidRPr="00FA1AA1">
              <w:rPr>
                <w:sz w:val="20"/>
                <w:szCs w:val="20"/>
                <w:lang w:val="en-ZA"/>
              </w:rPr>
              <w:t>Must have technical experience in the cybersecurity industry, relevant to the scope of this project (e.g., endpoint security, EDR/EPP, SOC operations, incident response, vulnerability management).</w:t>
            </w:r>
          </w:p>
        </w:tc>
        <w:tc>
          <w:tcPr>
            <w:tcW w:w="471" w:type="pct"/>
            <w:vMerge w:val="restart"/>
            <w:vAlign w:val="center"/>
          </w:tcPr>
          <w:p w14:paraId="18B7C425" w14:textId="4DB42C3A" w:rsidR="009316BD" w:rsidRPr="00DA5F33" w:rsidRDefault="009316BD" w:rsidP="009316BD">
            <w:pPr>
              <w:pStyle w:val="aDSPara"/>
              <w:spacing w:before="60" w:after="0"/>
              <w:ind w:left="0"/>
              <w:rPr>
                <w:rFonts w:eastAsia="MS Mincho" w:cs="Arial"/>
                <w:bCs/>
                <w:color w:val="000000"/>
                <w:sz w:val="20"/>
                <w:szCs w:val="20"/>
                <w:lang w:val="en-ZA"/>
              </w:rPr>
            </w:pPr>
            <w:r>
              <w:rPr>
                <w:rFonts w:eastAsia="MS Mincho" w:cs="Arial"/>
                <w:bCs/>
                <w:color w:val="000000"/>
                <w:sz w:val="20"/>
                <w:szCs w:val="20"/>
                <w:lang w:val="en-ZA"/>
              </w:rPr>
              <w:t>2</w:t>
            </w:r>
            <w:r w:rsidR="00B815B9">
              <w:rPr>
                <w:rFonts w:eastAsia="MS Mincho" w:cs="Arial"/>
                <w:bCs/>
                <w:color w:val="000000"/>
                <w:sz w:val="20"/>
                <w:szCs w:val="20"/>
                <w:lang w:val="en-ZA"/>
              </w:rPr>
              <w:t>5</w:t>
            </w:r>
          </w:p>
        </w:tc>
        <w:tc>
          <w:tcPr>
            <w:tcW w:w="456" w:type="pct"/>
            <w:vAlign w:val="center"/>
          </w:tcPr>
          <w:p w14:paraId="5CEC911D" w14:textId="23173EBA" w:rsidR="009316BD" w:rsidRPr="005E71C3" w:rsidRDefault="009316BD" w:rsidP="009316BD">
            <w:pPr>
              <w:pStyle w:val="aDSPara"/>
              <w:spacing w:before="60" w:after="0"/>
              <w:ind w:left="0"/>
              <w:jc w:val="center"/>
              <w:rPr>
                <w:rFonts w:eastAsia="MS Mincho" w:cs="Arial"/>
                <w:sz w:val="20"/>
                <w:szCs w:val="20"/>
              </w:rPr>
            </w:pPr>
            <w:r>
              <w:rPr>
                <w:rFonts w:eastAsia="MS Mincho" w:cs="Arial"/>
                <w:sz w:val="20"/>
                <w:szCs w:val="20"/>
              </w:rPr>
              <w:t>0</w:t>
            </w:r>
          </w:p>
        </w:tc>
        <w:tc>
          <w:tcPr>
            <w:tcW w:w="1830" w:type="pct"/>
          </w:tcPr>
          <w:p w14:paraId="7A87DEEC" w14:textId="32C235C7" w:rsidR="009316BD" w:rsidRPr="009316BD" w:rsidRDefault="009316BD" w:rsidP="009316BD">
            <w:pPr>
              <w:pStyle w:val="TableParagraph"/>
              <w:jc w:val="center"/>
              <w:rPr>
                <w:rFonts w:ascii="Calibri"/>
                <w:iCs/>
                <w:lang w:val="en-GB"/>
              </w:rPr>
            </w:pPr>
            <w:r w:rsidRPr="00C20575">
              <w:rPr>
                <w:rFonts w:ascii="Calibri"/>
                <w:iCs/>
                <w:lang w:val="en-GB"/>
              </w:rPr>
              <w:t>Not available</w:t>
            </w:r>
          </w:p>
        </w:tc>
      </w:tr>
      <w:tr w:rsidR="009316BD" w:rsidRPr="005E71C3" w14:paraId="408C74D1" w14:textId="77777777" w:rsidTr="004B5F9A">
        <w:trPr>
          <w:cantSplit/>
          <w:trHeight w:val="1935"/>
        </w:trPr>
        <w:tc>
          <w:tcPr>
            <w:tcW w:w="409" w:type="pct"/>
            <w:vMerge/>
          </w:tcPr>
          <w:p w14:paraId="4F9C65EE" w14:textId="77777777" w:rsidR="009316BD" w:rsidRPr="00DA5F33" w:rsidRDefault="009316BD" w:rsidP="00646A6D">
            <w:pPr>
              <w:pStyle w:val="aDSPara"/>
              <w:spacing w:before="60" w:after="60"/>
              <w:ind w:left="0"/>
              <w:jc w:val="center"/>
              <w:rPr>
                <w:rFonts w:eastAsia="MS Mincho" w:cs="Arial"/>
                <w:sz w:val="20"/>
                <w:szCs w:val="20"/>
                <w:lang w:val="en-ZA"/>
              </w:rPr>
            </w:pPr>
          </w:p>
        </w:tc>
        <w:tc>
          <w:tcPr>
            <w:tcW w:w="1834" w:type="pct"/>
            <w:vMerge/>
          </w:tcPr>
          <w:p w14:paraId="3DFF41BD" w14:textId="77777777" w:rsidR="009316BD" w:rsidRPr="009316BD" w:rsidRDefault="009316BD" w:rsidP="009316BD">
            <w:pPr>
              <w:spacing w:before="0" w:after="0" w:line="300" w:lineRule="atLeast"/>
              <w:rPr>
                <w:sz w:val="20"/>
                <w:szCs w:val="20"/>
                <w:lang w:val="en-ZA"/>
              </w:rPr>
            </w:pPr>
          </w:p>
        </w:tc>
        <w:tc>
          <w:tcPr>
            <w:tcW w:w="471" w:type="pct"/>
            <w:vMerge/>
            <w:vAlign w:val="center"/>
          </w:tcPr>
          <w:p w14:paraId="0489C72E" w14:textId="77777777" w:rsidR="009316BD" w:rsidRPr="00DA5F33" w:rsidRDefault="009316BD" w:rsidP="00646A6D">
            <w:pPr>
              <w:pStyle w:val="aDSPara"/>
              <w:spacing w:before="60" w:after="60"/>
              <w:ind w:left="0"/>
              <w:rPr>
                <w:rFonts w:eastAsia="MS Mincho" w:cs="Arial"/>
                <w:bCs/>
                <w:color w:val="000000"/>
                <w:sz w:val="20"/>
                <w:szCs w:val="20"/>
                <w:lang w:val="en-ZA"/>
              </w:rPr>
            </w:pPr>
          </w:p>
        </w:tc>
        <w:tc>
          <w:tcPr>
            <w:tcW w:w="456" w:type="pct"/>
            <w:vAlign w:val="center"/>
          </w:tcPr>
          <w:p w14:paraId="34AAE92F" w14:textId="7F65EAD5" w:rsidR="009316BD" w:rsidRPr="005E71C3" w:rsidRDefault="009316BD" w:rsidP="00646A6D">
            <w:pPr>
              <w:pStyle w:val="aDSPara"/>
              <w:spacing w:before="60" w:after="60"/>
              <w:ind w:left="0"/>
              <w:jc w:val="center"/>
              <w:rPr>
                <w:rFonts w:eastAsia="MS Mincho" w:cs="Arial"/>
                <w:sz w:val="20"/>
                <w:szCs w:val="20"/>
              </w:rPr>
            </w:pPr>
            <w:r>
              <w:rPr>
                <w:rFonts w:eastAsia="MS Mincho" w:cs="Arial"/>
                <w:sz w:val="20"/>
                <w:szCs w:val="20"/>
              </w:rPr>
              <w:t>2</w:t>
            </w:r>
            <w:r w:rsidR="00B815B9">
              <w:rPr>
                <w:rFonts w:eastAsia="MS Mincho" w:cs="Arial"/>
                <w:sz w:val="20"/>
                <w:szCs w:val="20"/>
              </w:rPr>
              <w:t>5</w:t>
            </w:r>
          </w:p>
        </w:tc>
        <w:tc>
          <w:tcPr>
            <w:tcW w:w="1830" w:type="pct"/>
          </w:tcPr>
          <w:p w14:paraId="27064591" w14:textId="77777777" w:rsidR="009316BD" w:rsidRPr="00C20575" w:rsidRDefault="009316BD" w:rsidP="009316BD">
            <w:pPr>
              <w:pStyle w:val="TableParagraph"/>
              <w:spacing w:line="242" w:lineRule="exact"/>
              <w:jc w:val="center"/>
              <w:rPr>
                <w:rFonts w:ascii="Calibri"/>
                <w:iCs/>
                <w:lang w:val="en-GB"/>
              </w:rPr>
            </w:pPr>
            <w:r w:rsidRPr="00C20575">
              <w:rPr>
                <w:rFonts w:ascii="Calibri"/>
                <w:iCs/>
                <w:lang w:val="en-GB"/>
              </w:rPr>
              <w:t xml:space="preserve">Available and relevant to the requirements </w:t>
            </w:r>
          </w:p>
          <w:p w14:paraId="1BC06FC4" w14:textId="77777777" w:rsidR="009316BD" w:rsidRPr="00B13225" w:rsidRDefault="009316BD" w:rsidP="00646A6D">
            <w:pPr>
              <w:pStyle w:val="aDSPara"/>
              <w:spacing w:before="60" w:after="60"/>
              <w:ind w:left="0"/>
              <w:jc w:val="left"/>
              <w:rPr>
                <w:rFonts w:cs="Arial"/>
                <w:sz w:val="20"/>
                <w:szCs w:val="20"/>
                <w:lang w:val="en-ZA"/>
              </w:rPr>
            </w:pPr>
          </w:p>
        </w:tc>
      </w:tr>
      <w:tr w:rsidR="00646A6D" w:rsidRPr="005E71C3" w14:paraId="477C6B48" w14:textId="77777777" w:rsidTr="004B5F9A">
        <w:trPr>
          <w:cantSplit/>
          <w:trHeight w:val="185"/>
        </w:trPr>
        <w:tc>
          <w:tcPr>
            <w:tcW w:w="2243" w:type="pct"/>
            <w:gridSpan w:val="2"/>
          </w:tcPr>
          <w:p w14:paraId="19CA2CBF" w14:textId="77777777" w:rsidR="00646A6D" w:rsidRPr="005E71C3" w:rsidRDefault="00646A6D" w:rsidP="00646A6D">
            <w:pPr>
              <w:pStyle w:val="aDSPara"/>
              <w:spacing w:before="60" w:after="60"/>
              <w:ind w:left="0"/>
              <w:jc w:val="left"/>
              <w:rPr>
                <w:rFonts w:eastAsia="MS Mincho" w:cs="Arial"/>
                <w:b/>
                <w:sz w:val="20"/>
                <w:szCs w:val="20"/>
              </w:rPr>
            </w:pPr>
            <w:r w:rsidRPr="005E71C3">
              <w:rPr>
                <w:rFonts w:eastAsia="MS Mincho" w:cs="Arial"/>
                <w:b/>
                <w:sz w:val="20"/>
                <w:szCs w:val="20"/>
              </w:rPr>
              <w:t>Total</w:t>
            </w:r>
          </w:p>
        </w:tc>
        <w:tc>
          <w:tcPr>
            <w:tcW w:w="471" w:type="pct"/>
          </w:tcPr>
          <w:p w14:paraId="7C234AED" w14:textId="77777777" w:rsidR="00646A6D" w:rsidRPr="005E71C3" w:rsidRDefault="00646A6D" w:rsidP="00646A6D">
            <w:pPr>
              <w:pStyle w:val="aDSPara"/>
              <w:spacing w:before="60" w:after="60"/>
              <w:ind w:left="0"/>
              <w:jc w:val="center"/>
              <w:rPr>
                <w:rFonts w:eastAsia="MS Mincho" w:cs="Arial"/>
                <w:b/>
                <w:sz w:val="20"/>
                <w:szCs w:val="20"/>
              </w:rPr>
            </w:pPr>
            <w:r w:rsidRPr="005E71C3">
              <w:rPr>
                <w:rFonts w:eastAsia="MS Mincho" w:cs="Arial"/>
                <w:b/>
                <w:sz w:val="20"/>
                <w:szCs w:val="20"/>
              </w:rPr>
              <w:t>100</w:t>
            </w:r>
          </w:p>
        </w:tc>
        <w:tc>
          <w:tcPr>
            <w:tcW w:w="456" w:type="pct"/>
          </w:tcPr>
          <w:p w14:paraId="70FE5CBE" w14:textId="77777777" w:rsidR="00646A6D" w:rsidRPr="005E71C3" w:rsidRDefault="00646A6D" w:rsidP="00646A6D">
            <w:pPr>
              <w:pStyle w:val="aDSPara"/>
              <w:spacing w:before="60" w:after="60"/>
              <w:ind w:left="0"/>
              <w:jc w:val="center"/>
              <w:rPr>
                <w:rFonts w:eastAsia="MS Mincho" w:cs="Arial"/>
                <w:b/>
                <w:sz w:val="20"/>
                <w:szCs w:val="20"/>
              </w:rPr>
            </w:pPr>
          </w:p>
        </w:tc>
        <w:tc>
          <w:tcPr>
            <w:tcW w:w="1830"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0B2C8612" w14:textId="73D53232" w:rsidR="00383786" w:rsidRDefault="00264F10" w:rsidP="00F83C1D">
      <w:pPr>
        <w:rPr>
          <w:b/>
          <w:sz w:val="20"/>
        </w:rPr>
      </w:pPr>
      <w:r w:rsidRPr="0030524C">
        <w:rPr>
          <w:b/>
          <w:sz w:val="20"/>
        </w:rPr>
        <w:t>Note:</w:t>
      </w:r>
    </w:p>
    <w:p w14:paraId="31479B4C" w14:textId="3233343D" w:rsidR="00BF4F02" w:rsidRPr="00143AE7" w:rsidRDefault="00264F10" w:rsidP="00BF4F02">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7F825802" w14:textId="1B2DFD90" w:rsidR="00777F53" w:rsidRPr="00143AE7" w:rsidRDefault="00143AE7" w:rsidP="00B55DBA">
      <w:pPr>
        <w:pStyle w:val="Index3"/>
        <w:numPr>
          <w:ilvl w:val="2"/>
          <w:numId w:val="17"/>
        </w:numPr>
      </w:pPr>
      <w:bookmarkStart w:id="27" w:name="_Toc187404194"/>
      <w:bookmarkStart w:id="28" w:name="_Toc511198085"/>
      <w:bookmarkStart w:id="29" w:name="_Hlk133378355"/>
      <w:r w:rsidRPr="00143AE7">
        <w:t>Preference points and Price evaluation</w:t>
      </w:r>
      <w:bookmarkEnd w:id="27"/>
      <w:r w:rsidR="00E12354">
        <w:t>.</w:t>
      </w:r>
      <w:r w:rsidRPr="00143AE7">
        <w:t xml:space="preserve"> </w:t>
      </w:r>
    </w:p>
    <w:p w14:paraId="6668C98E" w14:textId="6F08C568" w:rsidR="00777F53" w:rsidRPr="00D93AAA" w:rsidRDefault="00777F53" w:rsidP="005F4A98">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5D092F0A" w14:textId="4E654851" w:rsidR="00777F53" w:rsidRPr="00D93AAA" w:rsidRDefault="00777F53" w:rsidP="00B55DBA">
      <w:pPr>
        <w:pStyle w:val="Index3"/>
        <w:numPr>
          <w:ilvl w:val="2"/>
          <w:numId w:val="17"/>
        </w:numPr>
      </w:pPr>
      <w:bookmarkStart w:id="30" w:name="_Toc125008753"/>
      <w:bookmarkStart w:id="31" w:name="_Toc135389245"/>
      <w:bookmarkStart w:id="32" w:name="_Toc137638302"/>
      <w:bookmarkStart w:id="33" w:name="_Toc187404195"/>
      <w:r w:rsidRPr="00D93AAA">
        <w:t>80/20 preference point system for acquisition of goods or services for Rand value equal to or above R30 000 and up to R50 million</w:t>
      </w:r>
      <w:bookmarkEnd w:id="30"/>
      <w:bookmarkEnd w:id="31"/>
      <w:bookmarkEnd w:id="32"/>
      <w:bookmarkEnd w:id="33"/>
      <w:r w:rsidR="00E12354">
        <w:t>.</w:t>
      </w:r>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lastRenderedPageBreak/>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1751C999" w14:textId="3E8A2017" w:rsidR="00143AE7" w:rsidRPr="00D93AAA" w:rsidRDefault="00777F53" w:rsidP="00777F53">
      <w:pPr>
        <w:pStyle w:val="1Paragraph"/>
      </w:pPr>
      <w:proofErr w:type="spellStart"/>
      <w:r w:rsidRPr="00D93AAA">
        <w:t>Pmin</w:t>
      </w:r>
      <w:proofErr w:type="spellEnd"/>
      <w:r w:rsidRPr="00D93AAA">
        <w:tab/>
        <w:t>=</w:t>
      </w:r>
      <w:r w:rsidRPr="00D93AAA">
        <w:tab/>
        <w:t>Price of lowest acceptable tender.</w:t>
      </w: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w:t>
            </w:r>
            <w:proofErr w:type="gramStart"/>
            <w:r w:rsidR="00BF4F02">
              <w:rPr>
                <w:b/>
              </w:rPr>
              <w:t xml:space="preserve">submitted </w:t>
            </w:r>
            <w:r>
              <w:rPr>
                <w:b/>
              </w:rPr>
              <w:t xml:space="preserve"> by</w:t>
            </w:r>
            <w:proofErr w:type="gramEnd"/>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BBBEE certificate/</w:t>
            </w:r>
            <w:proofErr w:type="gramStart"/>
            <w:r>
              <w:t xml:space="preserve">sworn </w:t>
            </w:r>
            <w:r w:rsidR="00656238">
              <w:t>affidavit</w:t>
            </w:r>
            <w:proofErr w:type="gramEnd"/>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729B28C1" w14:textId="13A13632" w:rsidR="00777F53" w:rsidRPr="00D93AAA" w:rsidRDefault="0005226A" w:rsidP="00777F53">
      <w:pPr>
        <w:pStyle w:val="Index4"/>
        <w:numPr>
          <w:ilvl w:val="3"/>
          <w:numId w:val="17"/>
        </w:numPr>
      </w:pPr>
      <w:proofErr w:type="spellStart"/>
      <w:r>
        <w:t>Necsa</w:t>
      </w:r>
      <w:proofErr w:type="spellEnd"/>
      <w:r>
        <w:t xml:space="preserve">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p>
    <w:bookmarkEnd w:id="28"/>
    <w:bookmarkEnd w:id="29"/>
    <w:p w14:paraId="7AD5614B" w14:textId="53FDEF31" w:rsidR="009742E0" w:rsidRPr="005F4A98" w:rsidRDefault="00777F53" w:rsidP="005F4A98">
      <w:pPr>
        <w:rPr>
          <w:b/>
          <w:sz w:val="20"/>
        </w:rPr>
      </w:pPr>
      <w:r>
        <w:br w:type="page"/>
      </w:r>
    </w:p>
    <w:p w14:paraId="67026312" w14:textId="77777777" w:rsidR="0058701E" w:rsidRDefault="0058701E" w:rsidP="00DA39DC">
      <w:pPr>
        <w:pStyle w:val="Index1"/>
      </w:pPr>
      <w:bookmarkStart w:id="34" w:name="_Toc187404196"/>
      <w:bookmarkEnd w:id="34"/>
    </w:p>
    <w:p w14:paraId="619F87DF" w14:textId="77777777" w:rsidR="00DA39DC" w:rsidRPr="00C95C94" w:rsidRDefault="00DA39DC" w:rsidP="005E71C3">
      <w:pPr>
        <w:pStyle w:val="Index2"/>
        <w:numPr>
          <w:ilvl w:val="1"/>
          <w:numId w:val="13"/>
        </w:numPr>
      </w:pPr>
      <w:bookmarkStart w:id="35" w:name="_Toc187404197"/>
      <w:r w:rsidRPr="00C95C94">
        <w:t>Returnable documents</w:t>
      </w:r>
      <w:r w:rsidR="00292449" w:rsidRPr="00C95C94">
        <w:t xml:space="preserve"> C</w:t>
      </w:r>
      <w:r w:rsidR="002D3216" w:rsidRPr="00C95C94">
        <w:t>hecklist</w:t>
      </w:r>
      <w:bookmarkEnd w:id="35"/>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proofErr w:type="spellStart"/>
            <w:r>
              <w:t>Necsa</w:t>
            </w:r>
            <w:proofErr w:type="spellEnd"/>
            <w:r>
              <w:t xml:space="preserve">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proofErr w:type="spellStart"/>
            <w:r>
              <w:t>Necsa</w:t>
            </w:r>
            <w:proofErr w:type="spellEnd"/>
            <w:r>
              <w:t xml:space="preserve">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proofErr w:type="spellStart"/>
            <w:r>
              <w:t>Necsa</w:t>
            </w:r>
            <w:proofErr w:type="spellEnd"/>
            <w:r>
              <w:t xml:space="preserve">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6" w:name="_Toc187404198"/>
      <w:r w:rsidRPr="00F02CA8">
        <w:lastRenderedPageBreak/>
        <w:t>B</w:t>
      </w:r>
      <w:r w:rsidR="00F616A4">
        <w:t>idder</w:t>
      </w:r>
      <w:r w:rsidRPr="00F02CA8">
        <w:t xml:space="preserve"> I</w:t>
      </w:r>
      <w:r w:rsidR="00F616A4">
        <w:t>nformation</w:t>
      </w:r>
      <w:bookmarkEnd w:id="36"/>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r w:rsidRPr="006F313C">
        <w:rPr>
          <w:color w:val="auto"/>
        </w:rPr>
        <w:lastRenderedPageBreak/>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4FCE06AA" w:rsidR="006E6BE0" w:rsidRPr="006F313C" w:rsidRDefault="005F4A98" w:rsidP="006E6BE0">
      <w:pPr>
        <w:pStyle w:val="ListParagraph"/>
        <w:widowControl/>
        <w:numPr>
          <w:ilvl w:val="1"/>
          <w:numId w:val="0"/>
        </w:numPr>
        <w:spacing w:before="0" w:after="0" w:line="240" w:lineRule="auto"/>
        <w:ind w:left="720" w:hanging="720"/>
        <w:textAlignment w:val="baseline"/>
        <w:outlineLvl w:val="9"/>
        <w:rPr>
          <w:szCs w:val="24"/>
          <w:lang w:val="en-US"/>
        </w:rPr>
      </w:pPr>
      <w:r>
        <w:rPr>
          <w:szCs w:val="24"/>
          <w:lang w:val="en-US"/>
        </w:rPr>
        <w:t xml:space="preserve"> </w:t>
      </w:r>
      <w:r w:rsidR="006E6BE0" w:rsidRPr="006F313C">
        <w:rPr>
          <w:szCs w:val="24"/>
          <w:lang w:val="en-US"/>
        </w:rPr>
        <w:t xml:space="preserve">For purposes of this agreement, The Responsible Party and The Operator agree that The Responsible Party is the Responsible Party of </w:t>
      </w:r>
      <w:proofErr w:type="gramStart"/>
      <w:r w:rsidR="006E6BE0" w:rsidRPr="006F313C">
        <w:rPr>
          <w:szCs w:val="24"/>
          <w:lang w:val="en-US"/>
        </w:rPr>
        <w:t>the Personal</w:t>
      </w:r>
      <w:proofErr w:type="gramEnd"/>
      <w:r w:rsidR="006E6BE0"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006E6BE0"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83E8" w14:textId="77777777" w:rsidR="001C46AE" w:rsidRDefault="001C46AE" w:rsidP="00CD1845">
      <w:pPr>
        <w:spacing w:before="0" w:after="0" w:line="240" w:lineRule="auto"/>
      </w:pPr>
      <w:r>
        <w:separator/>
      </w:r>
    </w:p>
    <w:p w14:paraId="23D01C79" w14:textId="77777777" w:rsidR="001C46AE" w:rsidRDefault="001C46AE"/>
  </w:endnote>
  <w:endnote w:type="continuationSeparator" w:id="0">
    <w:p w14:paraId="30290F30" w14:textId="77777777" w:rsidR="001C46AE" w:rsidRDefault="001C46AE" w:rsidP="00CD1845">
      <w:pPr>
        <w:spacing w:before="0" w:after="0" w:line="240" w:lineRule="auto"/>
      </w:pPr>
      <w:r>
        <w:continuationSeparator/>
      </w:r>
    </w:p>
    <w:p w14:paraId="32386A80" w14:textId="77777777" w:rsidR="001C46AE" w:rsidRDefault="001C4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3A5277AE" w:rsidR="007F5C5F" w:rsidRPr="00313CE5" w:rsidRDefault="007F5C5F" w:rsidP="007F5C5F">
          <w:pPr>
            <w:rPr>
              <w:highlight w:val="yellow"/>
              <w:lang w:val="en-ZA" w:eastAsia="en-US"/>
            </w:rPr>
          </w:pP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619F" w14:textId="77777777" w:rsidR="001C46AE" w:rsidRDefault="001C46AE" w:rsidP="00CD1845">
      <w:pPr>
        <w:spacing w:before="0" w:after="0" w:line="240" w:lineRule="auto"/>
      </w:pPr>
      <w:r>
        <w:separator/>
      </w:r>
    </w:p>
    <w:p w14:paraId="3814D6F8" w14:textId="77777777" w:rsidR="001C46AE" w:rsidRDefault="001C46AE"/>
  </w:footnote>
  <w:footnote w:type="continuationSeparator" w:id="0">
    <w:p w14:paraId="7E4A126E" w14:textId="77777777" w:rsidR="001C46AE" w:rsidRDefault="001C46AE" w:rsidP="00CD1845">
      <w:pPr>
        <w:spacing w:before="0" w:after="0" w:line="240" w:lineRule="auto"/>
      </w:pPr>
      <w:r>
        <w:continuationSeparator/>
      </w:r>
    </w:p>
    <w:p w14:paraId="7AB20B7B" w14:textId="77777777" w:rsidR="001C46AE" w:rsidRDefault="001C46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BD57B3"/>
    <w:multiLevelType w:val="multilevel"/>
    <w:tmpl w:val="687E4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2311D"/>
    <w:multiLevelType w:val="multilevel"/>
    <w:tmpl w:val="C2F6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D7304"/>
    <w:multiLevelType w:val="hybridMultilevel"/>
    <w:tmpl w:val="5754B1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8"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9" w15:restartNumberingAfterBreak="0">
    <w:nsid w:val="1DAA3F1A"/>
    <w:multiLevelType w:val="multilevel"/>
    <w:tmpl w:val="01881BDA"/>
    <w:lvl w:ilvl="0">
      <w:start w:val="1"/>
      <w:numFmt w:val="bullet"/>
      <w:lvlText w:val=""/>
      <w:lvlJc w:val="left"/>
      <w:pPr>
        <w:tabs>
          <w:tab w:val="num" w:pos="1690"/>
        </w:tabs>
        <w:ind w:left="1690" w:hanging="360"/>
      </w:pPr>
      <w:rPr>
        <w:rFonts w:ascii="Symbol" w:hAnsi="Symbol" w:hint="default"/>
        <w:sz w:val="20"/>
      </w:rPr>
    </w:lvl>
    <w:lvl w:ilvl="1" w:tentative="1">
      <w:start w:val="1"/>
      <w:numFmt w:val="bullet"/>
      <w:lvlText w:val="o"/>
      <w:lvlJc w:val="left"/>
      <w:pPr>
        <w:tabs>
          <w:tab w:val="num" w:pos="2410"/>
        </w:tabs>
        <w:ind w:left="2410" w:hanging="360"/>
      </w:pPr>
      <w:rPr>
        <w:rFonts w:ascii="Courier New" w:hAnsi="Courier New" w:hint="default"/>
        <w:sz w:val="20"/>
      </w:rPr>
    </w:lvl>
    <w:lvl w:ilvl="2" w:tentative="1">
      <w:start w:val="1"/>
      <w:numFmt w:val="bullet"/>
      <w:lvlText w:val=""/>
      <w:lvlJc w:val="left"/>
      <w:pPr>
        <w:tabs>
          <w:tab w:val="num" w:pos="3130"/>
        </w:tabs>
        <w:ind w:left="3130" w:hanging="360"/>
      </w:pPr>
      <w:rPr>
        <w:rFonts w:ascii="Wingdings" w:hAnsi="Wingdings" w:hint="default"/>
        <w:sz w:val="20"/>
      </w:rPr>
    </w:lvl>
    <w:lvl w:ilvl="3" w:tentative="1">
      <w:start w:val="1"/>
      <w:numFmt w:val="bullet"/>
      <w:lvlText w:val=""/>
      <w:lvlJc w:val="left"/>
      <w:pPr>
        <w:tabs>
          <w:tab w:val="num" w:pos="3850"/>
        </w:tabs>
        <w:ind w:left="3850" w:hanging="360"/>
      </w:pPr>
      <w:rPr>
        <w:rFonts w:ascii="Wingdings" w:hAnsi="Wingdings" w:hint="default"/>
        <w:sz w:val="20"/>
      </w:rPr>
    </w:lvl>
    <w:lvl w:ilvl="4" w:tentative="1">
      <w:start w:val="1"/>
      <w:numFmt w:val="bullet"/>
      <w:lvlText w:val=""/>
      <w:lvlJc w:val="left"/>
      <w:pPr>
        <w:tabs>
          <w:tab w:val="num" w:pos="4570"/>
        </w:tabs>
        <w:ind w:left="4570" w:hanging="360"/>
      </w:pPr>
      <w:rPr>
        <w:rFonts w:ascii="Wingdings" w:hAnsi="Wingdings" w:hint="default"/>
        <w:sz w:val="20"/>
      </w:rPr>
    </w:lvl>
    <w:lvl w:ilvl="5" w:tentative="1">
      <w:start w:val="1"/>
      <w:numFmt w:val="bullet"/>
      <w:lvlText w:val=""/>
      <w:lvlJc w:val="left"/>
      <w:pPr>
        <w:tabs>
          <w:tab w:val="num" w:pos="5290"/>
        </w:tabs>
        <w:ind w:left="5290" w:hanging="360"/>
      </w:pPr>
      <w:rPr>
        <w:rFonts w:ascii="Wingdings" w:hAnsi="Wingdings" w:hint="default"/>
        <w:sz w:val="20"/>
      </w:rPr>
    </w:lvl>
    <w:lvl w:ilvl="6" w:tentative="1">
      <w:start w:val="1"/>
      <w:numFmt w:val="bullet"/>
      <w:lvlText w:val=""/>
      <w:lvlJc w:val="left"/>
      <w:pPr>
        <w:tabs>
          <w:tab w:val="num" w:pos="6010"/>
        </w:tabs>
        <w:ind w:left="6010" w:hanging="360"/>
      </w:pPr>
      <w:rPr>
        <w:rFonts w:ascii="Wingdings" w:hAnsi="Wingdings" w:hint="default"/>
        <w:sz w:val="20"/>
      </w:rPr>
    </w:lvl>
    <w:lvl w:ilvl="7" w:tentative="1">
      <w:start w:val="1"/>
      <w:numFmt w:val="bullet"/>
      <w:lvlText w:val=""/>
      <w:lvlJc w:val="left"/>
      <w:pPr>
        <w:tabs>
          <w:tab w:val="num" w:pos="6730"/>
        </w:tabs>
        <w:ind w:left="6730" w:hanging="360"/>
      </w:pPr>
      <w:rPr>
        <w:rFonts w:ascii="Wingdings" w:hAnsi="Wingdings" w:hint="default"/>
        <w:sz w:val="20"/>
      </w:rPr>
    </w:lvl>
    <w:lvl w:ilvl="8" w:tentative="1">
      <w:start w:val="1"/>
      <w:numFmt w:val="bullet"/>
      <w:lvlText w:val=""/>
      <w:lvlJc w:val="left"/>
      <w:pPr>
        <w:tabs>
          <w:tab w:val="num" w:pos="7450"/>
        </w:tabs>
        <w:ind w:left="7450" w:hanging="360"/>
      </w:pPr>
      <w:rPr>
        <w:rFonts w:ascii="Wingdings" w:hAnsi="Wingdings" w:hint="default"/>
        <w:sz w:val="20"/>
      </w:rPr>
    </w:lvl>
  </w:abstractNum>
  <w:abstractNum w:abstractNumId="10"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1"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2A052E41"/>
    <w:multiLevelType w:val="multilevel"/>
    <w:tmpl w:val="68A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6"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8"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404C5B97"/>
    <w:multiLevelType w:val="multilevel"/>
    <w:tmpl w:val="F65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A3B63"/>
    <w:multiLevelType w:val="multilevel"/>
    <w:tmpl w:val="08120C86"/>
    <w:lvl w:ilvl="0">
      <w:start w:val="1"/>
      <w:numFmt w:val="decimal"/>
      <w:lvlText w:val="%1."/>
      <w:lvlJc w:val="left"/>
      <w:pPr>
        <w:ind w:left="970" w:hanging="852"/>
        <w:jc w:val="righ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970" w:hanging="852"/>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970" w:hanging="852"/>
      </w:pPr>
      <w:rPr>
        <w:rFonts w:ascii="Arial" w:eastAsia="Arial" w:hAnsi="Arial" w:cs="Arial" w:hint="default"/>
        <w:b w:val="0"/>
        <w:bCs w:val="0"/>
        <w:i w:val="0"/>
        <w:iCs w:val="0"/>
        <w:w w:val="100"/>
        <w:sz w:val="22"/>
        <w:szCs w:val="22"/>
        <w:lang w:val="en-US" w:eastAsia="en-US" w:bidi="ar-SA"/>
      </w:rPr>
    </w:lvl>
    <w:lvl w:ilvl="3">
      <w:start w:val="1"/>
      <w:numFmt w:val="decimal"/>
      <w:lvlText w:val="%1.%2.%3.%4"/>
      <w:lvlJc w:val="left"/>
      <w:pPr>
        <w:ind w:left="970" w:hanging="852"/>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4654" w:hanging="852"/>
      </w:pPr>
      <w:rPr>
        <w:rFonts w:hint="default"/>
        <w:lang w:val="en-US" w:eastAsia="en-US" w:bidi="ar-SA"/>
      </w:rPr>
    </w:lvl>
    <w:lvl w:ilvl="5">
      <w:numFmt w:val="bullet"/>
      <w:lvlText w:val="•"/>
      <w:lvlJc w:val="left"/>
      <w:pPr>
        <w:ind w:left="5573" w:hanging="852"/>
      </w:pPr>
      <w:rPr>
        <w:rFonts w:hint="default"/>
        <w:lang w:val="en-US" w:eastAsia="en-US" w:bidi="ar-SA"/>
      </w:rPr>
    </w:lvl>
    <w:lvl w:ilvl="6">
      <w:numFmt w:val="bullet"/>
      <w:lvlText w:val="•"/>
      <w:lvlJc w:val="left"/>
      <w:pPr>
        <w:ind w:left="6491" w:hanging="852"/>
      </w:pPr>
      <w:rPr>
        <w:rFonts w:hint="default"/>
        <w:lang w:val="en-US" w:eastAsia="en-US" w:bidi="ar-SA"/>
      </w:rPr>
    </w:lvl>
    <w:lvl w:ilvl="7">
      <w:numFmt w:val="bullet"/>
      <w:lvlText w:val="•"/>
      <w:lvlJc w:val="left"/>
      <w:pPr>
        <w:ind w:left="7410" w:hanging="852"/>
      </w:pPr>
      <w:rPr>
        <w:rFonts w:hint="default"/>
        <w:lang w:val="en-US" w:eastAsia="en-US" w:bidi="ar-SA"/>
      </w:rPr>
    </w:lvl>
    <w:lvl w:ilvl="8">
      <w:numFmt w:val="bullet"/>
      <w:lvlText w:val="•"/>
      <w:lvlJc w:val="left"/>
      <w:pPr>
        <w:ind w:left="8329" w:hanging="852"/>
      </w:pPr>
      <w:rPr>
        <w:rFonts w:hint="default"/>
        <w:lang w:val="en-US" w:eastAsia="en-US" w:bidi="ar-SA"/>
      </w:rPr>
    </w:lvl>
  </w:abstractNum>
  <w:abstractNum w:abstractNumId="22"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3" w15:restartNumberingAfterBreak="0">
    <w:nsid w:val="48EE0548"/>
    <w:multiLevelType w:val="multilevel"/>
    <w:tmpl w:val="BBF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D5DD4"/>
    <w:multiLevelType w:val="multilevel"/>
    <w:tmpl w:val="FDC2A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CD32A2"/>
    <w:multiLevelType w:val="multilevel"/>
    <w:tmpl w:val="3EE2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5" w15:restartNumberingAfterBreak="0">
    <w:nsid w:val="5FB14C43"/>
    <w:multiLevelType w:val="multilevel"/>
    <w:tmpl w:val="E08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30324"/>
    <w:multiLevelType w:val="multilevel"/>
    <w:tmpl w:val="DC66D6FA"/>
    <w:numStyleLink w:val="ACSListStyle"/>
  </w:abstractNum>
  <w:abstractNum w:abstractNumId="37" w15:restartNumberingAfterBreak="0">
    <w:nsid w:val="60333DA6"/>
    <w:multiLevelType w:val="multilevel"/>
    <w:tmpl w:val="8996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9" w15:restartNumberingAfterBreak="0">
    <w:nsid w:val="67CD7D95"/>
    <w:multiLevelType w:val="multilevel"/>
    <w:tmpl w:val="45D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8"/>
  </w:num>
  <w:num w:numId="2" w16cid:durableId="1455446398">
    <w:abstractNumId w:val="7"/>
  </w:num>
  <w:num w:numId="3" w16cid:durableId="236675952">
    <w:abstractNumId w:val="6"/>
  </w:num>
  <w:num w:numId="4" w16cid:durableId="1817607055">
    <w:abstractNumId w:val="22"/>
  </w:num>
  <w:num w:numId="5" w16cid:durableId="1050690789">
    <w:abstractNumId w:val="3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40"/>
  </w:num>
  <w:num w:numId="7" w16cid:durableId="1227371664">
    <w:abstractNumId w:val="15"/>
  </w:num>
  <w:num w:numId="8" w16cid:durableId="134614312">
    <w:abstractNumId w:val="33"/>
  </w:num>
  <w:num w:numId="9" w16cid:durableId="1964383686">
    <w:abstractNumId w:val="10"/>
  </w:num>
  <w:num w:numId="10" w16cid:durableId="1358890128">
    <w:abstractNumId w:val="16"/>
  </w:num>
  <w:num w:numId="11" w16cid:durableId="778571356">
    <w:abstractNumId w:val="15"/>
  </w:num>
  <w:num w:numId="12" w16cid:durableId="1833524867">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1"/>
  </w:num>
  <w:num w:numId="15" w16cid:durableId="1567258405">
    <w:abstractNumId w:val="29"/>
  </w:num>
  <w:num w:numId="16" w16cid:durableId="141898692">
    <w:abstractNumId w:val="1"/>
  </w:num>
  <w:num w:numId="17" w16cid:durableId="2007971863">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8"/>
  </w:num>
  <w:num w:numId="19" w16cid:durableId="674304335">
    <w:abstractNumId w:val="19"/>
  </w:num>
  <w:num w:numId="20" w16cid:durableId="867572746">
    <w:abstractNumId w:val="34"/>
  </w:num>
  <w:num w:numId="21" w16cid:durableId="129981831">
    <w:abstractNumId w:val="32"/>
  </w:num>
  <w:num w:numId="22" w16cid:durableId="1235965736">
    <w:abstractNumId w:val="17"/>
  </w:num>
  <w:num w:numId="23" w16cid:durableId="222102781">
    <w:abstractNumId w:val="0"/>
  </w:num>
  <w:num w:numId="24" w16cid:durableId="35009335">
    <w:abstractNumId w:val="15"/>
  </w:num>
  <w:num w:numId="25" w16cid:durableId="1429692832">
    <w:abstractNumId w:val="15"/>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41"/>
  </w:num>
  <w:num w:numId="27" w16cid:durableId="1744528886">
    <w:abstractNumId w:val="31"/>
  </w:num>
  <w:num w:numId="28" w16cid:durableId="1378238183">
    <w:abstractNumId w:val="25"/>
  </w:num>
  <w:num w:numId="29" w16cid:durableId="1146166041">
    <w:abstractNumId w:val="42"/>
  </w:num>
  <w:num w:numId="30" w16cid:durableId="160128277">
    <w:abstractNumId w:val="13"/>
  </w:num>
  <w:num w:numId="31" w16cid:durableId="324554064">
    <w:abstractNumId w:val="44"/>
  </w:num>
  <w:num w:numId="32" w16cid:durableId="608196441">
    <w:abstractNumId w:val="27"/>
  </w:num>
  <w:num w:numId="33" w16cid:durableId="1061244911">
    <w:abstractNumId w:val="14"/>
  </w:num>
  <w:num w:numId="34" w16cid:durableId="1179854558">
    <w:abstractNumId w:val="18"/>
  </w:num>
  <w:num w:numId="35" w16cid:durableId="1253660253">
    <w:abstractNumId w:val="8"/>
  </w:num>
  <w:num w:numId="36" w16cid:durableId="1040209671">
    <w:abstractNumId w:val="15"/>
  </w:num>
  <w:num w:numId="37" w16cid:durableId="1800294870">
    <w:abstractNumId w:val="15"/>
  </w:num>
  <w:num w:numId="38" w16cid:durableId="1634486951">
    <w:abstractNumId w:val="43"/>
  </w:num>
  <w:num w:numId="39" w16cid:durableId="1093815304">
    <w:abstractNumId w:val="30"/>
  </w:num>
  <w:num w:numId="40" w16cid:durableId="380137118">
    <w:abstractNumId w:val="21"/>
  </w:num>
  <w:num w:numId="41" w16cid:durableId="2022511677">
    <w:abstractNumId w:val="9"/>
  </w:num>
  <w:num w:numId="42" w16cid:durableId="1749184638">
    <w:abstractNumId w:val="4"/>
  </w:num>
  <w:num w:numId="43" w16cid:durableId="1376926964">
    <w:abstractNumId w:val="39"/>
  </w:num>
  <w:num w:numId="44" w16cid:durableId="587464812">
    <w:abstractNumId w:val="12"/>
  </w:num>
  <w:num w:numId="45" w16cid:durableId="512720294">
    <w:abstractNumId w:val="5"/>
  </w:num>
  <w:num w:numId="46" w16cid:durableId="2068913509">
    <w:abstractNumId w:val="37"/>
  </w:num>
  <w:num w:numId="47" w16cid:durableId="1024400103">
    <w:abstractNumId w:val="35"/>
  </w:num>
  <w:num w:numId="48" w16cid:durableId="1568373449">
    <w:abstractNumId w:val="26"/>
  </w:num>
  <w:num w:numId="49" w16cid:durableId="1637223702">
    <w:abstractNumId w:val="23"/>
  </w:num>
  <w:num w:numId="50" w16cid:durableId="577598006">
    <w:abstractNumId w:val="3"/>
  </w:num>
  <w:num w:numId="51" w16cid:durableId="82847072">
    <w:abstractNumId w:val="20"/>
  </w:num>
  <w:num w:numId="52" w16cid:durableId="16399207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0A65"/>
    <w:rsid w:val="000C103B"/>
    <w:rsid w:val="000C2C64"/>
    <w:rsid w:val="000C390C"/>
    <w:rsid w:val="000C44C2"/>
    <w:rsid w:val="000E070F"/>
    <w:rsid w:val="000E39CD"/>
    <w:rsid w:val="000E63F3"/>
    <w:rsid w:val="000F478C"/>
    <w:rsid w:val="000F6CD7"/>
    <w:rsid w:val="0010102C"/>
    <w:rsid w:val="00101956"/>
    <w:rsid w:val="0010557F"/>
    <w:rsid w:val="0010656A"/>
    <w:rsid w:val="001123AD"/>
    <w:rsid w:val="001221C6"/>
    <w:rsid w:val="00125802"/>
    <w:rsid w:val="00131B24"/>
    <w:rsid w:val="00133FF7"/>
    <w:rsid w:val="00137086"/>
    <w:rsid w:val="00142849"/>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374C"/>
    <w:rsid w:val="001B5C29"/>
    <w:rsid w:val="001B62A0"/>
    <w:rsid w:val="001B670E"/>
    <w:rsid w:val="001C0355"/>
    <w:rsid w:val="001C131D"/>
    <w:rsid w:val="001C46AE"/>
    <w:rsid w:val="001C4EAB"/>
    <w:rsid w:val="001D0780"/>
    <w:rsid w:val="001D0E7C"/>
    <w:rsid w:val="001D4236"/>
    <w:rsid w:val="001D644F"/>
    <w:rsid w:val="001D6A5F"/>
    <w:rsid w:val="001D74ED"/>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377B0"/>
    <w:rsid w:val="00245146"/>
    <w:rsid w:val="002468C0"/>
    <w:rsid w:val="00250BE7"/>
    <w:rsid w:val="00250C3E"/>
    <w:rsid w:val="0025110A"/>
    <w:rsid w:val="00253F24"/>
    <w:rsid w:val="00257932"/>
    <w:rsid w:val="00263DE3"/>
    <w:rsid w:val="002643E9"/>
    <w:rsid w:val="00264F10"/>
    <w:rsid w:val="00272969"/>
    <w:rsid w:val="00272A4B"/>
    <w:rsid w:val="002734D4"/>
    <w:rsid w:val="00273FDA"/>
    <w:rsid w:val="0027543C"/>
    <w:rsid w:val="0027565A"/>
    <w:rsid w:val="002820D5"/>
    <w:rsid w:val="0028352E"/>
    <w:rsid w:val="00283C84"/>
    <w:rsid w:val="00291EF9"/>
    <w:rsid w:val="00292449"/>
    <w:rsid w:val="00294BCE"/>
    <w:rsid w:val="0029519C"/>
    <w:rsid w:val="002953A1"/>
    <w:rsid w:val="0029677C"/>
    <w:rsid w:val="00296F2E"/>
    <w:rsid w:val="00297E07"/>
    <w:rsid w:val="002A3D77"/>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27F58"/>
    <w:rsid w:val="00330A4C"/>
    <w:rsid w:val="00332317"/>
    <w:rsid w:val="0033606A"/>
    <w:rsid w:val="00336F0F"/>
    <w:rsid w:val="00337854"/>
    <w:rsid w:val="00341BFD"/>
    <w:rsid w:val="00346799"/>
    <w:rsid w:val="00347642"/>
    <w:rsid w:val="00352970"/>
    <w:rsid w:val="00353BAA"/>
    <w:rsid w:val="00354032"/>
    <w:rsid w:val="003546CF"/>
    <w:rsid w:val="0035761A"/>
    <w:rsid w:val="00362917"/>
    <w:rsid w:val="00364517"/>
    <w:rsid w:val="00367FD1"/>
    <w:rsid w:val="00370593"/>
    <w:rsid w:val="00371657"/>
    <w:rsid w:val="00373840"/>
    <w:rsid w:val="00375B40"/>
    <w:rsid w:val="00376C17"/>
    <w:rsid w:val="00382604"/>
    <w:rsid w:val="00383786"/>
    <w:rsid w:val="003900CE"/>
    <w:rsid w:val="003912DA"/>
    <w:rsid w:val="00392278"/>
    <w:rsid w:val="003929E9"/>
    <w:rsid w:val="00395856"/>
    <w:rsid w:val="00395CAC"/>
    <w:rsid w:val="00397AE8"/>
    <w:rsid w:val="003A235B"/>
    <w:rsid w:val="003A6821"/>
    <w:rsid w:val="003A6A8B"/>
    <w:rsid w:val="003B0F32"/>
    <w:rsid w:val="003B2BDA"/>
    <w:rsid w:val="003B5673"/>
    <w:rsid w:val="003D5ADD"/>
    <w:rsid w:val="003D6C04"/>
    <w:rsid w:val="003D6F6C"/>
    <w:rsid w:val="003E10BA"/>
    <w:rsid w:val="003E57F9"/>
    <w:rsid w:val="003E62A4"/>
    <w:rsid w:val="003E6760"/>
    <w:rsid w:val="003F46AD"/>
    <w:rsid w:val="00401102"/>
    <w:rsid w:val="004027CD"/>
    <w:rsid w:val="00403418"/>
    <w:rsid w:val="00414D47"/>
    <w:rsid w:val="00420700"/>
    <w:rsid w:val="004226AA"/>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1F97"/>
    <w:rsid w:val="00492E44"/>
    <w:rsid w:val="004974B5"/>
    <w:rsid w:val="004A1C2F"/>
    <w:rsid w:val="004B3FB7"/>
    <w:rsid w:val="004B50E2"/>
    <w:rsid w:val="004B5F9A"/>
    <w:rsid w:val="004C06BE"/>
    <w:rsid w:val="004C087B"/>
    <w:rsid w:val="004C492D"/>
    <w:rsid w:val="004C4977"/>
    <w:rsid w:val="004C618F"/>
    <w:rsid w:val="004C6CAD"/>
    <w:rsid w:val="004C7C23"/>
    <w:rsid w:val="004D1B87"/>
    <w:rsid w:val="004D2A5D"/>
    <w:rsid w:val="004D45DF"/>
    <w:rsid w:val="004D4729"/>
    <w:rsid w:val="004D695D"/>
    <w:rsid w:val="004D7299"/>
    <w:rsid w:val="004E00F0"/>
    <w:rsid w:val="004E279C"/>
    <w:rsid w:val="004E3330"/>
    <w:rsid w:val="004E7B9A"/>
    <w:rsid w:val="00501FDB"/>
    <w:rsid w:val="00517220"/>
    <w:rsid w:val="00536661"/>
    <w:rsid w:val="00544FAA"/>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C070C"/>
    <w:rsid w:val="005C3E6E"/>
    <w:rsid w:val="005D49AB"/>
    <w:rsid w:val="005E71C3"/>
    <w:rsid w:val="005F4A98"/>
    <w:rsid w:val="005F793C"/>
    <w:rsid w:val="005F7D71"/>
    <w:rsid w:val="005F7F05"/>
    <w:rsid w:val="006026B8"/>
    <w:rsid w:val="006053CA"/>
    <w:rsid w:val="00606527"/>
    <w:rsid w:val="0060709E"/>
    <w:rsid w:val="00612896"/>
    <w:rsid w:val="006151AD"/>
    <w:rsid w:val="00621A7A"/>
    <w:rsid w:val="00623F1D"/>
    <w:rsid w:val="006255BC"/>
    <w:rsid w:val="00631457"/>
    <w:rsid w:val="0063625C"/>
    <w:rsid w:val="00636750"/>
    <w:rsid w:val="00640CAA"/>
    <w:rsid w:val="00641BE9"/>
    <w:rsid w:val="00646A6D"/>
    <w:rsid w:val="00647974"/>
    <w:rsid w:val="00650FC7"/>
    <w:rsid w:val="00651EF5"/>
    <w:rsid w:val="00656238"/>
    <w:rsid w:val="00656EA3"/>
    <w:rsid w:val="00657EA1"/>
    <w:rsid w:val="00664B44"/>
    <w:rsid w:val="00665A43"/>
    <w:rsid w:val="00671979"/>
    <w:rsid w:val="0067202A"/>
    <w:rsid w:val="0067261A"/>
    <w:rsid w:val="0067380F"/>
    <w:rsid w:val="00674693"/>
    <w:rsid w:val="00674E3E"/>
    <w:rsid w:val="00675306"/>
    <w:rsid w:val="00676612"/>
    <w:rsid w:val="00676974"/>
    <w:rsid w:val="0068396F"/>
    <w:rsid w:val="00685A72"/>
    <w:rsid w:val="00687DB8"/>
    <w:rsid w:val="006A012D"/>
    <w:rsid w:val="006A04F2"/>
    <w:rsid w:val="006A1D0F"/>
    <w:rsid w:val="006A1F7A"/>
    <w:rsid w:val="006A23BD"/>
    <w:rsid w:val="006A4548"/>
    <w:rsid w:val="006A7F24"/>
    <w:rsid w:val="006B3626"/>
    <w:rsid w:val="006B4A2E"/>
    <w:rsid w:val="006B719C"/>
    <w:rsid w:val="006B7A7A"/>
    <w:rsid w:val="006C1D81"/>
    <w:rsid w:val="006C25DE"/>
    <w:rsid w:val="006C7C22"/>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4DE7"/>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615F"/>
    <w:rsid w:val="008B008B"/>
    <w:rsid w:val="008B29C4"/>
    <w:rsid w:val="008B2DE4"/>
    <w:rsid w:val="008B398A"/>
    <w:rsid w:val="008B6833"/>
    <w:rsid w:val="008C40A7"/>
    <w:rsid w:val="008D5104"/>
    <w:rsid w:val="008D6541"/>
    <w:rsid w:val="008E2E29"/>
    <w:rsid w:val="008E4AC6"/>
    <w:rsid w:val="008E588B"/>
    <w:rsid w:val="008F65E8"/>
    <w:rsid w:val="008F6C51"/>
    <w:rsid w:val="008F6DED"/>
    <w:rsid w:val="008F7760"/>
    <w:rsid w:val="00903C5D"/>
    <w:rsid w:val="00905170"/>
    <w:rsid w:val="009059FE"/>
    <w:rsid w:val="00905ABB"/>
    <w:rsid w:val="00905AE4"/>
    <w:rsid w:val="00910C2B"/>
    <w:rsid w:val="00910C2C"/>
    <w:rsid w:val="00912D7E"/>
    <w:rsid w:val="00912F96"/>
    <w:rsid w:val="00914A4B"/>
    <w:rsid w:val="00916204"/>
    <w:rsid w:val="009171F1"/>
    <w:rsid w:val="00926678"/>
    <w:rsid w:val="009316BD"/>
    <w:rsid w:val="00931917"/>
    <w:rsid w:val="0094369B"/>
    <w:rsid w:val="00966EA2"/>
    <w:rsid w:val="009742E0"/>
    <w:rsid w:val="0097678F"/>
    <w:rsid w:val="0098279B"/>
    <w:rsid w:val="0099432C"/>
    <w:rsid w:val="009955E6"/>
    <w:rsid w:val="00995B11"/>
    <w:rsid w:val="009966AB"/>
    <w:rsid w:val="009A1AF8"/>
    <w:rsid w:val="009B0372"/>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127"/>
    <w:rsid w:val="00A00833"/>
    <w:rsid w:val="00A0106E"/>
    <w:rsid w:val="00A1576A"/>
    <w:rsid w:val="00A17B9F"/>
    <w:rsid w:val="00A20A36"/>
    <w:rsid w:val="00A2135F"/>
    <w:rsid w:val="00A218F0"/>
    <w:rsid w:val="00A22B55"/>
    <w:rsid w:val="00A276E8"/>
    <w:rsid w:val="00A32C75"/>
    <w:rsid w:val="00A357CF"/>
    <w:rsid w:val="00A369AF"/>
    <w:rsid w:val="00A40B79"/>
    <w:rsid w:val="00A42E16"/>
    <w:rsid w:val="00A4708E"/>
    <w:rsid w:val="00A5183C"/>
    <w:rsid w:val="00A544AC"/>
    <w:rsid w:val="00A63339"/>
    <w:rsid w:val="00A65231"/>
    <w:rsid w:val="00A66E07"/>
    <w:rsid w:val="00A745F2"/>
    <w:rsid w:val="00A82F91"/>
    <w:rsid w:val="00A83372"/>
    <w:rsid w:val="00A8791F"/>
    <w:rsid w:val="00A9008F"/>
    <w:rsid w:val="00A901ED"/>
    <w:rsid w:val="00A946E5"/>
    <w:rsid w:val="00AB18ED"/>
    <w:rsid w:val="00AB31FE"/>
    <w:rsid w:val="00AB3FE5"/>
    <w:rsid w:val="00AB4948"/>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6881"/>
    <w:rsid w:val="00B06C78"/>
    <w:rsid w:val="00B07035"/>
    <w:rsid w:val="00B13225"/>
    <w:rsid w:val="00B1769F"/>
    <w:rsid w:val="00B24500"/>
    <w:rsid w:val="00B25BC1"/>
    <w:rsid w:val="00B316BC"/>
    <w:rsid w:val="00B32398"/>
    <w:rsid w:val="00B32CCB"/>
    <w:rsid w:val="00B33F5E"/>
    <w:rsid w:val="00B341B9"/>
    <w:rsid w:val="00B40443"/>
    <w:rsid w:val="00B40F07"/>
    <w:rsid w:val="00B43E85"/>
    <w:rsid w:val="00B5527F"/>
    <w:rsid w:val="00B55DBA"/>
    <w:rsid w:val="00B56AB0"/>
    <w:rsid w:val="00B629F5"/>
    <w:rsid w:val="00B64EF1"/>
    <w:rsid w:val="00B6512B"/>
    <w:rsid w:val="00B67838"/>
    <w:rsid w:val="00B737DB"/>
    <w:rsid w:val="00B80BE4"/>
    <w:rsid w:val="00B815B9"/>
    <w:rsid w:val="00B83E99"/>
    <w:rsid w:val="00B87664"/>
    <w:rsid w:val="00B87D31"/>
    <w:rsid w:val="00B90128"/>
    <w:rsid w:val="00B942E4"/>
    <w:rsid w:val="00B95D4B"/>
    <w:rsid w:val="00BB040A"/>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F1AB5"/>
    <w:rsid w:val="00BF3410"/>
    <w:rsid w:val="00BF4F02"/>
    <w:rsid w:val="00BF7877"/>
    <w:rsid w:val="00C041EA"/>
    <w:rsid w:val="00C075FD"/>
    <w:rsid w:val="00C142ED"/>
    <w:rsid w:val="00C14590"/>
    <w:rsid w:val="00C1777E"/>
    <w:rsid w:val="00C17C0F"/>
    <w:rsid w:val="00C2459E"/>
    <w:rsid w:val="00C3429F"/>
    <w:rsid w:val="00C34DFD"/>
    <w:rsid w:val="00C37554"/>
    <w:rsid w:val="00C42470"/>
    <w:rsid w:val="00C429C7"/>
    <w:rsid w:val="00C45E0B"/>
    <w:rsid w:val="00C47A25"/>
    <w:rsid w:val="00C51AB8"/>
    <w:rsid w:val="00C53564"/>
    <w:rsid w:val="00C613CB"/>
    <w:rsid w:val="00C6374C"/>
    <w:rsid w:val="00C70F7B"/>
    <w:rsid w:val="00C723E1"/>
    <w:rsid w:val="00C735E3"/>
    <w:rsid w:val="00C75B7C"/>
    <w:rsid w:val="00C7691A"/>
    <w:rsid w:val="00C92C3A"/>
    <w:rsid w:val="00C95C94"/>
    <w:rsid w:val="00CB01CB"/>
    <w:rsid w:val="00CB0908"/>
    <w:rsid w:val="00CB550C"/>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372C6"/>
    <w:rsid w:val="00D43505"/>
    <w:rsid w:val="00D43C55"/>
    <w:rsid w:val="00D44E70"/>
    <w:rsid w:val="00D46BCB"/>
    <w:rsid w:val="00D52537"/>
    <w:rsid w:val="00D52850"/>
    <w:rsid w:val="00D61A2C"/>
    <w:rsid w:val="00D61FB8"/>
    <w:rsid w:val="00D647BA"/>
    <w:rsid w:val="00D6488C"/>
    <w:rsid w:val="00D655B8"/>
    <w:rsid w:val="00D80D57"/>
    <w:rsid w:val="00D87C32"/>
    <w:rsid w:val="00D907E9"/>
    <w:rsid w:val="00D924F5"/>
    <w:rsid w:val="00DA39DC"/>
    <w:rsid w:val="00DA5F33"/>
    <w:rsid w:val="00DA72E8"/>
    <w:rsid w:val="00DA7B6A"/>
    <w:rsid w:val="00DB263A"/>
    <w:rsid w:val="00DB2A3E"/>
    <w:rsid w:val="00DB307D"/>
    <w:rsid w:val="00DB77DD"/>
    <w:rsid w:val="00DC5239"/>
    <w:rsid w:val="00DD4068"/>
    <w:rsid w:val="00DD4D76"/>
    <w:rsid w:val="00DD5A1C"/>
    <w:rsid w:val="00DE6851"/>
    <w:rsid w:val="00DF5CEE"/>
    <w:rsid w:val="00E005BE"/>
    <w:rsid w:val="00E03B36"/>
    <w:rsid w:val="00E0536F"/>
    <w:rsid w:val="00E075CD"/>
    <w:rsid w:val="00E11D39"/>
    <w:rsid w:val="00E12354"/>
    <w:rsid w:val="00E16A45"/>
    <w:rsid w:val="00E20194"/>
    <w:rsid w:val="00E210E1"/>
    <w:rsid w:val="00E247E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7E22"/>
    <w:rsid w:val="00E917CE"/>
    <w:rsid w:val="00E9599A"/>
    <w:rsid w:val="00E97EDD"/>
    <w:rsid w:val="00EB0405"/>
    <w:rsid w:val="00EB32E4"/>
    <w:rsid w:val="00EB71B1"/>
    <w:rsid w:val="00EC0993"/>
    <w:rsid w:val="00EC22C1"/>
    <w:rsid w:val="00EC5BA9"/>
    <w:rsid w:val="00ED0A58"/>
    <w:rsid w:val="00ED270C"/>
    <w:rsid w:val="00ED41E8"/>
    <w:rsid w:val="00ED5934"/>
    <w:rsid w:val="00ED76CB"/>
    <w:rsid w:val="00ED79CD"/>
    <w:rsid w:val="00EE08F2"/>
    <w:rsid w:val="00EE27F7"/>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473CE"/>
    <w:rsid w:val="00F5340D"/>
    <w:rsid w:val="00F5675C"/>
    <w:rsid w:val="00F56C25"/>
    <w:rsid w:val="00F616A4"/>
    <w:rsid w:val="00F61ECA"/>
    <w:rsid w:val="00F633EB"/>
    <w:rsid w:val="00F73EE2"/>
    <w:rsid w:val="00F802D3"/>
    <w:rsid w:val="00F80D24"/>
    <w:rsid w:val="00F81C79"/>
    <w:rsid w:val="00F83C1D"/>
    <w:rsid w:val="00F943E3"/>
    <w:rsid w:val="00FA01CD"/>
    <w:rsid w:val="00FA1AA1"/>
    <w:rsid w:val="00FA4A35"/>
    <w:rsid w:val="00FA7AFE"/>
    <w:rsid w:val="00FB1E06"/>
    <w:rsid w:val="00FC5B79"/>
    <w:rsid w:val="00FC5B7C"/>
    <w:rsid w:val="00FC677B"/>
    <w:rsid w:val="00FD1931"/>
    <w:rsid w:val="00FD71F8"/>
    <w:rsid w:val="00FD77AF"/>
    <w:rsid w:val="00FE460B"/>
    <w:rsid w:val="00FE64D6"/>
    <w:rsid w:val="00FF0280"/>
    <w:rsid w:val="00FF2734"/>
    <w:rsid w:val="00FF38A0"/>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B55DBA"/>
    <w:pPr>
      <w:spacing w:before="160" w:after="100"/>
      <w:ind w:left="851"/>
      <w:jc w:val="both"/>
      <w:outlineLvl w:val="2"/>
    </w:p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9316BD"/>
    <w:pPr>
      <w:autoSpaceDE w:val="0"/>
      <w:autoSpaceDN w:val="0"/>
      <w:spacing w:before="0" w:after="0" w:line="240" w:lineRule="auto"/>
      <w:outlineLvl w:val="9"/>
    </w:pPr>
    <w:rPr>
      <w:rFonts w:eastAsia="Arial"/>
      <w:i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5453</Words>
  <Characters>29870</Characters>
  <Application>Microsoft Office Word</Application>
  <DocSecurity>0</DocSecurity>
  <Lines>1167</Lines>
  <Paragraphs>626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9</cp:revision>
  <cp:lastPrinted>2021-05-13T06:31:00Z</cp:lastPrinted>
  <dcterms:created xsi:type="dcterms:W3CDTF">2026-03-19T08:35:00Z</dcterms:created>
  <dcterms:modified xsi:type="dcterms:W3CDTF">2026-03-20T07:00:00Z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678690462</vt:i4>
  </property>
  <property fmtid="{D5CDD505-2E9C-101B-9397-08002B2CF9AE}" pid="3" name="_NewReviewCycle">
    <vt:lpwstr/>
  </property>
  <property fmtid="{D5CDD505-2E9C-101B-9397-08002B2CF9AE}" pid="4" name="_EmailSubject">
    <vt:lpwstr>IT Tender to be published</vt:lpwstr>
  </property>
  <property fmtid="{D5CDD505-2E9C-101B-9397-08002B2CF9AE}" pid="5" name="_AuthorEmail">
    <vt:lpwstr>Fhatuwani.Mukwevho@ntp.co.za</vt:lpwstr>
  </property>
  <property fmtid="{D5CDD505-2E9C-101B-9397-08002B2CF9AE}" pid="6" name="_AuthorEmailDisplayName">
    <vt:lpwstr>Fhatuwani Mukwevho</vt:lpwstr>
  </property>
  <property fmtid="{D5CDD505-2E9C-101B-9397-08002B2CF9AE}" pid="7" name="_PreviousAdHocReviewCycleID">
    <vt:i4>1271267606</vt:i4>
  </property>
  <property fmtid="{D5CDD505-2E9C-101B-9397-08002B2CF9AE}" pid="8" name="_ReviewingToolsShownOnce">
    <vt:lpwstr/>
  </property>
</Properties>
</file>