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758A3F13" w:rsidR="00CD1845" w:rsidRPr="000D4C7D" w:rsidRDefault="008C40A7" w:rsidP="00CD1845">
            <w:pPr>
              <w:rPr>
                <w:lang w:val="en-ZA" w:eastAsia="en-US"/>
              </w:rPr>
            </w:pPr>
            <w:r w:rsidRPr="000D4C7D">
              <w:rPr>
                <w:lang w:val="en-ZA" w:eastAsia="en-US"/>
              </w:rPr>
              <w:t>FIN-SCM-TEN-0</w:t>
            </w:r>
            <w:r w:rsidR="000D4C7D" w:rsidRPr="000D4C7D">
              <w:rPr>
                <w:lang w:val="en-ZA" w:eastAsia="en-US"/>
              </w:rPr>
              <w:t>2</w:t>
            </w:r>
            <w:r w:rsidR="00985EAD">
              <w:rPr>
                <w:lang w:val="en-ZA" w:eastAsia="en-US"/>
              </w:rPr>
              <w:t>29</w:t>
            </w:r>
          </w:p>
        </w:tc>
      </w:tr>
      <w:tr w:rsidR="00CD1845" w14:paraId="65F4BFD4" w14:textId="77777777" w:rsidTr="00851733">
        <w:trPr>
          <w:trHeight w:val="740"/>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730C6DEE" w:rsidR="00CD1845" w:rsidRPr="000D4C7D" w:rsidRDefault="00D31FD8" w:rsidP="003B1532">
            <w:pPr>
              <w:jc w:val="both"/>
            </w:pPr>
            <w:bookmarkStart w:id="0" w:name="_Hlk100224806"/>
            <w:r w:rsidRPr="000D4C7D">
              <w:rPr>
                <w:lang w:val="en-US"/>
              </w:rPr>
              <w:t>Bid to supply, delivery, install, commission, maintain and provide training on one Laser Particle Size</w:t>
            </w:r>
            <w:r w:rsidR="00A5626A" w:rsidRPr="000D4C7D">
              <w:rPr>
                <w:lang w:val="en-US"/>
              </w:rPr>
              <w:t xml:space="preserve"> with dynamic image analyser</w:t>
            </w:r>
            <w:r w:rsidRPr="000D4C7D">
              <w:rPr>
                <w:lang w:val="en-US"/>
              </w:rPr>
              <w:t xml:space="preserve"> for </w:t>
            </w:r>
            <w:bookmarkEnd w:id="0"/>
            <w:r w:rsidRPr="000D4C7D">
              <w:rPr>
                <w:lang w:val="en-US"/>
              </w:rPr>
              <w:t>Nuclear Materials Research Group</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091E0867" w:rsidR="00CD1845" w:rsidRPr="000D4C7D" w:rsidRDefault="000D4C7D" w:rsidP="00EE08F2">
            <w:pPr>
              <w:rPr>
                <w:lang w:val="en-ZA" w:eastAsia="en-US"/>
              </w:rPr>
            </w:pPr>
            <w:r w:rsidRPr="000D4C7D">
              <w:rPr>
                <w:lang w:val="en-ZA" w:eastAsia="en-US"/>
              </w:rPr>
              <w:t>03 June</w:t>
            </w:r>
            <w:r w:rsidR="004C4977" w:rsidRPr="000D4C7D">
              <w:rPr>
                <w:lang w:val="en-ZA" w:eastAsia="en-US"/>
              </w:rPr>
              <w:t xml:space="preserve"> 202</w:t>
            </w:r>
            <w:r w:rsidR="00D31FD8" w:rsidRPr="000D4C7D">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50FDFD" w14:textId="070731C0" w:rsidR="00656238"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DA29AED" w:rsidR="00484FDB" w:rsidRDefault="00484FDB" w:rsidP="00983E61">
      <w:pPr>
        <w:pStyle w:val="Title"/>
        <w:tabs>
          <w:tab w:val="center" w:pos="4747"/>
        </w:tabs>
        <w:outlineLvl w:val="9"/>
      </w:pPr>
      <w:r>
        <w:lastRenderedPageBreak/>
        <w:t>Table of Contents</w:t>
      </w:r>
      <w:r w:rsidR="00983E61">
        <w:tab/>
      </w:r>
    </w:p>
    <w:p w14:paraId="078AFB0B" w14:textId="77777777" w:rsidR="00F80D24" w:rsidRPr="008610B6" w:rsidRDefault="00F80D24" w:rsidP="008610B6">
      <w:pPr>
        <w:spacing w:before="0" w:after="0" w:line="240" w:lineRule="auto"/>
        <w:rPr>
          <w:sz w:val="6"/>
          <w:lang w:val="en-ZA" w:eastAsia="en-US"/>
        </w:rPr>
      </w:pPr>
    </w:p>
    <w:p w14:paraId="5BE50AC1" w14:textId="5140B9A9" w:rsidR="007206E0"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27224857" w:history="1">
        <w:r w:rsidR="007206E0" w:rsidRPr="004A6F74">
          <w:rPr>
            <w:rStyle w:val="Hyperlink"/>
            <w:noProof/>
          </w:rPr>
          <w:t>SECTION 1</w:t>
        </w:r>
        <w:r w:rsidR="007206E0">
          <w:rPr>
            <w:noProof/>
            <w:webHidden/>
          </w:rPr>
          <w:tab/>
        </w:r>
        <w:r w:rsidR="007206E0">
          <w:rPr>
            <w:noProof/>
            <w:webHidden/>
          </w:rPr>
          <w:fldChar w:fldCharType="begin"/>
        </w:r>
        <w:r w:rsidR="007206E0">
          <w:rPr>
            <w:noProof/>
            <w:webHidden/>
          </w:rPr>
          <w:instrText xml:space="preserve"> PAGEREF _Toc227224857 \h </w:instrText>
        </w:r>
        <w:r w:rsidR="007206E0">
          <w:rPr>
            <w:noProof/>
            <w:webHidden/>
          </w:rPr>
        </w:r>
        <w:r w:rsidR="007206E0">
          <w:rPr>
            <w:noProof/>
            <w:webHidden/>
          </w:rPr>
          <w:fldChar w:fldCharType="separate"/>
        </w:r>
        <w:r w:rsidR="007206E0">
          <w:rPr>
            <w:noProof/>
            <w:webHidden/>
          </w:rPr>
          <w:t>3</w:t>
        </w:r>
        <w:r w:rsidR="007206E0">
          <w:rPr>
            <w:noProof/>
            <w:webHidden/>
          </w:rPr>
          <w:fldChar w:fldCharType="end"/>
        </w:r>
      </w:hyperlink>
    </w:p>
    <w:p w14:paraId="7CDA7CEE" w14:textId="40BD2A4D"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58" w:history="1">
        <w:r w:rsidRPr="004A6F74">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rPr>
          <w:t>Introduction</w:t>
        </w:r>
        <w:r>
          <w:rPr>
            <w:noProof/>
            <w:webHidden/>
          </w:rPr>
          <w:tab/>
        </w:r>
        <w:r>
          <w:rPr>
            <w:noProof/>
            <w:webHidden/>
          </w:rPr>
          <w:fldChar w:fldCharType="begin"/>
        </w:r>
        <w:r>
          <w:rPr>
            <w:noProof/>
            <w:webHidden/>
          </w:rPr>
          <w:instrText xml:space="preserve"> PAGEREF _Toc227224858 \h </w:instrText>
        </w:r>
        <w:r>
          <w:rPr>
            <w:noProof/>
            <w:webHidden/>
          </w:rPr>
        </w:r>
        <w:r>
          <w:rPr>
            <w:noProof/>
            <w:webHidden/>
          </w:rPr>
          <w:fldChar w:fldCharType="separate"/>
        </w:r>
        <w:r>
          <w:rPr>
            <w:noProof/>
            <w:webHidden/>
          </w:rPr>
          <w:t>3</w:t>
        </w:r>
        <w:r>
          <w:rPr>
            <w:noProof/>
            <w:webHidden/>
          </w:rPr>
          <w:fldChar w:fldCharType="end"/>
        </w:r>
      </w:hyperlink>
    </w:p>
    <w:p w14:paraId="64F7A919" w14:textId="64D487A3"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59" w:history="1">
        <w:r w:rsidRPr="004A6F74">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Company Overview</w:t>
        </w:r>
        <w:r>
          <w:rPr>
            <w:noProof/>
            <w:webHidden/>
          </w:rPr>
          <w:tab/>
        </w:r>
        <w:r>
          <w:rPr>
            <w:noProof/>
            <w:webHidden/>
          </w:rPr>
          <w:fldChar w:fldCharType="begin"/>
        </w:r>
        <w:r>
          <w:rPr>
            <w:noProof/>
            <w:webHidden/>
          </w:rPr>
          <w:instrText xml:space="preserve"> PAGEREF _Toc227224859 \h </w:instrText>
        </w:r>
        <w:r>
          <w:rPr>
            <w:noProof/>
            <w:webHidden/>
          </w:rPr>
        </w:r>
        <w:r>
          <w:rPr>
            <w:noProof/>
            <w:webHidden/>
          </w:rPr>
          <w:fldChar w:fldCharType="separate"/>
        </w:r>
        <w:r>
          <w:rPr>
            <w:noProof/>
            <w:webHidden/>
          </w:rPr>
          <w:t>3</w:t>
        </w:r>
        <w:r>
          <w:rPr>
            <w:noProof/>
            <w:webHidden/>
          </w:rPr>
          <w:fldChar w:fldCharType="end"/>
        </w:r>
      </w:hyperlink>
    </w:p>
    <w:p w14:paraId="0C1F20FE" w14:textId="4E9AF301"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60" w:history="1">
        <w:r w:rsidRPr="004A6F74">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rPr>
          <w:t>Scope of Work</w:t>
        </w:r>
        <w:r>
          <w:rPr>
            <w:noProof/>
            <w:webHidden/>
          </w:rPr>
          <w:tab/>
        </w:r>
        <w:r>
          <w:rPr>
            <w:noProof/>
            <w:webHidden/>
          </w:rPr>
          <w:fldChar w:fldCharType="begin"/>
        </w:r>
        <w:r>
          <w:rPr>
            <w:noProof/>
            <w:webHidden/>
          </w:rPr>
          <w:instrText xml:space="preserve"> PAGEREF _Toc227224860 \h </w:instrText>
        </w:r>
        <w:r>
          <w:rPr>
            <w:noProof/>
            <w:webHidden/>
          </w:rPr>
        </w:r>
        <w:r>
          <w:rPr>
            <w:noProof/>
            <w:webHidden/>
          </w:rPr>
          <w:fldChar w:fldCharType="separate"/>
        </w:r>
        <w:r>
          <w:rPr>
            <w:noProof/>
            <w:webHidden/>
          </w:rPr>
          <w:t>3</w:t>
        </w:r>
        <w:r>
          <w:rPr>
            <w:noProof/>
            <w:webHidden/>
          </w:rPr>
          <w:fldChar w:fldCharType="end"/>
        </w:r>
      </w:hyperlink>
    </w:p>
    <w:p w14:paraId="21415BE2" w14:textId="46958ACC"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1" w:history="1">
        <w:r w:rsidRPr="004A6F74">
          <w:rPr>
            <w:rStyle w:val="Hyperlink"/>
            <w:noProof/>
            <w:lang w:val="en-US"/>
          </w:rPr>
          <w:t>2.1</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lang w:val="en-US"/>
          </w:rPr>
          <w:t>Specification / Technical Requirements</w:t>
        </w:r>
        <w:r>
          <w:rPr>
            <w:noProof/>
            <w:webHidden/>
          </w:rPr>
          <w:tab/>
        </w:r>
        <w:r>
          <w:rPr>
            <w:noProof/>
            <w:webHidden/>
          </w:rPr>
          <w:fldChar w:fldCharType="begin"/>
        </w:r>
        <w:r>
          <w:rPr>
            <w:noProof/>
            <w:webHidden/>
          </w:rPr>
          <w:instrText xml:space="preserve"> PAGEREF _Toc227224861 \h </w:instrText>
        </w:r>
        <w:r>
          <w:rPr>
            <w:noProof/>
            <w:webHidden/>
          </w:rPr>
        </w:r>
        <w:r>
          <w:rPr>
            <w:noProof/>
            <w:webHidden/>
          </w:rPr>
          <w:fldChar w:fldCharType="separate"/>
        </w:r>
        <w:r>
          <w:rPr>
            <w:noProof/>
            <w:webHidden/>
          </w:rPr>
          <w:t>3</w:t>
        </w:r>
        <w:r>
          <w:rPr>
            <w:noProof/>
            <w:webHidden/>
          </w:rPr>
          <w:fldChar w:fldCharType="end"/>
        </w:r>
      </w:hyperlink>
    </w:p>
    <w:p w14:paraId="636EBC00" w14:textId="32446A8C"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2" w:history="1">
        <w:r w:rsidRPr="004A6F74">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Pricing/Billing Model.</w:t>
        </w:r>
        <w:r>
          <w:rPr>
            <w:noProof/>
            <w:webHidden/>
          </w:rPr>
          <w:tab/>
        </w:r>
        <w:r>
          <w:rPr>
            <w:noProof/>
            <w:webHidden/>
          </w:rPr>
          <w:fldChar w:fldCharType="begin"/>
        </w:r>
        <w:r>
          <w:rPr>
            <w:noProof/>
            <w:webHidden/>
          </w:rPr>
          <w:instrText xml:space="preserve"> PAGEREF _Toc227224862 \h </w:instrText>
        </w:r>
        <w:r>
          <w:rPr>
            <w:noProof/>
            <w:webHidden/>
          </w:rPr>
        </w:r>
        <w:r>
          <w:rPr>
            <w:noProof/>
            <w:webHidden/>
          </w:rPr>
          <w:fldChar w:fldCharType="separate"/>
        </w:r>
        <w:r>
          <w:rPr>
            <w:noProof/>
            <w:webHidden/>
          </w:rPr>
          <w:t>4</w:t>
        </w:r>
        <w:r>
          <w:rPr>
            <w:noProof/>
            <w:webHidden/>
          </w:rPr>
          <w:fldChar w:fldCharType="end"/>
        </w:r>
      </w:hyperlink>
    </w:p>
    <w:p w14:paraId="2A2F301B" w14:textId="0B7B675C"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3" w:history="1">
        <w:r w:rsidRPr="004A6F74">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Project Plan and Schedule</w:t>
        </w:r>
        <w:r>
          <w:rPr>
            <w:noProof/>
            <w:webHidden/>
          </w:rPr>
          <w:tab/>
        </w:r>
        <w:r>
          <w:rPr>
            <w:noProof/>
            <w:webHidden/>
          </w:rPr>
          <w:fldChar w:fldCharType="begin"/>
        </w:r>
        <w:r>
          <w:rPr>
            <w:noProof/>
            <w:webHidden/>
          </w:rPr>
          <w:instrText xml:space="preserve"> PAGEREF _Toc227224863 \h </w:instrText>
        </w:r>
        <w:r>
          <w:rPr>
            <w:noProof/>
            <w:webHidden/>
          </w:rPr>
        </w:r>
        <w:r>
          <w:rPr>
            <w:noProof/>
            <w:webHidden/>
          </w:rPr>
          <w:fldChar w:fldCharType="separate"/>
        </w:r>
        <w:r>
          <w:rPr>
            <w:noProof/>
            <w:webHidden/>
          </w:rPr>
          <w:t>4</w:t>
        </w:r>
        <w:r>
          <w:rPr>
            <w:noProof/>
            <w:webHidden/>
          </w:rPr>
          <w:fldChar w:fldCharType="end"/>
        </w:r>
      </w:hyperlink>
    </w:p>
    <w:p w14:paraId="6F55490F" w14:textId="59507DCC"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4" w:history="1">
        <w:r w:rsidRPr="004A6F74">
          <w:rPr>
            <w:rStyle w:val="Hyperlink"/>
            <w:noProof/>
          </w:rPr>
          <w:t>2.4</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Applicable Necsa Policies</w:t>
        </w:r>
        <w:r>
          <w:rPr>
            <w:noProof/>
            <w:webHidden/>
          </w:rPr>
          <w:tab/>
        </w:r>
        <w:r>
          <w:rPr>
            <w:noProof/>
            <w:webHidden/>
          </w:rPr>
          <w:fldChar w:fldCharType="begin"/>
        </w:r>
        <w:r>
          <w:rPr>
            <w:noProof/>
            <w:webHidden/>
          </w:rPr>
          <w:instrText xml:space="preserve"> PAGEREF _Toc227224864 \h </w:instrText>
        </w:r>
        <w:r>
          <w:rPr>
            <w:noProof/>
            <w:webHidden/>
          </w:rPr>
        </w:r>
        <w:r>
          <w:rPr>
            <w:noProof/>
            <w:webHidden/>
          </w:rPr>
          <w:fldChar w:fldCharType="separate"/>
        </w:r>
        <w:r>
          <w:rPr>
            <w:noProof/>
            <w:webHidden/>
          </w:rPr>
          <w:t>4</w:t>
        </w:r>
        <w:r>
          <w:rPr>
            <w:noProof/>
            <w:webHidden/>
          </w:rPr>
          <w:fldChar w:fldCharType="end"/>
        </w:r>
      </w:hyperlink>
    </w:p>
    <w:p w14:paraId="35E0A8B4" w14:textId="3AF84417"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65" w:history="1">
        <w:r w:rsidRPr="004A6F74">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rPr>
          <w:t>Applicable Necsa Procedures</w:t>
        </w:r>
        <w:r>
          <w:rPr>
            <w:noProof/>
            <w:webHidden/>
          </w:rPr>
          <w:tab/>
        </w:r>
        <w:r>
          <w:rPr>
            <w:noProof/>
            <w:webHidden/>
          </w:rPr>
          <w:fldChar w:fldCharType="begin"/>
        </w:r>
        <w:r>
          <w:rPr>
            <w:noProof/>
            <w:webHidden/>
          </w:rPr>
          <w:instrText xml:space="preserve"> PAGEREF _Toc227224865 \h </w:instrText>
        </w:r>
        <w:r>
          <w:rPr>
            <w:noProof/>
            <w:webHidden/>
          </w:rPr>
        </w:r>
        <w:r>
          <w:rPr>
            <w:noProof/>
            <w:webHidden/>
          </w:rPr>
          <w:fldChar w:fldCharType="separate"/>
        </w:r>
        <w:r>
          <w:rPr>
            <w:noProof/>
            <w:webHidden/>
          </w:rPr>
          <w:t>5</w:t>
        </w:r>
        <w:r>
          <w:rPr>
            <w:noProof/>
            <w:webHidden/>
          </w:rPr>
          <w:fldChar w:fldCharType="end"/>
        </w:r>
      </w:hyperlink>
    </w:p>
    <w:p w14:paraId="06B4DCBB" w14:textId="2B21F59A"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6" w:history="1">
        <w:r w:rsidRPr="004A6F74">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Requirements to Access Necsa Site</w:t>
        </w:r>
        <w:r>
          <w:rPr>
            <w:noProof/>
            <w:webHidden/>
          </w:rPr>
          <w:tab/>
        </w:r>
        <w:r>
          <w:rPr>
            <w:noProof/>
            <w:webHidden/>
          </w:rPr>
          <w:fldChar w:fldCharType="begin"/>
        </w:r>
        <w:r>
          <w:rPr>
            <w:noProof/>
            <w:webHidden/>
          </w:rPr>
          <w:instrText xml:space="preserve"> PAGEREF _Toc227224866 \h </w:instrText>
        </w:r>
        <w:r>
          <w:rPr>
            <w:noProof/>
            <w:webHidden/>
          </w:rPr>
        </w:r>
        <w:r>
          <w:rPr>
            <w:noProof/>
            <w:webHidden/>
          </w:rPr>
          <w:fldChar w:fldCharType="separate"/>
        </w:r>
        <w:r>
          <w:rPr>
            <w:noProof/>
            <w:webHidden/>
          </w:rPr>
          <w:t>5</w:t>
        </w:r>
        <w:r>
          <w:rPr>
            <w:noProof/>
            <w:webHidden/>
          </w:rPr>
          <w:fldChar w:fldCharType="end"/>
        </w:r>
      </w:hyperlink>
    </w:p>
    <w:p w14:paraId="6384B584" w14:textId="033BD15F"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7" w:history="1">
        <w:r w:rsidRPr="004A6F74">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Emergencies, Incidents, Accidents</w:t>
        </w:r>
        <w:r>
          <w:rPr>
            <w:noProof/>
            <w:webHidden/>
          </w:rPr>
          <w:tab/>
        </w:r>
        <w:r>
          <w:rPr>
            <w:noProof/>
            <w:webHidden/>
          </w:rPr>
          <w:fldChar w:fldCharType="begin"/>
        </w:r>
        <w:r>
          <w:rPr>
            <w:noProof/>
            <w:webHidden/>
          </w:rPr>
          <w:instrText xml:space="preserve"> PAGEREF _Toc227224867 \h </w:instrText>
        </w:r>
        <w:r>
          <w:rPr>
            <w:noProof/>
            <w:webHidden/>
          </w:rPr>
        </w:r>
        <w:r>
          <w:rPr>
            <w:noProof/>
            <w:webHidden/>
          </w:rPr>
          <w:fldChar w:fldCharType="separate"/>
        </w:r>
        <w:r>
          <w:rPr>
            <w:noProof/>
            <w:webHidden/>
          </w:rPr>
          <w:t>5</w:t>
        </w:r>
        <w:r>
          <w:rPr>
            <w:noProof/>
            <w:webHidden/>
          </w:rPr>
          <w:fldChar w:fldCharType="end"/>
        </w:r>
      </w:hyperlink>
    </w:p>
    <w:p w14:paraId="75348302" w14:textId="183D8A9E"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8" w:history="1">
        <w:r w:rsidRPr="004A6F74">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Necsa Health, Safety and Environmental Requirements</w:t>
        </w:r>
        <w:r>
          <w:rPr>
            <w:noProof/>
            <w:webHidden/>
          </w:rPr>
          <w:tab/>
        </w:r>
        <w:r>
          <w:rPr>
            <w:noProof/>
            <w:webHidden/>
          </w:rPr>
          <w:fldChar w:fldCharType="begin"/>
        </w:r>
        <w:r>
          <w:rPr>
            <w:noProof/>
            <w:webHidden/>
          </w:rPr>
          <w:instrText xml:space="preserve"> PAGEREF _Toc227224868 \h </w:instrText>
        </w:r>
        <w:r>
          <w:rPr>
            <w:noProof/>
            <w:webHidden/>
          </w:rPr>
        </w:r>
        <w:r>
          <w:rPr>
            <w:noProof/>
            <w:webHidden/>
          </w:rPr>
          <w:fldChar w:fldCharType="separate"/>
        </w:r>
        <w:r>
          <w:rPr>
            <w:noProof/>
            <w:webHidden/>
          </w:rPr>
          <w:t>5</w:t>
        </w:r>
        <w:r>
          <w:rPr>
            <w:noProof/>
            <w:webHidden/>
          </w:rPr>
          <w:fldChar w:fldCharType="end"/>
        </w:r>
      </w:hyperlink>
    </w:p>
    <w:p w14:paraId="7A92DFCE" w14:textId="4DDDDA42"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69" w:history="1">
        <w:r w:rsidRPr="004A6F74">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Necsa Requirements for Quality</w:t>
        </w:r>
        <w:r>
          <w:rPr>
            <w:noProof/>
            <w:webHidden/>
          </w:rPr>
          <w:tab/>
        </w:r>
        <w:r>
          <w:rPr>
            <w:noProof/>
            <w:webHidden/>
          </w:rPr>
          <w:fldChar w:fldCharType="begin"/>
        </w:r>
        <w:r>
          <w:rPr>
            <w:noProof/>
            <w:webHidden/>
          </w:rPr>
          <w:instrText xml:space="preserve"> PAGEREF _Toc227224869 \h </w:instrText>
        </w:r>
        <w:r>
          <w:rPr>
            <w:noProof/>
            <w:webHidden/>
          </w:rPr>
        </w:r>
        <w:r>
          <w:rPr>
            <w:noProof/>
            <w:webHidden/>
          </w:rPr>
          <w:fldChar w:fldCharType="separate"/>
        </w:r>
        <w:r>
          <w:rPr>
            <w:noProof/>
            <w:webHidden/>
          </w:rPr>
          <w:t>5</w:t>
        </w:r>
        <w:r>
          <w:rPr>
            <w:noProof/>
            <w:webHidden/>
          </w:rPr>
          <w:fldChar w:fldCharType="end"/>
        </w:r>
      </w:hyperlink>
    </w:p>
    <w:p w14:paraId="6FA0DA3E" w14:textId="66261084"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0" w:history="1">
        <w:r w:rsidRPr="004A6F74">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Necsa Requirements for Project SHEQ</w:t>
        </w:r>
        <w:r>
          <w:rPr>
            <w:noProof/>
            <w:webHidden/>
          </w:rPr>
          <w:tab/>
        </w:r>
        <w:r>
          <w:rPr>
            <w:noProof/>
            <w:webHidden/>
          </w:rPr>
          <w:fldChar w:fldCharType="begin"/>
        </w:r>
        <w:r>
          <w:rPr>
            <w:noProof/>
            <w:webHidden/>
          </w:rPr>
          <w:instrText xml:space="preserve"> PAGEREF _Toc227224870 \h </w:instrText>
        </w:r>
        <w:r>
          <w:rPr>
            <w:noProof/>
            <w:webHidden/>
          </w:rPr>
        </w:r>
        <w:r>
          <w:rPr>
            <w:noProof/>
            <w:webHidden/>
          </w:rPr>
          <w:fldChar w:fldCharType="separate"/>
        </w:r>
        <w:r>
          <w:rPr>
            <w:noProof/>
            <w:webHidden/>
          </w:rPr>
          <w:t>5</w:t>
        </w:r>
        <w:r>
          <w:rPr>
            <w:noProof/>
            <w:webHidden/>
          </w:rPr>
          <w:fldChar w:fldCharType="end"/>
        </w:r>
      </w:hyperlink>
    </w:p>
    <w:p w14:paraId="08E178D5" w14:textId="1104EC37"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1" w:history="1">
        <w:r w:rsidRPr="004A6F74">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Confidentiality</w:t>
        </w:r>
        <w:r>
          <w:rPr>
            <w:noProof/>
            <w:webHidden/>
          </w:rPr>
          <w:tab/>
        </w:r>
        <w:r>
          <w:rPr>
            <w:noProof/>
            <w:webHidden/>
          </w:rPr>
          <w:fldChar w:fldCharType="begin"/>
        </w:r>
        <w:r>
          <w:rPr>
            <w:noProof/>
            <w:webHidden/>
          </w:rPr>
          <w:instrText xml:space="preserve"> PAGEREF _Toc227224871 \h </w:instrText>
        </w:r>
        <w:r>
          <w:rPr>
            <w:noProof/>
            <w:webHidden/>
          </w:rPr>
        </w:r>
        <w:r>
          <w:rPr>
            <w:noProof/>
            <w:webHidden/>
          </w:rPr>
          <w:fldChar w:fldCharType="separate"/>
        </w:r>
        <w:r>
          <w:rPr>
            <w:noProof/>
            <w:webHidden/>
          </w:rPr>
          <w:t>5</w:t>
        </w:r>
        <w:r>
          <w:rPr>
            <w:noProof/>
            <w:webHidden/>
          </w:rPr>
          <w:fldChar w:fldCharType="end"/>
        </w:r>
      </w:hyperlink>
    </w:p>
    <w:p w14:paraId="4CE5440B" w14:textId="226DBE19"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72" w:history="1">
        <w:r w:rsidRPr="004A6F74">
          <w:rPr>
            <w:rStyle w:val="Hyperlink"/>
            <w:noProof/>
          </w:rPr>
          <w:t>SECTION 2</w:t>
        </w:r>
        <w:r>
          <w:rPr>
            <w:noProof/>
            <w:webHidden/>
          </w:rPr>
          <w:tab/>
        </w:r>
        <w:r>
          <w:rPr>
            <w:noProof/>
            <w:webHidden/>
          </w:rPr>
          <w:fldChar w:fldCharType="begin"/>
        </w:r>
        <w:r>
          <w:rPr>
            <w:noProof/>
            <w:webHidden/>
          </w:rPr>
          <w:instrText xml:space="preserve"> PAGEREF _Toc227224872 \h </w:instrText>
        </w:r>
        <w:r>
          <w:rPr>
            <w:noProof/>
            <w:webHidden/>
          </w:rPr>
        </w:r>
        <w:r>
          <w:rPr>
            <w:noProof/>
            <w:webHidden/>
          </w:rPr>
          <w:fldChar w:fldCharType="separate"/>
        </w:r>
        <w:r>
          <w:rPr>
            <w:noProof/>
            <w:webHidden/>
          </w:rPr>
          <w:t>6</w:t>
        </w:r>
        <w:r>
          <w:rPr>
            <w:noProof/>
            <w:webHidden/>
          </w:rPr>
          <w:fldChar w:fldCharType="end"/>
        </w:r>
      </w:hyperlink>
    </w:p>
    <w:p w14:paraId="12702A79" w14:textId="333817F0"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73" w:history="1">
        <w:r w:rsidRPr="004A6F74">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lang w:val="en-ZA"/>
          </w:rPr>
          <w:t>Instruction to Bidders</w:t>
        </w:r>
        <w:r>
          <w:rPr>
            <w:noProof/>
            <w:webHidden/>
          </w:rPr>
          <w:tab/>
        </w:r>
        <w:r>
          <w:rPr>
            <w:noProof/>
            <w:webHidden/>
          </w:rPr>
          <w:fldChar w:fldCharType="begin"/>
        </w:r>
        <w:r>
          <w:rPr>
            <w:noProof/>
            <w:webHidden/>
          </w:rPr>
          <w:instrText xml:space="preserve"> PAGEREF _Toc227224873 \h </w:instrText>
        </w:r>
        <w:r>
          <w:rPr>
            <w:noProof/>
            <w:webHidden/>
          </w:rPr>
        </w:r>
        <w:r>
          <w:rPr>
            <w:noProof/>
            <w:webHidden/>
          </w:rPr>
          <w:fldChar w:fldCharType="separate"/>
        </w:r>
        <w:r>
          <w:rPr>
            <w:noProof/>
            <w:webHidden/>
          </w:rPr>
          <w:t>6</w:t>
        </w:r>
        <w:r>
          <w:rPr>
            <w:noProof/>
            <w:webHidden/>
          </w:rPr>
          <w:fldChar w:fldCharType="end"/>
        </w:r>
      </w:hyperlink>
    </w:p>
    <w:p w14:paraId="741A1A94" w14:textId="01EF1013"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4" w:history="1">
        <w:r w:rsidRPr="004A6F74">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General</w:t>
        </w:r>
        <w:r>
          <w:rPr>
            <w:noProof/>
            <w:webHidden/>
          </w:rPr>
          <w:tab/>
        </w:r>
        <w:r>
          <w:rPr>
            <w:noProof/>
            <w:webHidden/>
          </w:rPr>
          <w:fldChar w:fldCharType="begin"/>
        </w:r>
        <w:r>
          <w:rPr>
            <w:noProof/>
            <w:webHidden/>
          </w:rPr>
          <w:instrText xml:space="preserve"> PAGEREF _Toc227224874 \h </w:instrText>
        </w:r>
        <w:r>
          <w:rPr>
            <w:noProof/>
            <w:webHidden/>
          </w:rPr>
        </w:r>
        <w:r>
          <w:rPr>
            <w:noProof/>
            <w:webHidden/>
          </w:rPr>
          <w:fldChar w:fldCharType="separate"/>
        </w:r>
        <w:r>
          <w:rPr>
            <w:noProof/>
            <w:webHidden/>
          </w:rPr>
          <w:t>6</w:t>
        </w:r>
        <w:r>
          <w:rPr>
            <w:noProof/>
            <w:webHidden/>
          </w:rPr>
          <w:fldChar w:fldCharType="end"/>
        </w:r>
      </w:hyperlink>
    </w:p>
    <w:p w14:paraId="287A8991" w14:textId="32DE9D79"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5" w:history="1">
        <w:r w:rsidRPr="004A6F74">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Bidder Information</w:t>
        </w:r>
        <w:r>
          <w:rPr>
            <w:noProof/>
            <w:webHidden/>
          </w:rPr>
          <w:tab/>
        </w:r>
        <w:r>
          <w:rPr>
            <w:noProof/>
            <w:webHidden/>
          </w:rPr>
          <w:fldChar w:fldCharType="begin"/>
        </w:r>
        <w:r>
          <w:rPr>
            <w:noProof/>
            <w:webHidden/>
          </w:rPr>
          <w:instrText xml:space="preserve"> PAGEREF _Toc227224875 \h </w:instrText>
        </w:r>
        <w:r>
          <w:rPr>
            <w:noProof/>
            <w:webHidden/>
          </w:rPr>
        </w:r>
        <w:r>
          <w:rPr>
            <w:noProof/>
            <w:webHidden/>
          </w:rPr>
          <w:fldChar w:fldCharType="separate"/>
        </w:r>
        <w:r>
          <w:rPr>
            <w:noProof/>
            <w:webHidden/>
          </w:rPr>
          <w:t>6</w:t>
        </w:r>
        <w:r>
          <w:rPr>
            <w:noProof/>
            <w:webHidden/>
          </w:rPr>
          <w:fldChar w:fldCharType="end"/>
        </w:r>
      </w:hyperlink>
    </w:p>
    <w:p w14:paraId="7FFC456E" w14:textId="7AEB2897"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6" w:history="1">
        <w:r w:rsidRPr="004A6F74">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Consortium</w:t>
        </w:r>
        <w:r>
          <w:rPr>
            <w:noProof/>
            <w:webHidden/>
          </w:rPr>
          <w:tab/>
        </w:r>
        <w:r>
          <w:rPr>
            <w:noProof/>
            <w:webHidden/>
          </w:rPr>
          <w:fldChar w:fldCharType="begin"/>
        </w:r>
        <w:r>
          <w:rPr>
            <w:noProof/>
            <w:webHidden/>
          </w:rPr>
          <w:instrText xml:space="preserve"> PAGEREF _Toc227224876 \h </w:instrText>
        </w:r>
        <w:r>
          <w:rPr>
            <w:noProof/>
            <w:webHidden/>
          </w:rPr>
        </w:r>
        <w:r>
          <w:rPr>
            <w:noProof/>
            <w:webHidden/>
          </w:rPr>
          <w:fldChar w:fldCharType="separate"/>
        </w:r>
        <w:r>
          <w:rPr>
            <w:noProof/>
            <w:webHidden/>
          </w:rPr>
          <w:t>6</w:t>
        </w:r>
        <w:r>
          <w:rPr>
            <w:noProof/>
            <w:webHidden/>
          </w:rPr>
          <w:fldChar w:fldCharType="end"/>
        </w:r>
      </w:hyperlink>
    </w:p>
    <w:p w14:paraId="0C00914A" w14:textId="37CBF94D"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7" w:history="1">
        <w:r w:rsidRPr="004A6F74">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Sub-contracting</w:t>
        </w:r>
        <w:r>
          <w:rPr>
            <w:noProof/>
            <w:webHidden/>
          </w:rPr>
          <w:tab/>
        </w:r>
        <w:r>
          <w:rPr>
            <w:noProof/>
            <w:webHidden/>
          </w:rPr>
          <w:fldChar w:fldCharType="begin"/>
        </w:r>
        <w:r>
          <w:rPr>
            <w:noProof/>
            <w:webHidden/>
          </w:rPr>
          <w:instrText xml:space="preserve"> PAGEREF _Toc227224877 \h </w:instrText>
        </w:r>
        <w:r>
          <w:rPr>
            <w:noProof/>
            <w:webHidden/>
          </w:rPr>
        </w:r>
        <w:r>
          <w:rPr>
            <w:noProof/>
            <w:webHidden/>
          </w:rPr>
          <w:fldChar w:fldCharType="separate"/>
        </w:r>
        <w:r>
          <w:rPr>
            <w:noProof/>
            <w:webHidden/>
          </w:rPr>
          <w:t>7</w:t>
        </w:r>
        <w:r>
          <w:rPr>
            <w:noProof/>
            <w:webHidden/>
          </w:rPr>
          <w:fldChar w:fldCharType="end"/>
        </w:r>
      </w:hyperlink>
    </w:p>
    <w:p w14:paraId="0CD26EF8" w14:textId="3D42A5EB"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8" w:history="1">
        <w:r w:rsidRPr="004A6F74">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Necsa’s Bidding Rights</w:t>
        </w:r>
        <w:r>
          <w:rPr>
            <w:noProof/>
            <w:webHidden/>
          </w:rPr>
          <w:tab/>
        </w:r>
        <w:r>
          <w:rPr>
            <w:noProof/>
            <w:webHidden/>
          </w:rPr>
          <w:fldChar w:fldCharType="begin"/>
        </w:r>
        <w:r>
          <w:rPr>
            <w:noProof/>
            <w:webHidden/>
          </w:rPr>
          <w:instrText xml:space="preserve"> PAGEREF _Toc227224878 \h </w:instrText>
        </w:r>
        <w:r>
          <w:rPr>
            <w:noProof/>
            <w:webHidden/>
          </w:rPr>
        </w:r>
        <w:r>
          <w:rPr>
            <w:noProof/>
            <w:webHidden/>
          </w:rPr>
          <w:fldChar w:fldCharType="separate"/>
        </w:r>
        <w:r>
          <w:rPr>
            <w:noProof/>
            <w:webHidden/>
          </w:rPr>
          <w:t>7</w:t>
        </w:r>
        <w:r>
          <w:rPr>
            <w:noProof/>
            <w:webHidden/>
          </w:rPr>
          <w:fldChar w:fldCharType="end"/>
        </w:r>
      </w:hyperlink>
    </w:p>
    <w:p w14:paraId="7FF7E493" w14:textId="05528D82"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79" w:history="1">
        <w:r w:rsidRPr="004A6F74">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Bidding Process</w:t>
        </w:r>
        <w:r>
          <w:rPr>
            <w:noProof/>
            <w:webHidden/>
          </w:rPr>
          <w:tab/>
        </w:r>
        <w:r>
          <w:rPr>
            <w:noProof/>
            <w:webHidden/>
          </w:rPr>
          <w:fldChar w:fldCharType="begin"/>
        </w:r>
        <w:r>
          <w:rPr>
            <w:noProof/>
            <w:webHidden/>
          </w:rPr>
          <w:instrText xml:space="preserve"> PAGEREF _Toc227224879 \h </w:instrText>
        </w:r>
        <w:r>
          <w:rPr>
            <w:noProof/>
            <w:webHidden/>
          </w:rPr>
        </w:r>
        <w:r>
          <w:rPr>
            <w:noProof/>
            <w:webHidden/>
          </w:rPr>
          <w:fldChar w:fldCharType="separate"/>
        </w:r>
        <w:r>
          <w:rPr>
            <w:noProof/>
            <w:webHidden/>
          </w:rPr>
          <w:t>8</w:t>
        </w:r>
        <w:r>
          <w:rPr>
            <w:noProof/>
            <w:webHidden/>
          </w:rPr>
          <w:fldChar w:fldCharType="end"/>
        </w:r>
      </w:hyperlink>
    </w:p>
    <w:p w14:paraId="6408DC5A" w14:textId="1250B6A4"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80" w:history="1">
        <w:r w:rsidRPr="004A6F74">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Bid Submission Requirements</w:t>
        </w:r>
        <w:r>
          <w:rPr>
            <w:noProof/>
            <w:webHidden/>
          </w:rPr>
          <w:tab/>
        </w:r>
        <w:r>
          <w:rPr>
            <w:noProof/>
            <w:webHidden/>
          </w:rPr>
          <w:fldChar w:fldCharType="begin"/>
        </w:r>
        <w:r>
          <w:rPr>
            <w:noProof/>
            <w:webHidden/>
          </w:rPr>
          <w:instrText xml:space="preserve"> PAGEREF _Toc227224880 \h </w:instrText>
        </w:r>
        <w:r>
          <w:rPr>
            <w:noProof/>
            <w:webHidden/>
          </w:rPr>
        </w:r>
        <w:r>
          <w:rPr>
            <w:noProof/>
            <w:webHidden/>
          </w:rPr>
          <w:fldChar w:fldCharType="separate"/>
        </w:r>
        <w:r>
          <w:rPr>
            <w:noProof/>
            <w:webHidden/>
          </w:rPr>
          <w:t>8</w:t>
        </w:r>
        <w:r>
          <w:rPr>
            <w:noProof/>
            <w:webHidden/>
          </w:rPr>
          <w:fldChar w:fldCharType="end"/>
        </w:r>
      </w:hyperlink>
    </w:p>
    <w:p w14:paraId="42FA59C3" w14:textId="41370363"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81" w:history="1">
        <w:r w:rsidRPr="004A6F74">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rPr>
          <w:t>Eligibility Requirements</w:t>
        </w:r>
        <w:r>
          <w:rPr>
            <w:noProof/>
            <w:webHidden/>
          </w:rPr>
          <w:tab/>
        </w:r>
        <w:r>
          <w:rPr>
            <w:noProof/>
            <w:webHidden/>
          </w:rPr>
          <w:fldChar w:fldCharType="begin"/>
        </w:r>
        <w:r>
          <w:rPr>
            <w:noProof/>
            <w:webHidden/>
          </w:rPr>
          <w:instrText xml:space="preserve"> PAGEREF _Toc227224881 \h </w:instrText>
        </w:r>
        <w:r>
          <w:rPr>
            <w:noProof/>
            <w:webHidden/>
          </w:rPr>
        </w:r>
        <w:r>
          <w:rPr>
            <w:noProof/>
            <w:webHidden/>
          </w:rPr>
          <w:fldChar w:fldCharType="separate"/>
        </w:r>
        <w:r>
          <w:rPr>
            <w:noProof/>
            <w:webHidden/>
          </w:rPr>
          <w:t>9</w:t>
        </w:r>
        <w:r>
          <w:rPr>
            <w:noProof/>
            <w:webHidden/>
          </w:rPr>
          <w:fldChar w:fldCharType="end"/>
        </w:r>
      </w:hyperlink>
    </w:p>
    <w:p w14:paraId="19526B5A" w14:textId="207CA8EA"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82" w:history="1">
        <w:r w:rsidRPr="004A6F74">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Pre-qualification Criteria</w:t>
        </w:r>
        <w:r>
          <w:rPr>
            <w:noProof/>
            <w:webHidden/>
          </w:rPr>
          <w:tab/>
        </w:r>
        <w:r>
          <w:rPr>
            <w:noProof/>
            <w:webHidden/>
          </w:rPr>
          <w:fldChar w:fldCharType="begin"/>
        </w:r>
        <w:r>
          <w:rPr>
            <w:noProof/>
            <w:webHidden/>
          </w:rPr>
          <w:instrText xml:space="preserve"> PAGEREF _Toc227224882 \h </w:instrText>
        </w:r>
        <w:r>
          <w:rPr>
            <w:noProof/>
            <w:webHidden/>
          </w:rPr>
        </w:r>
        <w:r>
          <w:rPr>
            <w:noProof/>
            <w:webHidden/>
          </w:rPr>
          <w:fldChar w:fldCharType="separate"/>
        </w:r>
        <w:r>
          <w:rPr>
            <w:noProof/>
            <w:webHidden/>
          </w:rPr>
          <w:t>9</w:t>
        </w:r>
        <w:r>
          <w:rPr>
            <w:noProof/>
            <w:webHidden/>
          </w:rPr>
          <w:fldChar w:fldCharType="end"/>
        </w:r>
      </w:hyperlink>
    </w:p>
    <w:p w14:paraId="09ED298D" w14:textId="74C43F5A"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83" w:history="1">
        <w:r w:rsidRPr="004A6F74">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Technical / Functional Evaluation Criteria</w:t>
        </w:r>
        <w:r>
          <w:rPr>
            <w:noProof/>
            <w:webHidden/>
          </w:rPr>
          <w:tab/>
        </w:r>
        <w:r>
          <w:rPr>
            <w:noProof/>
            <w:webHidden/>
          </w:rPr>
          <w:fldChar w:fldCharType="begin"/>
        </w:r>
        <w:r>
          <w:rPr>
            <w:noProof/>
            <w:webHidden/>
          </w:rPr>
          <w:instrText xml:space="preserve"> PAGEREF _Toc227224883 \h </w:instrText>
        </w:r>
        <w:r>
          <w:rPr>
            <w:noProof/>
            <w:webHidden/>
          </w:rPr>
        </w:r>
        <w:r>
          <w:rPr>
            <w:noProof/>
            <w:webHidden/>
          </w:rPr>
          <w:fldChar w:fldCharType="separate"/>
        </w:r>
        <w:r>
          <w:rPr>
            <w:noProof/>
            <w:webHidden/>
          </w:rPr>
          <w:t>9</w:t>
        </w:r>
        <w:r>
          <w:rPr>
            <w:noProof/>
            <w:webHidden/>
          </w:rPr>
          <w:fldChar w:fldCharType="end"/>
        </w:r>
      </w:hyperlink>
    </w:p>
    <w:p w14:paraId="6A5FAF22" w14:textId="74EE3F5E"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84" w:history="1">
        <w:r w:rsidRPr="004A6F74">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Preference points and Price evaluation</w:t>
        </w:r>
        <w:r>
          <w:rPr>
            <w:noProof/>
            <w:webHidden/>
          </w:rPr>
          <w:tab/>
        </w:r>
        <w:r>
          <w:rPr>
            <w:noProof/>
            <w:webHidden/>
          </w:rPr>
          <w:fldChar w:fldCharType="begin"/>
        </w:r>
        <w:r>
          <w:rPr>
            <w:noProof/>
            <w:webHidden/>
          </w:rPr>
          <w:instrText xml:space="preserve"> PAGEREF _Toc227224884 \h </w:instrText>
        </w:r>
        <w:r>
          <w:rPr>
            <w:noProof/>
            <w:webHidden/>
          </w:rPr>
        </w:r>
        <w:r>
          <w:rPr>
            <w:noProof/>
            <w:webHidden/>
          </w:rPr>
          <w:fldChar w:fldCharType="separate"/>
        </w:r>
        <w:r>
          <w:rPr>
            <w:noProof/>
            <w:webHidden/>
          </w:rPr>
          <w:t>10</w:t>
        </w:r>
        <w:r>
          <w:rPr>
            <w:noProof/>
            <w:webHidden/>
          </w:rPr>
          <w:fldChar w:fldCharType="end"/>
        </w:r>
      </w:hyperlink>
    </w:p>
    <w:p w14:paraId="73CE8BEE" w14:textId="2A7D8969" w:rsidR="007206E0" w:rsidRDefault="007206E0">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27224885" w:history="1">
        <w:r w:rsidRPr="004A6F74">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4A6F74">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_Toc227224885 \h </w:instrText>
        </w:r>
        <w:r>
          <w:rPr>
            <w:noProof/>
            <w:webHidden/>
          </w:rPr>
        </w:r>
        <w:r>
          <w:rPr>
            <w:noProof/>
            <w:webHidden/>
          </w:rPr>
          <w:fldChar w:fldCharType="separate"/>
        </w:r>
        <w:r>
          <w:rPr>
            <w:noProof/>
            <w:webHidden/>
          </w:rPr>
          <w:t>11</w:t>
        </w:r>
        <w:r>
          <w:rPr>
            <w:noProof/>
            <w:webHidden/>
          </w:rPr>
          <w:fldChar w:fldCharType="end"/>
        </w:r>
      </w:hyperlink>
    </w:p>
    <w:p w14:paraId="55DB2ED5" w14:textId="736B5299"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86" w:history="1">
        <w:r w:rsidRPr="004A6F74">
          <w:rPr>
            <w:rStyle w:val="Hyperlink"/>
            <w:noProof/>
          </w:rPr>
          <w:t>SECTION 3</w:t>
        </w:r>
        <w:r>
          <w:rPr>
            <w:noProof/>
            <w:webHidden/>
          </w:rPr>
          <w:tab/>
        </w:r>
        <w:r>
          <w:rPr>
            <w:noProof/>
            <w:webHidden/>
          </w:rPr>
          <w:fldChar w:fldCharType="begin"/>
        </w:r>
        <w:r>
          <w:rPr>
            <w:noProof/>
            <w:webHidden/>
          </w:rPr>
          <w:instrText xml:space="preserve"> PAGEREF _Toc227224886 \h </w:instrText>
        </w:r>
        <w:r>
          <w:rPr>
            <w:noProof/>
            <w:webHidden/>
          </w:rPr>
        </w:r>
        <w:r>
          <w:rPr>
            <w:noProof/>
            <w:webHidden/>
          </w:rPr>
          <w:fldChar w:fldCharType="separate"/>
        </w:r>
        <w:r>
          <w:rPr>
            <w:noProof/>
            <w:webHidden/>
          </w:rPr>
          <w:t>12</w:t>
        </w:r>
        <w:r>
          <w:rPr>
            <w:noProof/>
            <w:webHidden/>
          </w:rPr>
          <w:fldChar w:fldCharType="end"/>
        </w:r>
      </w:hyperlink>
    </w:p>
    <w:p w14:paraId="54A08781" w14:textId="51FD50C1"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87" w:history="1">
        <w:r w:rsidRPr="004A6F74">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rPr>
          <w:t>Returnable documents Checklist</w:t>
        </w:r>
        <w:r>
          <w:rPr>
            <w:noProof/>
            <w:webHidden/>
          </w:rPr>
          <w:tab/>
        </w:r>
        <w:r>
          <w:rPr>
            <w:noProof/>
            <w:webHidden/>
          </w:rPr>
          <w:fldChar w:fldCharType="begin"/>
        </w:r>
        <w:r>
          <w:rPr>
            <w:noProof/>
            <w:webHidden/>
          </w:rPr>
          <w:instrText xml:space="preserve"> PAGEREF _Toc227224887 \h </w:instrText>
        </w:r>
        <w:r>
          <w:rPr>
            <w:noProof/>
            <w:webHidden/>
          </w:rPr>
        </w:r>
        <w:r>
          <w:rPr>
            <w:noProof/>
            <w:webHidden/>
          </w:rPr>
          <w:fldChar w:fldCharType="separate"/>
        </w:r>
        <w:r>
          <w:rPr>
            <w:noProof/>
            <w:webHidden/>
          </w:rPr>
          <w:t>12</w:t>
        </w:r>
        <w:r>
          <w:rPr>
            <w:noProof/>
            <w:webHidden/>
          </w:rPr>
          <w:fldChar w:fldCharType="end"/>
        </w:r>
      </w:hyperlink>
    </w:p>
    <w:p w14:paraId="2D7B4FCF" w14:textId="3FF48A4C" w:rsidR="007206E0" w:rsidRDefault="007206E0">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27224888" w:history="1">
        <w:r w:rsidRPr="004A6F74">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4A6F74">
          <w:rPr>
            <w:rStyle w:val="Hyperlink"/>
            <w:noProof/>
          </w:rPr>
          <w:t>Bidder Information</w:t>
        </w:r>
        <w:r>
          <w:rPr>
            <w:noProof/>
            <w:webHidden/>
          </w:rPr>
          <w:tab/>
        </w:r>
        <w:r>
          <w:rPr>
            <w:noProof/>
            <w:webHidden/>
          </w:rPr>
          <w:fldChar w:fldCharType="begin"/>
        </w:r>
        <w:r>
          <w:rPr>
            <w:noProof/>
            <w:webHidden/>
          </w:rPr>
          <w:instrText xml:space="preserve"> PAGEREF _Toc227224888 \h </w:instrText>
        </w:r>
        <w:r>
          <w:rPr>
            <w:noProof/>
            <w:webHidden/>
          </w:rPr>
        </w:r>
        <w:r>
          <w:rPr>
            <w:noProof/>
            <w:webHidden/>
          </w:rPr>
          <w:fldChar w:fldCharType="separate"/>
        </w:r>
        <w:r>
          <w:rPr>
            <w:noProof/>
            <w:webHidden/>
          </w:rPr>
          <w:t>13</w:t>
        </w:r>
        <w:r>
          <w:rPr>
            <w:noProof/>
            <w:webHidden/>
          </w:rPr>
          <w:fldChar w:fldCharType="end"/>
        </w:r>
      </w:hyperlink>
    </w:p>
    <w:p w14:paraId="6EB179E9" w14:textId="41A61E6B"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89" w:history="1">
        <w:r w:rsidRPr="004A6F74">
          <w:rPr>
            <w:rStyle w:val="Hyperlink"/>
            <w:noProof/>
          </w:rPr>
          <w:t>Scope and Roles</w:t>
        </w:r>
        <w:r>
          <w:rPr>
            <w:noProof/>
            <w:webHidden/>
          </w:rPr>
          <w:tab/>
        </w:r>
        <w:r>
          <w:rPr>
            <w:noProof/>
            <w:webHidden/>
          </w:rPr>
          <w:fldChar w:fldCharType="begin"/>
        </w:r>
        <w:r>
          <w:rPr>
            <w:noProof/>
            <w:webHidden/>
          </w:rPr>
          <w:instrText xml:space="preserve"> PAGEREF _Toc227224889 \h </w:instrText>
        </w:r>
        <w:r>
          <w:rPr>
            <w:noProof/>
            <w:webHidden/>
          </w:rPr>
        </w:r>
        <w:r>
          <w:rPr>
            <w:noProof/>
            <w:webHidden/>
          </w:rPr>
          <w:fldChar w:fldCharType="separate"/>
        </w:r>
        <w:r>
          <w:rPr>
            <w:noProof/>
            <w:webHidden/>
          </w:rPr>
          <w:t>16</w:t>
        </w:r>
        <w:r>
          <w:rPr>
            <w:noProof/>
            <w:webHidden/>
          </w:rPr>
          <w:fldChar w:fldCharType="end"/>
        </w:r>
      </w:hyperlink>
    </w:p>
    <w:p w14:paraId="299EC4F3" w14:textId="4D6A1AF2"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0" w:history="1">
        <w:r w:rsidRPr="004A6F74">
          <w:rPr>
            <w:rStyle w:val="Hyperlink"/>
            <w:noProof/>
          </w:rPr>
          <w:t>Definitions</w:t>
        </w:r>
        <w:r>
          <w:rPr>
            <w:noProof/>
            <w:webHidden/>
          </w:rPr>
          <w:tab/>
        </w:r>
        <w:r>
          <w:rPr>
            <w:noProof/>
            <w:webHidden/>
          </w:rPr>
          <w:fldChar w:fldCharType="begin"/>
        </w:r>
        <w:r>
          <w:rPr>
            <w:noProof/>
            <w:webHidden/>
          </w:rPr>
          <w:instrText xml:space="preserve"> PAGEREF _Toc227224890 \h </w:instrText>
        </w:r>
        <w:r>
          <w:rPr>
            <w:noProof/>
            <w:webHidden/>
          </w:rPr>
        </w:r>
        <w:r>
          <w:rPr>
            <w:noProof/>
            <w:webHidden/>
          </w:rPr>
          <w:fldChar w:fldCharType="separate"/>
        </w:r>
        <w:r>
          <w:rPr>
            <w:noProof/>
            <w:webHidden/>
          </w:rPr>
          <w:t>17</w:t>
        </w:r>
        <w:r>
          <w:rPr>
            <w:noProof/>
            <w:webHidden/>
          </w:rPr>
          <w:fldChar w:fldCharType="end"/>
        </w:r>
      </w:hyperlink>
    </w:p>
    <w:p w14:paraId="4AF667EE" w14:textId="4CF48C93"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1" w:history="1">
        <w:r w:rsidRPr="004A6F74">
          <w:rPr>
            <w:rStyle w:val="Hyperlink"/>
            <w:noProof/>
          </w:rPr>
          <w:t>The Processing</w:t>
        </w:r>
        <w:r>
          <w:rPr>
            <w:noProof/>
            <w:webHidden/>
          </w:rPr>
          <w:tab/>
        </w:r>
        <w:r>
          <w:rPr>
            <w:noProof/>
            <w:webHidden/>
          </w:rPr>
          <w:fldChar w:fldCharType="begin"/>
        </w:r>
        <w:r>
          <w:rPr>
            <w:noProof/>
            <w:webHidden/>
          </w:rPr>
          <w:instrText xml:space="preserve"> PAGEREF _Toc227224891 \h </w:instrText>
        </w:r>
        <w:r>
          <w:rPr>
            <w:noProof/>
            <w:webHidden/>
          </w:rPr>
        </w:r>
        <w:r>
          <w:rPr>
            <w:noProof/>
            <w:webHidden/>
          </w:rPr>
          <w:fldChar w:fldCharType="separate"/>
        </w:r>
        <w:r>
          <w:rPr>
            <w:noProof/>
            <w:webHidden/>
          </w:rPr>
          <w:t>17</w:t>
        </w:r>
        <w:r>
          <w:rPr>
            <w:noProof/>
            <w:webHidden/>
          </w:rPr>
          <w:fldChar w:fldCharType="end"/>
        </w:r>
      </w:hyperlink>
    </w:p>
    <w:p w14:paraId="69FE0481" w14:textId="0F074AE4"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2" w:history="1">
        <w:r w:rsidRPr="004A6F74">
          <w:rPr>
            <w:rStyle w:val="Hyperlink"/>
            <w:noProof/>
          </w:rPr>
          <w:t>Rights of data subjects</w:t>
        </w:r>
        <w:r>
          <w:rPr>
            <w:noProof/>
            <w:webHidden/>
          </w:rPr>
          <w:tab/>
        </w:r>
        <w:r>
          <w:rPr>
            <w:noProof/>
            <w:webHidden/>
          </w:rPr>
          <w:fldChar w:fldCharType="begin"/>
        </w:r>
        <w:r>
          <w:rPr>
            <w:noProof/>
            <w:webHidden/>
          </w:rPr>
          <w:instrText xml:space="preserve"> PAGEREF _Toc227224892 \h </w:instrText>
        </w:r>
        <w:r>
          <w:rPr>
            <w:noProof/>
            <w:webHidden/>
          </w:rPr>
        </w:r>
        <w:r>
          <w:rPr>
            <w:noProof/>
            <w:webHidden/>
          </w:rPr>
          <w:fldChar w:fldCharType="separate"/>
        </w:r>
        <w:r>
          <w:rPr>
            <w:noProof/>
            <w:webHidden/>
          </w:rPr>
          <w:t>18</w:t>
        </w:r>
        <w:r>
          <w:rPr>
            <w:noProof/>
            <w:webHidden/>
          </w:rPr>
          <w:fldChar w:fldCharType="end"/>
        </w:r>
      </w:hyperlink>
    </w:p>
    <w:p w14:paraId="50FFAA0B" w14:textId="52CA94E3"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3" w:history="1">
        <w:r w:rsidRPr="004A6F74">
          <w:rPr>
            <w:rStyle w:val="Hyperlink"/>
            <w:noProof/>
          </w:rPr>
          <w:t>Obligations and rights of the Responsible Party</w:t>
        </w:r>
        <w:r>
          <w:rPr>
            <w:noProof/>
            <w:webHidden/>
          </w:rPr>
          <w:tab/>
        </w:r>
        <w:r>
          <w:rPr>
            <w:noProof/>
            <w:webHidden/>
          </w:rPr>
          <w:fldChar w:fldCharType="begin"/>
        </w:r>
        <w:r>
          <w:rPr>
            <w:noProof/>
            <w:webHidden/>
          </w:rPr>
          <w:instrText xml:space="preserve"> PAGEREF _Toc227224893 \h </w:instrText>
        </w:r>
        <w:r>
          <w:rPr>
            <w:noProof/>
            <w:webHidden/>
          </w:rPr>
        </w:r>
        <w:r>
          <w:rPr>
            <w:noProof/>
            <w:webHidden/>
          </w:rPr>
          <w:fldChar w:fldCharType="separate"/>
        </w:r>
        <w:r>
          <w:rPr>
            <w:noProof/>
            <w:webHidden/>
          </w:rPr>
          <w:t>18</w:t>
        </w:r>
        <w:r>
          <w:rPr>
            <w:noProof/>
            <w:webHidden/>
          </w:rPr>
          <w:fldChar w:fldCharType="end"/>
        </w:r>
      </w:hyperlink>
    </w:p>
    <w:p w14:paraId="7B2B5863" w14:textId="70422F84"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4" w:history="1">
        <w:r w:rsidRPr="004A6F74">
          <w:rPr>
            <w:rStyle w:val="Hyperlink"/>
            <w:noProof/>
          </w:rPr>
          <w:t>Obligations of the Operator</w:t>
        </w:r>
        <w:r>
          <w:rPr>
            <w:noProof/>
            <w:webHidden/>
          </w:rPr>
          <w:tab/>
        </w:r>
        <w:r>
          <w:rPr>
            <w:noProof/>
            <w:webHidden/>
          </w:rPr>
          <w:fldChar w:fldCharType="begin"/>
        </w:r>
        <w:r>
          <w:rPr>
            <w:noProof/>
            <w:webHidden/>
          </w:rPr>
          <w:instrText xml:space="preserve"> PAGEREF _Toc227224894 \h </w:instrText>
        </w:r>
        <w:r>
          <w:rPr>
            <w:noProof/>
            <w:webHidden/>
          </w:rPr>
        </w:r>
        <w:r>
          <w:rPr>
            <w:noProof/>
            <w:webHidden/>
          </w:rPr>
          <w:fldChar w:fldCharType="separate"/>
        </w:r>
        <w:r>
          <w:rPr>
            <w:noProof/>
            <w:webHidden/>
          </w:rPr>
          <w:t>19</w:t>
        </w:r>
        <w:r>
          <w:rPr>
            <w:noProof/>
            <w:webHidden/>
          </w:rPr>
          <w:fldChar w:fldCharType="end"/>
        </w:r>
      </w:hyperlink>
    </w:p>
    <w:p w14:paraId="48EAB97D" w14:textId="65891CF3"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5" w:history="1">
        <w:r w:rsidRPr="004A6F74">
          <w:rPr>
            <w:rStyle w:val="Hyperlink"/>
            <w:noProof/>
          </w:rPr>
          <w:t>Duration and Applicable Law</w:t>
        </w:r>
        <w:r>
          <w:rPr>
            <w:noProof/>
            <w:webHidden/>
          </w:rPr>
          <w:tab/>
        </w:r>
        <w:r>
          <w:rPr>
            <w:noProof/>
            <w:webHidden/>
          </w:rPr>
          <w:fldChar w:fldCharType="begin"/>
        </w:r>
        <w:r>
          <w:rPr>
            <w:noProof/>
            <w:webHidden/>
          </w:rPr>
          <w:instrText xml:space="preserve"> PAGEREF _Toc227224895 \h </w:instrText>
        </w:r>
        <w:r>
          <w:rPr>
            <w:noProof/>
            <w:webHidden/>
          </w:rPr>
        </w:r>
        <w:r>
          <w:rPr>
            <w:noProof/>
            <w:webHidden/>
          </w:rPr>
          <w:fldChar w:fldCharType="separate"/>
        </w:r>
        <w:r>
          <w:rPr>
            <w:noProof/>
            <w:webHidden/>
          </w:rPr>
          <w:t>19</w:t>
        </w:r>
        <w:r>
          <w:rPr>
            <w:noProof/>
            <w:webHidden/>
          </w:rPr>
          <w:fldChar w:fldCharType="end"/>
        </w:r>
      </w:hyperlink>
    </w:p>
    <w:p w14:paraId="6FDABD0F" w14:textId="23BDD0ED"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6" w:history="1">
        <w:r w:rsidRPr="004A6F74">
          <w:rPr>
            <w:rStyle w:val="Hyperlink"/>
            <w:noProof/>
          </w:rPr>
          <w:t>Signatures</w:t>
        </w:r>
        <w:r>
          <w:rPr>
            <w:noProof/>
            <w:webHidden/>
          </w:rPr>
          <w:tab/>
        </w:r>
        <w:r>
          <w:rPr>
            <w:noProof/>
            <w:webHidden/>
          </w:rPr>
          <w:fldChar w:fldCharType="begin"/>
        </w:r>
        <w:r>
          <w:rPr>
            <w:noProof/>
            <w:webHidden/>
          </w:rPr>
          <w:instrText xml:space="preserve"> PAGEREF _Toc227224896 \h </w:instrText>
        </w:r>
        <w:r>
          <w:rPr>
            <w:noProof/>
            <w:webHidden/>
          </w:rPr>
        </w:r>
        <w:r>
          <w:rPr>
            <w:noProof/>
            <w:webHidden/>
          </w:rPr>
          <w:fldChar w:fldCharType="separate"/>
        </w:r>
        <w:r>
          <w:rPr>
            <w:noProof/>
            <w:webHidden/>
          </w:rPr>
          <w:t>19</w:t>
        </w:r>
        <w:r>
          <w:rPr>
            <w:noProof/>
            <w:webHidden/>
          </w:rPr>
          <w:fldChar w:fldCharType="end"/>
        </w:r>
      </w:hyperlink>
    </w:p>
    <w:p w14:paraId="3593E1AF" w14:textId="065AC4BA" w:rsidR="007206E0" w:rsidRDefault="007206E0">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27224897" w:history="1">
        <w:r w:rsidRPr="004A6F74">
          <w:rPr>
            <w:rStyle w:val="Hyperlink"/>
            <w:noProof/>
          </w:rPr>
          <w:t>TECHNICAL SPECIFICATION ANNEXURE A</w:t>
        </w:r>
        <w:r>
          <w:rPr>
            <w:noProof/>
            <w:webHidden/>
          </w:rPr>
          <w:tab/>
        </w:r>
        <w:r>
          <w:rPr>
            <w:noProof/>
            <w:webHidden/>
          </w:rPr>
          <w:fldChar w:fldCharType="begin"/>
        </w:r>
        <w:r>
          <w:rPr>
            <w:noProof/>
            <w:webHidden/>
          </w:rPr>
          <w:instrText xml:space="preserve"> PAGEREF _Toc227224897 \h </w:instrText>
        </w:r>
        <w:r>
          <w:rPr>
            <w:noProof/>
            <w:webHidden/>
          </w:rPr>
        </w:r>
        <w:r>
          <w:rPr>
            <w:noProof/>
            <w:webHidden/>
          </w:rPr>
          <w:fldChar w:fldCharType="separate"/>
        </w:r>
        <w:r>
          <w:rPr>
            <w:noProof/>
            <w:webHidden/>
          </w:rPr>
          <w:t>21</w:t>
        </w:r>
        <w:r>
          <w:rPr>
            <w:noProof/>
            <w:webHidden/>
          </w:rPr>
          <w:fldChar w:fldCharType="end"/>
        </w:r>
      </w:hyperlink>
    </w:p>
    <w:p w14:paraId="4187A4C1" w14:textId="0545CC85" w:rsidR="009F2F70" w:rsidRDefault="00550A62">
      <w:pPr>
        <w:widowControl/>
        <w:spacing w:before="0" w:after="200"/>
        <w:outlineLvl w:val="9"/>
      </w:pPr>
      <w:r>
        <w:rPr>
          <w:rFonts w:ascii="Arial Bold" w:hAnsi="Arial Bold"/>
          <w:sz w:val="28"/>
        </w:rPr>
        <w:fldChar w:fldCharType="end"/>
      </w:r>
    </w:p>
    <w:p w14:paraId="0BC85336" w14:textId="77777777" w:rsidR="00D6488C" w:rsidRDefault="00D6488C" w:rsidP="00D6488C">
      <w:pPr>
        <w:pStyle w:val="Index1"/>
      </w:pPr>
      <w:bookmarkStart w:id="1" w:name="_Toc227224857"/>
      <w:bookmarkEnd w:id="1"/>
    </w:p>
    <w:p w14:paraId="1F2D02F4" w14:textId="77777777" w:rsidR="00484FDB" w:rsidRPr="00FB1E06" w:rsidRDefault="00484FDB" w:rsidP="005E71C3">
      <w:pPr>
        <w:pStyle w:val="Index2"/>
      </w:pPr>
      <w:bookmarkStart w:id="2" w:name="_Toc227224858"/>
      <w:r w:rsidRPr="00FB1E06">
        <w:t>Introduction</w:t>
      </w:r>
      <w:bookmarkEnd w:id="2"/>
    </w:p>
    <w:p w14:paraId="1CD7174B" w14:textId="77777777" w:rsidR="009D79A3" w:rsidRPr="00FB1E06" w:rsidRDefault="009D79A3" w:rsidP="00983E61">
      <w:pPr>
        <w:pStyle w:val="Index3"/>
      </w:pPr>
      <w:bookmarkStart w:id="3" w:name="_Toc227224859"/>
      <w:r w:rsidRPr="00FB1E06">
        <w:t>Company Overview</w:t>
      </w:r>
      <w:bookmarkEnd w:id="3"/>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4" w:name="_Toc227224860"/>
      <w:r w:rsidRPr="00A5183C">
        <w:t>Scope of Work</w:t>
      </w:r>
      <w:bookmarkEnd w:id="4"/>
    </w:p>
    <w:p w14:paraId="7F7FBBE2" w14:textId="77777777" w:rsidR="008536F0" w:rsidRDefault="008536F0" w:rsidP="008536F0">
      <w:pPr>
        <w:pStyle w:val="1Paragraph"/>
        <w:ind w:left="0"/>
      </w:pPr>
    </w:p>
    <w:p w14:paraId="087FB3D7" w14:textId="7F942CB1" w:rsidR="008536F0" w:rsidRDefault="008536F0" w:rsidP="008536F0">
      <w:pPr>
        <w:pStyle w:val="1Paragraph"/>
        <w:rPr>
          <w:lang w:val="en-US"/>
        </w:rPr>
      </w:pPr>
      <w:r>
        <w:t>The scope includes the</w:t>
      </w:r>
      <w:r w:rsidRPr="008536F0">
        <w:t xml:space="preserve"> supply, delivery, installation, commissioning, maintenance plan and training on </w:t>
      </w:r>
      <w:r w:rsidRPr="00E10392">
        <w:rPr>
          <w:lang w:val="en-US"/>
        </w:rPr>
        <w:t xml:space="preserve">one </w:t>
      </w:r>
      <w:r>
        <w:rPr>
          <w:lang w:val="en-US"/>
        </w:rPr>
        <w:t>Laser Particle Size</w:t>
      </w:r>
      <w:r w:rsidRPr="00E10392">
        <w:rPr>
          <w:lang w:val="en-US"/>
        </w:rPr>
        <w:t xml:space="preserve"> </w:t>
      </w:r>
      <w:r w:rsidR="000B095C">
        <w:rPr>
          <w:lang w:val="en-US"/>
        </w:rPr>
        <w:t>with dynamic image analyser</w:t>
      </w:r>
      <w:r>
        <w:rPr>
          <w:lang w:val="en-US"/>
        </w:rPr>
        <w:t>.</w:t>
      </w:r>
    </w:p>
    <w:p w14:paraId="0D3690A8" w14:textId="55D33F8F" w:rsidR="008536F0" w:rsidRPr="008536F0" w:rsidRDefault="008536F0" w:rsidP="008536F0">
      <w:pPr>
        <w:pStyle w:val="1Paragraph"/>
        <w:rPr>
          <w:lang w:val="en-US"/>
        </w:rPr>
      </w:pPr>
      <w:r>
        <w:t xml:space="preserve">The bidder must be able to train the personnel involved in the operation of the equipment and guarantee local support in the form of a maintenance plan for the </w:t>
      </w:r>
      <w:r w:rsidR="000B095C">
        <w:rPr>
          <w:lang w:val="en-US"/>
        </w:rPr>
        <w:t>Laser Particle Size</w:t>
      </w:r>
      <w:r w:rsidR="000B095C" w:rsidRPr="00E10392">
        <w:rPr>
          <w:lang w:val="en-US"/>
        </w:rPr>
        <w:t xml:space="preserve"> </w:t>
      </w:r>
      <w:r w:rsidR="000B095C">
        <w:rPr>
          <w:lang w:val="en-US"/>
        </w:rPr>
        <w:t>with dynamic image analyser</w:t>
      </w:r>
      <w:r>
        <w:t xml:space="preserve"> for a period of </w:t>
      </w:r>
      <w:r w:rsidR="000B095C">
        <w:t>2</w:t>
      </w:r>
      <w:r>
        <w:t xml:space="preserve"> (</w:t>
      </w:r>
      <w:r w:rsidR="000B095C">
        <w:t>two</w:t>
      </w:r>
      <w:r>
        <w:t>) year</w:t>
      </w:r>
      <w:r w:rsidR="000B095C">
        <w:t>s</w:t>
      </w:r>
      <w:r>
        <w:t xml:space="preserve"> after lapse of the warranty. Thereafter, the option to have continuous support for the lifespan of the equipment need to be an option. </w:t>
      </w:r>
    </w:p>
    <w:p w14:paraId="1216F6B5" w14:textId="01584604" w:rsidR="008536F0" w:rsidRDefault="008536F0" w:rsidP="008536F0">
      <w:pPr>
        <w:pStyle w:val="1Paragraph"/>
      </w:pPr>
      <w:r>
        <w:t>The Scope of Work shall include the performance of all work necessary to achieve the requirements (Section 5) of the bid, whether uniquely specified or not.</w:t>
      </w:r>
    </w:p>
    <w:p w14:paraId="511378FB" w14:textId="77777777" w:rsidR="008536F0" w:rsidRDefault="008536F0" w:rsidP="008536F0">
      <w:pPr>
        <w:pStyle w:val="1Paragraph"/>
        <w:ind w:left="0"/>
      </w:pPr>
    </w:p>
    <w:p w14:paraId="2F9423AD" w14:textId="77777777" w:rsidR="008C0230" w:rsidRPr="00E10392" w:rsidRDefault="008C0230" w:rsidP="008C0230">
      <w:pPr>
        <w:pStyle w:val="Index3"/>
        <w:rPr>
          <w:lang w:val="en-US"/>
        </w:rPr>
      </w:pPr>
      <w:bookmarkStart w:id="5" w:name="_Toc116629000"/>
      <w:bookmarkStart w:id="6" w:name="_Toc227224861"/>
      <w:r w:rsidRPr="00E10392">
        <w:rPr>
          <w:lang w:val="en-US"/>
        </w:rPr>
        <w:t>Specification / Technical Requirements</w:t>
      </w:r>
      <w:bookmarkEnd w:id="5"/>
      <w:bookmarkEnd w:id="6"/>
    </w:p>
    <w:p w14:paraId="61297465" w14:textId="2325F0D6" w:rsidR="008C0230" w:rsidRPr="00E10392" w:rsidRDefault="008C0230" w:rsidP="008C0230">
      <w:pPr>
        <w:pStyle w:val="1Paragraph"/>
        <w:rPr>
          <w:b/>
          <w:lang w:val="en-US"/>
        </w:rPr>
      </w:pPr>
      <w:r w:rsidRPr="00E10392">
        <w:rPr>
          <w:lang w:val="en-US"/>
        </w:rPr>
        <w:t xml:space="preserve">The detailed specifications are provided in the following attached document: </w:t>
      </w:r>
      <w:r w:rsidRPr="00E10392">
        <w:rPr>
          <w:b/>
          <w:lang w:val="en-US"/>
        </w:rPr>
        <w:t xml:space="preserve">SEE </w:t>
      </w:r>
      <w:r w:rsidR="007206E0">
        <w:rPr>
          <w:b/>
          <w:lang w:val="en-US"/>
        </w:rPr>
        <w:t xml:space="preserve">  </w:t>
      </w:r>
      <w:r w:rsidRPr="00E10392">
        <w:rPr>
          <w:b/>
          <w:lang w:val="en-US"/>
        </w:rPr>
        <w:t>ANNEXURE A</w:t>
      </w:r>
      <w:r w:rsidR="00E80F25">
        <w:rPr>
          <w:b/>
          <w:lang w:val="en-US"/>
        </w:rPr>
        <w:t xml:space="preserve"> </w:t>
      </w:r>
    </w:p>
    <w:p w14:paraId="3692983C" w14:textId="5EF360D8" w:rsidR="00EE08F2" w:rsidRDefault="00554C52" w:rsidP="00232BB0">
      <w:pPr>
        <w:ind w:left="851"/>
      </w:pPr>
      <w:r w:rsidRPr="00232BB0">
        <w:t xml:space="preserve">The bidder shall, based on the overall objective of the scope of work to be performed </w:t>
      </w:r>
      <w:r w:rsidRPr="00232BB0">
        <w:lastRenderedPageBreak/>
        <w:t xml:space="preserve">and the </w:t>
      </w:r>
      <w:r w:rsidR="00851733" w:rsidRPr="00232BB0">
        <w:t>bidder’s</w:t>
      </w:r>
      <w:r w:rsidRPr="00232BB0">
        <w:t xml:space="preserve"> expertise, identify any obvious omissions from the scope that they believe to be essential for meeting the overall objectives</w:t>
      </w:r>
      <w:r w:rsidR="000E070F" w:rsidRPr="00232BB0">
        <w:t xml:space="preserve">. The bidder shall </w:t>
      </w:r>
      <w:r w:rsidRPr="00232BB0">
        <w:t>include this into the price of the work to be performed and submit it for negotiation.</w:t>
      </w:r>
    </w:p>
    <w:p w14:paraId="711B6C19" w14:textId="77777777" w:rsidR="00232BB0" w:rsidRPr="00232BB0" w:rsidRDefault="00232BB0" w:rsidP="00232BB0">
      <w:pPr>
        <w:ind w:left="720"/>
      </w:pPr>
    </w:p>
    <w:p w14:paraId="2BEEFD45" w14:textId="77777777" w:rsidR="00983E61" w:rsidRDefault="00DA72E8" w:rsidP="00983E61">
      <w:pPr>
        <w:pStyle w:val="Index3"/>
      </w:pPr>
      <w:bookmarkStart w:id="7" w:name="_Toc227224862"/>
      <w:r w:rsidRPr="00983E61">
        <w:t>Pricing/Billing Model</w:t>
      </w:r>
      <w:r w:rsidR="005B1AF4" w:rsidRPr="00983E61">
        <w:t>.</w:t>
      </w:r>
      <w:bookmarkEnd w:id="7"/>
    </w:p>
    <w:p w14:paraId="13023436" w14:textId="77777777" w:rsidR="00BB592C" w:rsidRDefault="00BB592C" w:rsidP="00BB592C">
      <w:pPr>
        <w:pStyle w:val="1Paragraph"/>
        <w:ind w:left="720"/>
      </w:pPr>
    </w:p>
    <w:p w14:paraId="6233C862" w14:textId="16F6BECB" w:rsidR="008C0230" w:rsidRDefault="00BB592C" w:rsidP="00BB592C">
      <w:pPr>
        <w:pStyle w:val="1Paragraph"/>
        <w:ind w:left="720"/>
      </w:pPr>
      <w:r w:rsidRPr="00BB592C">
        <w:t xml:space="preserve">Table 1.  </w:t>
      </w: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8C0230" w:rsidRPr="00E10392" w14:paraId="0683128D" w14:textId="77777777" w:rsidTr="00BB592C">
        <w:tc>
          <w:tcPr>
            <w:tcW w:w="825" w:type="dxa"/>
            <w:vAlign w:val="center"/>
          </w:tcPr>
          <w:p w14:paraId="429902D5" w14:textId="77777777" w:rsidR="008C0230" w:rsidRPr="00E10392" w:rsidRDefault="008C0230" w:rsidP="00330186">
            <w:pPr>
              <w:widowControl/>
              <w:spacing w:before="0" w:after="200"/>
              <w:outlineLvl w:val="9"/>
              <w:rPr>
                <w:b/>
                <w:lang w:val="en-US"/>
              </w:rPr>
            </w:pPr>
            <w:bookmarkStart w:id="8" w:name="_Hlk111535986"/>
            <w:r w:rsidRPr="00E10392">
              <w:rPr>
                <w:b/>
                <w:lang w:val="en-US"/>
              </w:rPr>
              <w:t>No</w:t>
            </w:r>
          </w:p>
        </w:tc>
        <w:tc>
          <w:tcPr>
            <w:tcW w:w="3200" w:type="dxa"/>
            <w:vAlign w:val="center"/>
          </w:tcPr>
          <w:p w14:paraId="030E7029" w14:textId="77777777" w:rsidR="008C0230" w:rsidRPr="00E10392" w:rsidRDefault="008C0230" w:rsidP="00330186">
            <w:pPr>
              <w:widowControl/>
              <w:spacing w:before="0" w:after="200"/>
              <w:outlineLvl w:val="9"/>
              <w:rPr>
                <w:b/>
                <w:lang w:val="en-US"/>
              </w:rPr>
            </w:pPr>
            <w:r w:rsidRPr="00E10392">
              <w:rPr>
                <w:b/>
                <w:lang w:val="en-US"/>
              </w:rPr>
              <w:t xml:space="preserve">Description </w:t>
            </w:r>
          </w:p>
        </w:tc>
        <w:tc>
          <w:tcPr>
            <w:tcW w:w="1587" w:type="dxa"/>
            <w:vAlign w:val="center"/>
          </w:tcPr>
          <w:p w14:paraId="5BF19302" w14:textId="77777777" w:rsidR="008C0230" w:rsidRPr="00E10392" w:rsidRDefault="008C0230" w:rsidP="00330186">
            <w:pPr>
              <w:widowControl/>
              <w:spacing w:before="0" w:after="200"/>
              <w:jc w:val="center"/>
              <w:outlineLvl w:val="9"/>
              <w:rPr>
                <w:b/>
                <w:lang w:val="en-US"/>
              </w:rPr>
            </w:pPr>
            <w:r w:rsidRPr="00E10392">
              <w:rPr>
                <w:b/>
                <w:lang w:val="en-US"/>
              </w:rPr>
              <w:t>Quantity</w:t>
            </w:r>
          </w:p>
        </w:tc>
        <w:tc>
          <w:tcPr>
            <w:tcW w:w="1576" w:type="dxa"/>
            <w:vAlign w:val="center"/>
          </w:tcPr>
          <w:p w14:paraId="5DA1A3D2" w14:textId="77777777" w:rsidR="008C0230" w:rsidRPr="00E10392" w:rsidRDefault="008C0230" w:rsidP="00330186">
            <w:pPr>
              <w:widowControl/>
              <w:spacing w:before="0" w:after="200"/>
              <w:jc w:val="center"/>
              <w:outlineLvl w:val="9"/>
              <w:rPr>
                <w:b/>
                <w:lang w:val="en-US"/>
              </w:rPr>
            </w:pPr>
            <w:r w:rsidRPr="00E10392">
              <w:rPr>
                <w:b/>
                <w:lang w:val="en-US"/>
              </w:rPr>
              <w:t>Price Per unit</w:t>
            </w:r>
          </w:p>
        </w:tc>
        <w:tc>
          <w:tcPr>
            <w:tcW w:w="1577" w:type="dxa"/>
            <w:vAlign w:val="center"/>
          </w:tcPr>
          <w:p w14:paraId="1D1695F1" w14:textId="77777777" w:rsidR="008C0230" w:rsidRPr="00E10392" w:rsidRDefault="008C0230" w:rsidP="00330186">
            <w:pPr>
              <w:widowControl/>
              <w:spacing w:before="0" w:after="200"/>
              <w:jc w:val="center"/>
              <w:outlineLvl w:val="9"/>
              <w:rPr>
                <w:b/>
                <w:lang w:val="en-US"/>
              </w:rPr>
            </w:pPr>
            <w:r w:rsidRPr="00E10392">
              <w:rPr>
                <w:b/>
                <w:lang w:val="en-US"/>
              </w:rPr>
              <w:t>Sub Total (Excl. VAT)</w:t>
            </w:r>
          </w:p>
        </w:tc>
      </w:tr>
      <w:tr w:rsidR="008C0230" w:rsidRPr="00E10392" w14:paraId="315F6E2B" w14:textId="77777777" w:rsidTr="00BB592C">
        <w:tc>
          <w:tcPr>
            <w:tcW w:w="825" w:type="dxa"/>
            <w:vAlign w:val="center"/>
          </w:tcPr>
          <w:p w14:paraId="6D6B5016" w14:textId="77777777" w:rsidR="008C0230" w:rsidRPr="00E10392" w:rsidRDefault="008C0230" w:rsidP="00330186">
            <w:pPr>
              <w:widowControl/>
              <w:spacing w:before="0" w:after="200"/>
              <w:outlineLvl w:val="9"/>
              <w:rPr>
                <w:b/>
                <w:lang w:val="en-US"/>
              </w:rPr>
            </w:pPr>
            <w:r w:rsidRPr="00E10392">
              <w:rPr>
                <w:b/>
                <w:lang w:val="en-US"/>
              </w:rPr>
              <w:t>1</w:t>
            </w:r>
          </w:p>
        </w:tc>
        <w:tc>
          <w:tcPr>
            <w:tcW w:w="3200" w:type="dxa"/>
            <w:vAlign w:val="center"/>
          </w:tcPr>
          <w:p w14:paraId="48EC43EB" w14:textId="59A00F02" w:rsidR="003D76A3" w:rsidRPr="00ED730D" w:rsidRDefault="00ED730D" w:rsidP="00ED730D">
            <w:pPr>
              <w:widowControl/>
              <w:spacing w:before="0" w:after="0"/>
              <w:outlineLvl w:val="9"/>
              <w:rPr>
                <w:bCs/>
                <w:lang w:val="en-US"/>
              </w:rPr>
            </w:pPr>
            <w:r w:rsidRPr="00ED730D">
              <w:rPr>
                <w:lang w:val="en-US"/>
              </w:rPr>
              <w:t>Laser Particle Size with dynamic image analyser</w:t>
            </w:r>
            <w:r>
              <w:rPr>
                <w:lang w:val="en-US"/>
              </w:rPr>
              <w:t xml:space="preserve"> with standard volume liquid handling system</w:t>
            </w:r>
          </w:p>
        </w:tc>
        <w:tc>
          <w:tcPr>
            <w:tcW w:w="1587" w:type="dxa"/>
            <w:vAlign w:val="center"/>
          </w:tcPr>
          <w:p w14:paraId="2AF665D0" w14:textId="77777777" w:rsidR="008C0230" w:rsidRPr="00E10392" w:rsidRDefault="008C0230" w:rsidP="00330186">
            <w:pPr>
              <w:widowControl/>
              <w:spacing w:before="0" w:after="200"/>
              <w:jc w:val="center"/>
              <w:outlineLvl w:val="9"/>
              <w:rPr>
                <w:b/>
                <w:lang w:val="en-US"/>
              </w:rPr>
            </w:pPr>
            <w:r w:rsidRPr="00E10392">
              <w:rPr>
                <w:b/>
                <w:lang w:val="en-US"/>
              </w:rPr>
              <w:t>01</w:t>
            </w:r>
          </w:p>
        </w:tc>
        <w:tc>
          <w:tcPr>
            <w:tcW w:w="1576" w:type="dxa"/>
            <w:vAlign w:val="center"/>
          </w:tcPr>
          <w:p w14:paraId="49ACB56D" w14:textId="77777777" w:rsidR="008C0230" w:rsidRPr="00E10392" w:rsidRDefault="008C0230" w:rsidP="00330186">
            <w:pPr>
              <w:widowControl/>
              <w:spacing w:before="0" w:after="200"/>
              <w:jc w:val="center"/>
              <w:outlineLvl w:val="9"/>
              <w:rPr>
                <w:b/>
                <w:highlight w:val="yellow"/>
                <w:lang w:val="en-US"/>
              </w:rPr>
            </w:pPr>
          </w:p>
        </w:tc>
        <w:tc>
          <w:tcPr>
            <w:tcW w:w="1577" w:type="dxa"/>
            <w:vAlign w:val="center"/>
          </w:tcPr>
          <w:p w14:paraId="01B900C6" w14:textId="77777777" w:rsidR="008C0230" w:rsidRPr="00E10392" w:rsidRDefault="008C0230" w:rsidP="00330186">
            <w:pPr>
              <w:widowControl/>
              <w:spacing w:before="0" w:after="200"/>
              <w:jc w:val="center"/>
              <w:outlineLvl w:val="9"/>
              <w:rPr>
                <w:b/>
                <w:highlight w:val="yellow"/>
                <w:lang w:val="en-US"/>
              </w:rPr>
            </w:pPr>
          </w:p>
        </w:tc>
      </w:tr>
      <w:tr w:rsidR="008C0230" w:rsidRPr="00E10392" w14:paraId="1689FE1D" w14:textId="77777777" w:rsidTr="00BB592C">
        <w:tc>
          <w:tcPr>
            <w:tcW w:w="825" w:type="dxa"/>
            <w:vAlign w:val="center"/>
          </w:tcPr>
          <w:p w14:paraId="351230FB" w14:textId="77777777" w:rsidR="008C0230" w:rsidRPr="00E10392" w:rsidRDefault="008C0230" w:rsidP="00330186">
            <w:pPr>
              <w:widowControl/>
              <w:spacing w:before="0" w:after="200"/>
              <w:outlineLvl w:val="9"/>
              <w:rPr>
                <w:b/>
                <w:lang w:val="en-US"/>
              </w:rPr>
            </w:pPr>
            <w:r w:rsidRPr="00E10392">
              <w:rPr>
                <w:b/>
                <w:lang w:val="en-US"/>
              </w:rPr>
              <w:t>2</w:t>
            </w:r>
          </w:p>
        </w:tc>
        <w:tc>
          <w:tcPr>
            <w:tcW w:w="3200" w:type="dxa"/>
            <w:vAlign w:val="center"/>
          </w:tcPr>
          <w:p w14:paraId="15EDD0FF" w14:textId="2003B37D" w:rsidR="00BB592C" w:rsidRPr="00E10392" w:rsidRDefault="003D76A3" w:rsidP="00BB592C">
            <w:pPr>
              <w:widowControl/>
              <w:spacing w:before="0" w:after="0"/>
              <w:outlineLvl w:val="9"/>
              <w:rPr>
                <w:iCs w:val="0"/>
                <w:color w:val="000000"/>
                <w:lang w:val="en-US" w:eastAsia="en-US"/>
              </w:rPr>
            </w:pPr>
            <w:r>
              <w:rPr>
                <w:iCs w:val="0"/>
                <w:color w:val="000000"/>
                <w:lang w:val="en-US" w:eastAsia="en-US"/>
              </w:rPr>
              <w:t>Low</w:t>
            </w:r>
            <w:r w:rsidR="00232BB0">
              <w:rPr>
                <w:iCs w:val="0"/>
                <w:color w:val="000000"/>
                <w:lang w:val="en-US" w:eastAsia="en-US"/>
              </w:rPr>
              <w:t xml:space="preserve"> volume</w:t>
            </w:r>
            <w:r>
              <w:rPr>
                <w:iCs w:val="0"/>
                <w:color w:val="000000"/>
                <w:lang w:val="en-US" w:eastAsia="en-US"/>
              </w:rPr>
              <w:t xml:space="preserve"> liquid handling system</w:t>
            </w:r>
          </w:p>
        </w:tc>
        <w:tc>
          <w:tcPr>
            <w:tcW w:w="1587" w:type="dxa"/>
            <w:vAlign w:val="center"/>
          </w:tcPr>
          <w:p w14:paraId="5F7788DF" w14:textId="77777777" w:rsidR="008C0230" w:rsidRPr="00E10392" w:rsidRDefault="008C0230" w:rsidP="00330186">
            <w:pPr>
              <w:widowControl/>
              <w:spacing w:before="0" w:after="200"/>
              <w:jc w:val="center"/>
              <w:outlineLvl w:val="9"/>
              <w:rPr>
                <w:b/>
                <w:lang w:val="en-US"/>
              </w:rPr>
            </w:pPr>
            <w:r w:rsidRPr="00E10392">
              <w:rPr>
                <w:b/>
                <w:lang w:val="en-US"/>
              </w:rPr>
              <w:t>01</w:t>
            </w:r>
          </w:p>
        </w:tc>
        <w:tc>
          <w:tcPr>
            <w:tcW w:w="1576" w:type="dxa"/>
            <w:vAlign w:val="center"/>
          </w:tcPr>
          <w:p w14:paraId="07CAC2BC" w14:textId="77777777" w:rsidR="008C0230" w:rsidRPr="00E10392" w:rsidRDefault="008C0230" w:rsidP="00330186">
            <w:pPr>
              <w:widowControl/>
              <w:spacing w:before="0" w:after="200"/>
              <w:jc w:val="center"/>
              <w:outlineLvl w:val="9"/>
              <w:rPr>
                <w:b/>
                <w:highlight w:val="yellow"/>
                <w:lang w:val="en-US"/>
              </w:rPr>
            </w:pPr>
          </w:p>
        </w:tc>
        <w:tc>
          <w:tcPr>
            <w:tcW w:w="1577" w:type="dxa"/>
            <w:vAlign w:val="center"/>
          </w:tcPr>
          <w:p w14:paraId="089D531C" w14:textId="77777777" w:rsidR="008C0230" w:rsidRPr="00E10392" w:rsidRDefault="008C0230" w:rsidP="00330186">
            <w:pPr>
              <w:widowControl/>
              <w:spacing w:before="0" w:after="200"/>
              <w:jc w:val="center"/>
              <w:outlineLvl w:val="9"/>
              <w:rPr>
                <w:b/>
                <w:highlight w:val="yellow"/>
                <w:lang w:val="en-US"/>
              </w:rPr>
            </w:pPr>
          </w:p>
        </w:tc>
      </w:tr>
      <w:tr w:rsidR="008C0230" w:rsidRPr="00E10392" w14:paraId="1E19867F" w14:textId="77777777" w:rsidTr="004F457D">
        <w:trPr>
          <w:trHeight w:val="743"/>
        </w:trPr>
        <w:tc>
          <w:tcPr>
            <w:tcW w:w="825" w:type="dxa"/>
            <w:vAlign w:val="center"/>
          </w:tcPr>
          <w:p w14:paraId="46E66711" w14:textId="77777777" w:rsidR="008C0230" w:rsidRPr="00E10392" w:rsidRDefault="008C0230" w:rsidP="00330186">
            <w:pPr>
              <w:widowControl/>
              <w:spacing w:before="0" w:after="200"/>
              <w:outlineLvl w:val="9"/>
              <w:rPr>
                <w:b/>
                <w:lang w:val="en-US"/>
              </w:rPr>
            </w:pPr>
            <w:r w:rsidRPr="00E10392">
              <w:rPr>
                <w:b/>
                <w:lang w:val="en-US"/>
              </w:rPr>
              <w:t>3</w:t>
            </w:r>
          </w:p>
        </w:tc>
        <w:tc>
          <w:tcPr>
            <w:tcW w:w="3200" w:type="dxa"/>
            <w:vAlign w:val="center"/>
          </w:tcPr>
          <w:p w14:paraId="100CCA6D" w14:textId="5BC5EC0B" w:rsidR="008C0230" w:rsidRPr="00E10392" w:rsidRDefault="003D76A3" w:rsidP="00330186">
            <w:pPr>
              <w:widowControl/>
              <w:spacing w:before="0" w:after="200"/>
              <w:outlineLvl w:val="9"/>
              <w:rPr>
                <w:iCs w:val="0"/>
                <w:color w:val="000000"/>
                <w:lang w:val="en-US" w:eastAsia="en-US"/>
              </w:rPr>
            </w:pPr>
            <w:r>
              <w:rPr>
                <w:iCs w:val="0"/>
                <w:color w:val="000000"/>
                <w:lang w:val="en-US" w:eastAsia="en-US"/>
              </w:rPr>
              <w:t>Dry module for dry powder dispersion and analyses</w:t>
            </w:r>
            <w:r w:rsidR="004F457D">
              <w:rPr>
                <w:iCs w:val="0"/>
                <w:color w:val="000000"/>
                <w:lang w:val="en-US" w:eastAsia="en-US"/>
              </w:rPr>
              <w:t xml:space="preserve"> with gas regulator included</w:t>
            </w:r>
          </w:p>
        </w:tc>
        <w:tc>
          <w:tcPr>
            <w:tcW w:w="1587" w:type="dxa"/>
            <w:vAlign w:val="center"/>
          </w:tcPr>
          <w:p w14:paraId="55BE6381" w14:textId="77777777" w:rsidR="008C0230" w:rsidRPr="00E10392" w:rsidRDefault="008C0230" w:rsidP="00330186">
            <w:pPr>
              <w:widowControl/>
              <w:spacing w:before="0" w:after="200"/>
              <w:jc w:val="center"/>
              <w:outlineLvl w:val="9"/>
              <w:rPr>
                <w:b/>
                <w:lang w:val="en-US"/>
              </w:rPr>
            </w:pPr>
            <w:r w:rsidRPr="00E10392">
              <w:rPr>
                <w:b/>
                <w:lang w:val="en-US"/>
              </w:rPr>
              <w:t>01</w:t>
            </w:r>
          </w:p>
        </w:tc>
        <w:tc>
          <w:tcPr>
            <w:tcW w:w="1576" w:type="dxa"/>
            <w:vAlign w:val="center"/>
          </w:tcPr>
          <w:p w14:paraId="03FC36A4" w14:textId="77777777" w:rsidR="008C0230" w:rsidRPr="00E10392" w:rsidRDefault="008C0230" w:rsidP="00330186">
            <w:pPr>
              <w:widowControl/>
              <w:spacing w:before="0" w:after="200"/>
              <w:jc w:val="center"/>
              <w:outlineLvl w:val="9"/>
              <w:rPr>
                <w:b/>
                <w:highlight w:val="yellow"/>
                <w:lang w:val="en-US"/>
              </w:rPr>
            </w:pPr>
          </w:p>
        </w:tc>
        <w:tc>
          <w:tcPr>
            <w:tcW w:w="1577" w:type="dxa"/>
            <w:vAlign w:val="center"/>
          </w:tcPr>
          <w:p w14:paraId="7DC8DED5" w14:textId="77777777" w:rsidR="008C0230" w:rsidRPr="00E10392" w:rsidRDefault="008C0230" w:rsidP="00330186">
            <w:pPr>
              <w:widowControl/>
              <w:spacing w:before="0" w:after="200"/>
              <w:jc w:val="center"/>
              <w:outlineLvl w:val="9"/>
              <w:rPr>
                <w:b/>
                <w:highlight w:val="yellow"/>
                <w:lang w:val="en-US"/>
              </w:rPr>
            </w:pPr>
          </w:p>
        </w:tc>
      </w:tr>
      <w:tr w:rsidR="008C0230" w:rsidRPr="00E10392" w14:paraId="616B7BD7" w14:textId="77777777" w:rsidTr="00BB592C">
        <w:tc>
          <w:tcPr>
            <w:tcW w:w="825" w:type="dxa"/>
            <w:vAlign w:val="center"/>
          </w:tcPr>
          <w:p w14:paraId="54496604" w14:textId="77777777" w:rsidR="008C0230" w:rsidRPr="000D4C7D" w:rsidRDefault="008C0230" w:rsidP="00330186">
            <w:pPr>
              <w:widowControl/>
              <w:spacing w:before="0" w:after="200"/>
              <w:outlineLvl w:val="9"/>
              <w:rPr>
                <w:b/>
                <w:lang w:val="en-US"/>
              </w:rPr>
            </w:pPr>
            <w:r w:rsidRPr="000D4C7D">
              <w:rPr>
                <w:b/>
                <w:lang w:val="en-US"/>
              </w:rPr>
              <w:t>4</w:t>
            </w:r>
          </w:p>
        </w:tc>
        <w:tc>
          <w:tcPr>
            <w:tcW w:w="3200" w:type="dxa"/>
            <w:vAlign w:val="center"/>
          </w:tcPr>
          <w:p w14:paraId="1EDB83EB" w14:textId="7CD4BF4B" w:rsidR="008C0230" w:rsidRPr="000D4C7D" w:rsidRDefault="003D76A3" w:rsidP="00330186">
            <w:pPr>
              <w:widowControl/>
              <w:spacing w:before="0" w:after="200"/>
              <w:outlineLvl w:val="9"/>
              <w:rPr>
                <w:iCs w:val="0"/>
                <w:color w:val="000000"/>
                <w:lang w:val="en-US" w:eastAsia="en-US"/>
              </w:rPr>
            </w:pPr>
            <w:r w:rsidRPr="000D4C7D">
              <w:rPr>
                <w:iCs w:val="0"/>
                <w:color w:val="000000"/>
                <w:lang w:val="en-US" w:eastAsia="en-US"/>
              </w:rPr>
              <w:t>UPS</w:t>
            </w:r>
            <w:r w:rsidR="00E80F25" w:rsidRPr="000D4C7D">
              <w:rPr>
                <w:iCs w:val="0"/>
                <w:color w:val="000000"/>
                <w:lang w:val="en-US" w:eastAsia="en-US"/>
              </w:rPr>
              <w:t xml:space="preserve"> </w:t>
            </w:r>
          </w:p>
        </w:tc>
        <w:tc>
          <w:tcPr>
            <w:tcW w:w="1587" w:type="dxa"/>
            <w:vAlign w:val="center"/>
          </w:tcPr>
          <w:p w14:paraId="66608764" w14:textId="77777777" w:rsidR="008C0230" w:rsidRPr="00E10392" w:rsidRDefault="008C0230" w:rsidP="00330186">
            <w:pPr>
              <w:widowControl/>
              <w:spacing w:before="0" w:after="200"/>
              <w:jc w:val="center"/>
              <w:outlineLvl w:val="9"/>
              <w:rPr>
                <w:b/>
                <w:lang w:val="en-US"/>
              </w:rPr>
            </w:pPr>
            <w:r w:rsidRPr="00E10392">
              <w:rPr>
                <w:b/>
                <w:lang w:val="en-US"/>
              </w:rPr>
              <w:t>01</w:t>
            </w:r>
          </w:p>
        </w:tc>
        <w:tc>
          <w:tcPr>
            <w:tcW w:w="1576" w:type="dxa"/>
            <w:vAlign w:val="center"/>
          </w:tcPr>
          <w:p w14:paraId="2036E9F0" w14:textId="77777777" w:rsidR="008C0230" w:rsidRPr="00E10392" w:rsidRDefault="008C0230" w:rsidP="00330186">
            <w:pPr>
              <w:widowControl/>
              <w:spacing w:before="0" w:after="200"/>
              <w:jc w:val="center"/>
              <w:outlineLvl w:val="9"/>
              <w:rPr>
                <w:b/>
                <w:highlight w:val="yellow"/>
                <w:lang w:val="en-US"/>
              </w:rPr>
            </w:pPr>
          </w:p>
        </w:tc>
        <w:tc>
          <w:tcPr>
            <w:tcW w:w="1577" w:type="dxa"/>
            <w:vAlign w:val="center"/>
          </w:tcPr>
          <w:p w14:paraId="75B95129" w14:textId="77777777" w:rsidR="008C0230" w:rsidRPr="00E10392" w:rsidRDefault="008C0230" w:rsidP="00330186">
            <w:pPr>
              <w:widowControl/>
              <w:spacing w:before="0" w:after="200"/>
              <w:jc w:val="center"/>
              <w:outlineLvl w:val="9"/>
              <w:rPr>
                <w:b/>
                <w:highlight w:val="yellow"/>
                <w:lang w:val="en-US"/>
              </w:rPr>
            </w:pPr>
          </w:p>
        </w:tc>
      </w:tr>
      <w:tr w:rsidR="008C0230" w:rsidRPr="00E10392" w14:paraId="3557D51C" w14:textId="77777777" w:rsidTr="00BB592C">
        <w:tc>
          <w:tcPr>
            <w:tcW w:w="825" w:type="dxa"/>
            <w:vAlign w:val="center"/>
          </w:tcPr>
          <w:p w14:paraId="737AE150" w14:textId="77777777" w:rsidR="008C0230" w:rsidRPr="00E10392" w:rsidRDefault="008C0230" w:rsidP="00330186">
            <w:pPr>
              <w:widowControl/>
              <w:spacing w:before="0" w:after="200"/>
              <w:outlineLvl w:val="9"/>
              <w:rPr>
                <w:b/>
                <w:lang w:val="en-US"/>
              </w:rPr>
            </w:pPr>
            <w:r w:rsidRPr="00E10392">
              <w:rPr>
                <w:b/>
                <w:lang w:val="en-US"/>
              </w:rPr>
              <w:t>5</w:t>
            </w:r>
          </w:p>
        </w:tc>
        <w:tc>
          <w:tcPr>
            <w:tcW w:w="3200" w:type="dxa"/>
            <w:vAlign w:val="center"/>
          </w:tcPr>
          <w:p w14:paraId="4C229DB7" w14:textId="7C3A5C56" w:rsidR="008C0230" w:rsidRPr="00E10392" w:rsidRDefault="003D76A3" w:rsidP="00330186">
            <w:pPr>
              <w:widowControl/>
              <w:spacing w:before="0" w:after="200"/>
              <w:outlineLvl w:val="9"/>
              <w:rPr>
                <w:iCs w:val="0"/>
                <w:color w:val="000000"/>
                <w:lang w:val="en-US" w:eastAsia="en-US"/>
              </w:rPr>
            </w:pPr>
            <w:r w:rsidRPr="00E10392">
              <w:rPr>
                <w:iCs w:val="0"/>
                <w:color w:val="000000"/>
                <w:lang w:val="en-US" w:eastAsia="en-US"/>
              </w:rPr>
              <w:t>Maintenance plan</w:t>
            </w:r>
            <w:r w:rsidR="00E80F25">
              <w:rPr>
                <w:iCs w:val="0"/>
                <w:color w:val="000000"/>
                <w:lang w:val="en-US" w:eastAsia="en-US"/>
              </w:rPr>
              <w:t xml:space="preserve"> for </w:t>
            </w:r>
            <w:r>
              <w:rPr>
                <w:iCs w:val="0"/>
                <w:color w:val="000000"/>
                <w:lang w:val="en-US" w:eastAsia="en-US"/>
              </w:rPr>
              <w:t>2</w:t>
            </w:r>
            <w:r w:rsidRPr="00E10392">
              <w:rPr>
                <w:iCs w:val="0"/>
                <w:color w:val="000000"/>
                <w:lang w:val="en-US" w:eastAsia="en-US"/>
              </w:rPr>
              <w:t xml:space="preserve"> year</w:t>
            </w:r>
            <w:r w:rsidR="00E80F25">
              <w:rPr>
                <w:iCs w:val="0"/>
                <w:color w:val="000000"/>
                <w:lang w:val="en-US" w:eastAsia="en-US"/>
              </w:rPr>
              <w:t xml:space="preserve">s </w:t>
            </w:r>
            <w:r w:rsidR="008C100B">
              <w:rPr>
                <w:iCs w:val="0"/>
                <w:color w:val="000000"/>
                <w:lang w:val="en-US" w:eastAsia="en-US"/>
              </w:rPr>
              <w:t>after</w:t>
            </w:r>
            <w:r w:rsidR="00E80F25">
              <w:rPr>
                <w:iCs w:val="0"/>
                <w:color w:val="000000"/>
                <w:lang w:val="en-US" w:eastAsia="en-US"/>
              </w:rPr>
              <w:t xml:space="preserve"> </w:t>
            </w:r>
            <w:r w:rsidR="008C100B">
              <w:rPr>
                <w:iCs w:val="0"/>
                <w:color w:val="000000"/>
                <w:lang w:val="en-US" w:eastAsia="en-US"/>
              </w:rPr>
              <w:t>warranty period</w:t>
            </w:r>
          </w:p>
        </w:tc>
        <w:tc>
          <w:tcPr>
            <w:tcW w:w="1587" w:type="dxa"/>
            <w:vAlign w:val="center"/>
          </w:tcPr>
          <w:p w14:paraId="670965CC" w14:textId="77777777" w:rsidR="008C0230" w:rsidRPr="00E10392" w:rsidRDefault="008C0230" w:rsidP="00330186">
            <w:pPr>
              <w:widowControl/>
              <w:spacing w:before="0" w:after="200"/>
              <w:jc w:val="center"/>
              <w:outlineLvl w:val="9"/>
              <w:rPr>
                <w:b/>
                <w:lang w:val="en-US"/>
              </w:rPr>
            </w:pPr>
            <w:r w:rsidRPr="00E10392">
              <w:rPr>
                <w:b/>
                <w:lang w:val="en-US"/>
              </w:rPr>
              <w:t>01</w:t>
            </w:r>
          </w:p>
        </w:tc>
        <w:tc>
          <w:tcPr>
            <w:tcW w:w="1576" w:type="dxa"/>
            <w:vAlign w:val="center"/>
          </w:tcPr>
          <w:p w14:paraId="6E9327A9" w14:textId="77777777" w:rsidR="008C0230" w:rsidRPr="00E10392" w:rsidRDefault="008C0230" w:rsidP="00330186">
            <w:pPr>
              <w:widowControl/>
              <w:spacing w:before="0" w:after="200"/>
              <w:jc w:val="center"/>
              <w:outlineLvl w:val="9"/>
              <w:rPr>
                <w:b/>
                <w:lang w:val="en-US"/>
              </w:rPr>
            </w:pPr>
          </w:p>
        </w:tc>
        <w:tc>
          <w:tcPr>
            <w:tcW w:w="1577" w:type="dxa"/>
            <w:vAlign w:val="center"/>
          </w:tcPr>
          <w:p w14:paraId="1E657575" w14:textId="77777777" w:rsidR="008C0230" w:rsidRPr="00E10392" w:rsidRDefault="008C0230" w:rsidP="00330186">
            <w:pPr>
              <w:widowControl/>
              <w:spacing w:before="0" w:after="200"/>
              <w:jc w:val="center"/>
              <w:outlineLvl w:val="9"/>
              <w:rPr>
                <w:b/>
                <w:lang w:val="en-US"/>
              </w:rPr>
            </w:pPr>
          </w:p>
        </w:tc>
      </w:tr>
      <w:tr w:rsidR="008C0230" w:rsidRPr="00E10392" w14:paraId="2D711E7E" w14:textId="77777777" w:rsidTr="00BB592C">
        <w:tc>
          <w:tcPr>
            <w:tcW w:w="825" w:type="dxa"/>
            <w:vAlign w:val="center"/>
          </w:tcPr>
          <w:p w14:paraId="05975137" w14:textId="77777777" w:rsidR="008C0230" w:rsidRPr="00E10392" w:rsidRDefault="008C0230" w:rsidP="00330186">
            <w:pPr>
              <w:widowControl/>
              <w:spacing w:before="0" w:after="200"/>
              <w:outlineLvl w:val="9"/>
              <w:rPr>
                <w:b/>
                <w:lang w:val="en-US"/>
              </w:rPr>
            </w:pPr>
            <w:r w:rsidRPr="00E10392">
              <w:rPr>
                <w:b/>
                <w:lang w:val="en-US"/>
              </w:rPr>
              <w:t>6</w:t>
            </w:r>
          </w:p>
        </w:tc>
        <w:tc>
          <w:tcPr>
            <w:tcW w:w="3200" w:type="dxa"/>
            <w:vAlign w:val="center"/>
          </w:tcPr>
          <w:p w14:paraId="19136DBF" w14:textId="1E110076" w:rsidR="008C0230" w:rsidRPr="00E10392" w:rsidRDefault="003D76A3" w:rsidP="00330186">
            <w:pPr>
              <w:widowControl/>
              <w:spacing w:before="0" w:after="200"/>
              <w:outlineLvl w:val="9"/>
              <w:rPr>
                <w:iCs w:val="0"/>
                <w:color w:val="000000"/>
                <w:lang w:val="en-US" w:eastAsia="en-US"/>
              </w:rPr>
            </w:pPr>
            <w:r>
              <w:rPr>
                <w:iCs w:val="0"/>
                <w:color w:val="000000"/>
                <w:lang w:val="en-US" w:eastAsia="en-US"/>
              </w:rPr>
              <w:t>Computer with software and multiple installation options</w:t>
            </w:r>
          </w:p>
        </w:tc>
        <w:tc>
          <w:tcPr>
            <w:tcW w:w="1587" w:type="dxa"/>
            <w:vAlign w:val="center"/>
          </w:tcPr>
          <w:p w14:paraId="1965E5CC" w14:textId="77777777" w:rsidR="008C0230" w:rsidRPr="00E10392" w:rsidRDefault="008C0230" w:rsidP="00330186">
            <w:pPr>
              <w:widowControl/>
              <w:spacing w:before="0" w:after="200"/>
              <w:jc w:val="center"/>
              <w:outlineLvl w:val="9"/>
              <w:rPr>
                <w:b/>
                <w:lang w:val="en-US"/>
              </w:rPr>
            </w:pPr>
            <w:r w:rsidRPr="00E10392">
              <w:rPr>
                <w:b/>
                <w:lang w:val="en-US"/>
              </w:rPr>
              <w:t>01</w:t>
            </w:r>
          </w:p>
        </w:tc>
        <w:tc>
          <w:tcPr>
            <w:tcW w:w="1576" w:type="dxa"/>
            <w:vAlign w:val="center"/>
          </w:tcPr>
          <w:p w14:paraId="752D796E" w14:textId="77777777" w:rsidR="008C0230" w:rsidRPr="00E10392" w:rsidRDefault="008C0230" w:rsidP="00330186">
            <w:pPr>
              <w:widowControl/>
              <w:spacing w:before="0" w:after="200"/>
              <w:jc w:val="center"/>
              <w:outlineLvl w:val="9"/>
              <w:rPr>
                <w:b/>
                <w:lang w:val="en-US"/>
              </w:rPr>
            </w:pPr>
          </w:p>
        </w:tc>
        <w:tc>
          <w:tcPr>
            <w:tcW w:w="1577" w:type="dxa"/>
            <w:vAlign w:val="center"/>
          </w:tcPr>
          <w:p w14:paraId="6C98653F" w14:textId="77777777" w:rsidR="008C0230" w:rsidRPr="00E10392" w:rsidRDefault="008C0230" w:rsidP="00330186">
            <w:pPr>
              <w:widowControl/>
              <w:spacing w:before="0" w:after="200"/>
              <w:jc w:val="center"/>
              <w:outlineLvl w:val="9"/>
              <w:rPr>
                <w:b/>
                <w:lang w:val="en-US"/>
              </w:rPr>
            </w:pPr>
          </w:p>
        </w:tc>
      </w:tr>
      <w:tr w:rsidR="008C0230" w:rsidRPr="00E10392" w14:paraId="4607480F" w14:textId="77777777" w:rsidTr="00BB592C">
        <w:tc>
          <w:tcPr>
            <w:tcW w:w="825" w:type="dxa"/>
            <w:vAlign w:val="center"/>
          </w:tcPr>
          <w:p w14:paraId="67ABA44F" w14:textId="2758A231" w:rsidR="008C0230" w:rsidRPr="00E10392" w:rsidRDefault="00704AFC" w:rsidP="00330186">
            <w:pPr>
              <w:widowControl/>
              <w:spacing w:before="0" w:after="200"/>
              <w:outlineLvl w:val="9"/>
              <w:rPr>
                <w:b/>
                <w:lang w:val="en-US"/>
              </w:rPr>
            </w:pPr>
            <w:r>
              <w:rPr>
                <w:b/>
                <w:lang w:val="en-US"/>
              </w:rPr>
              <w:t>7</w:t>
            </w:r>
          </w:p>
        </w:tc>
        <w:tc>
          <w:tcPr>
            <w:tcW w:w="3200" w:type="dxa"/>
            <w:vAlign w:val="center"/>
          </w:tcPr>
          <w:p w14:paraId="3ECB510D" w14:textId="77777777" w:rsidR="008C0230" w:rsidRPr="00E10392" w:rsidRDefault="008C0230" w:rsidP="00330186">
            <w:pPr>
              <w:widowControl/>
              <w:spacing w:before="0" w:after="200"/>
              <w:outlineLvl w:val="9"/>
              <w:rPr>
                <w:iCs w:val="0"/>
                <w:color w:val="000000"/>
                <w:lang w:val="en-US" w:eastAsia="en-US"/>
              </w:rPr>
            </w:pPr>
            <w:r w:rsidRPr="00E10392">
              <w:rPr>
                <w:iCs w:val="0"/>
                <w:color w:val="000000"/>
                <w:lang w:val="en-US" w:eastAsia="en-US"/>
              </w:rPr>
              <w:t xml:space="preserve">Training of Operator (s) </w:t>
            </w:r>
          </w:p>
        </w:tc>
        <w:tc>
          <w:tcPr>
            <w:tcW w:w="1587" w:type="dxa"/>
            <w:vAlign w:val="center"/>
          </w:tcPr>
          <w:p w14:paraId="18F13E36" w14:textId="3C28058A" w:rsidR="008C0230" w:rsidRPr="00E10392" w:rsidRDefault="008C0230" w:rsidP="00330186">
            <w:pPr>
              <w:widowControl/>
              <w:spacing w:before="0" w:after="200"/>
              <w:jc w:val="center"/>
              <w:outlineLvl w:val="9"/>
              <w:rPr>
                <w:b/>
                <w:lang w:val="en-US"/>
              </w:rPr>
            </w:pPr>
            <w:r w:rsidRPr="00E10392">
              <w:rPr>
                <w:b/>
                <w:lang w:val="en-US"/>
              </w:rPr>
              <w:t>0</w:t>
            </w:r>
            <w:r w:rsidR="00233C07">
              <w:rPr>
                <w:b/>
                <w:lang w:val="en-US"/>
              </w:rPr>
              <w:t>2</w:t>
            </w:r>
          </w:p>
        </w:tc>
        <w:tc>
          <w:tcPr>
            <w:tcW w:w="1576" w:type="dxa"/>
            <w:vAlign w:val="center"/>
          </w:tcPr>
          <w:p w14:paraId="79EC52F7" w14:textId="77777777" w:rsidR="008C0230" w:rsidRPr="00E10392" w:rsidRDefault="008C0230" w:rsidP="00330186">
            <w:pPr>
              <w:widowControl/>
              <w:spacing w:before="0" w:after="200"/>
              <w:jc w:val="center"/>
              <w:outlineLvl w:val="9"/>
              <w:rPr>
                <w:b/>
                <w:lang w:val="en-US"/>
              </w:rPr>
            </w:pPr>
          </w:p>
        </w:tc>
        <w:tc>
          <w:tcPr>
            <w:tcW w:w="1577" w:type="dxa"/>
            <w:vAlign w:val="center"/>
          </w:tcPr>
          <w:p w14:paraId="7A37B427" w14:textId="77777777" w:rsidR="008C0230" w:rsidRPr="00E10392" w:rsidRDefault="008C0230" w:rsidP="00330186">
            <w:pPr>
              <w:widowControl/>
              <w:spacing w:before="0" w:after="200"/>
              <w:jc w:val="center"/>
              <w:outlineLvl w:val="9"/>
              <w:rPr>
                <w:b/>
                <w:lang w:val="en-US"/>
              </w:rPr>
            </w:pPr>
          </w:p>
        </w:tc>
      </w:tr>
      <w:tr w:rsidR="008C0230" w:rsidRPr="00E10392" w14:paraId="028FEAFB" w14:textId="77777777" w:rsidTr="00BB592C">
        <w:tc>
          <w:tcPr>
            <w:tcW w:w="4025" w:type="dxa"/>
            <w:gridSpan w:val="2"/>
            <w:vAlign w:val="center"/>
          </w:tcPr>
          <w:p w14:paraId="20644616" w14:textId="77777777" w:rsidR="008C0230" w:rsidRPr="00E10392" w:rsidRDefault="008C0230" w:rsidP="00330186">
            <w:pPr>
              <w:widowControl/>
              <w:spacing w:before="0" w:after="200"/>
              <w:outlineLvl w:val="9"/>
              <w:rPr>
                <w:b/>
                <w:lang w:val="en-US"/>
              </w:rPr>
            </w:pPr>
            <w:r w:rsidRPr="00E10392">
              <w:rPr>
                <w:b/>
                <w:lang w:val="en-US"/>
              </w:rPr>
              <w:t>Total Excluding VAT</w:t>
            </w:r>
          </w:p>
        </w:tc>
        <w:tc>
          <w:tcPr>
            <w:tcW w:w="4740" w:type="dxa"/>
            <w:gridSpan w:val="3"/>
            <w:vAlign w:val="center"/>
          </w:tcPr>
          <w:p w14:paraId="41E17D47" w14:textId="77777777" w:rsidR="008C0230" w:rsidRPr="00E10392" w:rsidRDefault="008C0230" w:rsidP="00330186">
            <w:pPr>
              <w:widowControl/>
              <w:spacing w:before="0" w:after="200"/>
              <w:outlineLvl w:val="9"/>
              <w:rPr>
                <w:b/>
                <w:lang w:val="en-US"/>
              </w:rPr>
            </w:pPr>
          </w:p>
        </w:tc>
      </w:tr>
      <w:tr w:rsidR="008C0230" w:rsidRPr="00E10392" w14:paraId="3DFB8F87" w14:textId="77777777" w:rsidTr="00BB592C">
        <w:tc>
          <w:tcPr>
            <w:tcW w:w="4025" w:type="dxa"/>
            <w:gridSpan w:val="2"/>
            <w:vAlign w:val="center"/>
          </w:tcPr>
          <w:p w14:paraId="66365F05" w14:textId="77777777" w:rsidR="008C0230" w:rsidRPr="00E10392" w:rsidRDefault="008C0230" w:rsidP="00330186">
            <w:pPr>
              <w:widowControl/>
              <w:spacing w:before="0" w:after="200"/>
              <w:outlineLvl w:val="9"/>
              <w:rPr>
                <w:b/>
                <w:lang w:val="en-US"/>
              </w:rPr>
            </w:pPr>
            <w:r w:rsidRPr="00E10392">
              <w:rPr>
                <w:b/>
                <w:lang w:val="en-US"/>
              </w:rPr>
              <w:t>Total Including VAT</w:t>
            </w:r>
          </w:p>
        </w:tc>
        <w:tc>
          <w:tcPr>
            <w:tcW w:w="4740" w:type="dxa"/>
            <w:gridSpan w:val="3"/>
            <w:vAlign w:val="center"/>
          </w:tcPr>
          <w:p w14:paraId="4EE839BB" w14:textId="77777777" w:rsidR="008C0230" w:rsidRPr="00E10392" w:rsidRDefault="008C0230" w:rsidP="00330186">
            <w:pPr>
              <w:widowControl/>
              <w:spacing w:before="0" w:after="200"/>
              <w:outlineLvl w:val="9"/>
              <w:rPr>
                <w:b/>
                <w:lang w:val="en-US"/>
              </w:rPr>
            </w:pPr>
          </w:p>
        </w:tc>
      </w:tr>
    </w:tbl>
    <w:p w14:paraId="14DB13AD" w14:textId="2928FE3A" w:rsidR="0002680D" w:rsidRDefault="0002680D" w:rsidP="00983E61">
      <w:pPr>
        <w:pStyle w:val="Index3"/>
      </w:pPr>
      <w:bookmarkStart w:id="9" w:name="_Toc227224863"/>
      <w:bookmarkEnd w:id="8"/>
      <w:r>
        <w:t>Project Plan and Schedule</w:t>
      </w:r>
      <w:bookmarkEnd w:id="9"/>
    </w:p>
    <w:p w14:paraId="338EA1B3" w14:textId="0D059C88" w:rsidR="00032E12" w:rsidRPr="003132D8" w:rsidRDefault="00647974" w:rsidP="00474489">
      <w:pPr>
        <w:pStyle w:val="Index4"/>
      </w:pPr>
      <w:r w:rsidRPr="003132D8">
        <w:t>The final delivery date, start and end dates or duration will be negotiated and fixed once the contract is awarded</w:t>
      </w:r>
      <w:r>
        <w:t xml:space="preserve"> or a Purchase order issued</w:t>
      </w:r>
      <w:r w:rsidRPr="003132D8">
        <w:t>.</w:t>
      </w:r>
    </w:p>
    <w:p w14:paraId="01DE1F4E" w14:textId="77777777" w:rsidR="009D79A3" w:rsidRDefault="00213098" w:rsidP="00983E61">
      <w:pPr>
        <w:pStyle w:val="Index3"/>
      </w:pPr>
      <w:bookmarkStart w:id="10" w:name="_Toc227224864"/>
      <w:r>
        <w:t>Applicable Necsa Policies</w:t>
      </w:r>
      <w:bookmarkEnd w:id="10"/>
    </w:p>
    <w:p w14:paraId="4163AD8E" w14:textId="77777777" w:rsidR="00213098" w:rsidRDefault="006B719C" w:rsidP="00474489">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11"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11"/>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12" w:name="_Toc227224865"/>
      <w:r w:rsidRPr="005B1AF4">
        <w:t>Applicable Necsa Procedures</w:t>
      </w:r>
      <w:bookmarkEnd w:id="12"/>
    </w:p>
    <w:p w14:paraId="6D720269" w14:textId="77777777" w:rsidR="006B719C" w:rsidRPr="00A0106E" w:rsidRDefault="006B719C" w:rsidP="00983E61">
      <w:pPr>
        <w:pStyle w:val="Index3"/>
      </w:pPr>
      <w:bookmarkStart w:id="13" w:name="_Toc227224866"/>
      <w:r w:rsidRPr="00A0106E">
        <w:t>Requirements to Access Necsa Site</w:t>
      </w:r>
      <w:bookmarkEnd w:id="13"/>
    </w:p>
    <w:p w14:paraId="49D36B08" w14:textId="77777777" w:rsidR="00AE1249" w:rsidRPr="00A0106E" w:rsidRDefault="00AE1249" w:rsidP="00474489">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474489">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474489">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474489">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983E61">
      <w:pPr>
        <w:pStyle w:val="Index3"/>
      </w:pPr>
      <w:bookmarkStart w:id="14" w:name="_Toc227224867"/>
      <w:r w:rsidRPr="00A0106E">
        <w:t>Emergencies, Incidents, Accidents</w:t>
      </w:r>
      <w:bookmarkEnd w:id="14"/>
    </w:p>
    <w:p w14:paraId="3E95F933" w14:textId="77777777" w:rsidR="00931917" w:rsidRPr="00A0106E" w:rsidRDefault="00931917" w:rsidP="00983E61">
      <w:pPr>
        <w:pStyle w:val="Index3"/>
      </w:pPr>
      <w:bookmarkStart w:id="15" w:name="_Toc227224868"/>
      <w:r w:rsidRPr="00A0106E">
        <w:t>Necsa Health, Safety and Environmental Requirements</w:t>
      </w:r>
      <w:bookmarkEnd w:id="15"/>
    </w:p>
    <w:p w14:paraId="1A85E8F4" w14:textId="5F2D5868" w:rsidR="00554C52" w:rsidRPr="00A0106E" w:rsidRDefault="00554C52" w:rsidP="00474489">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983E61">
      <w:pPr>
        <w:pStyle w:val="Index3"/>
      </w:pPr>
      <w:bookmarkStart w:id="16" w:name="_Toc227224869"/>
      <w:r w:rsidRPr="00A0106E">
        <w:t>Necsa Requirements for Quality</w:t>
      </w:r>
      <w:bookmarkEnd w:id="16"/>
    </w:p>
    <w:p w14:paraId="169388E1" w14:textId="1003D994" w:rsidR="00554C52" w:rsidRDefault="00554C52" w:rsidP="00474489">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983E61">
      <w:pPr>
        <w:pStyle w:val="Index3"/>
      </w:pPr>
      <w:bookmarkStart w:id="17" w:name="_Toc227224870"/>
      <w:r>
        <w:t>Necsa Requirements for Project SHEQ</w:t>
      </w:r>
      <w:bookmarkEnd w:id="17"/>
    </w:p>
    <w:p w14:paraId="7E05E025" w14:textId="77777777" w:rsidR="00544FC3" w:rsidRPr="00544FC3" w:rsidRDefault="00544FC3" w:rsidP="00474489">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983E61">
      <w:pPr>
        <w:pStyle w:val="Index3"/>
      </w:pPr>
      <w:bookmarkStart w:id="18" w:name="_Toc227224871"/>
      <w:r>
        <w:t>Confidentiality</w:t>
      </w:r>
      <w:bookmarkEnd w:id="18"/>
    </w:p>
    <w:p w14:paraId="1C35D708" w14:textId="77777777" w:rsidR="00554C52" w:rsidRDefault="00554C52" w:rsidP="00474489">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474489">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474489">
      <w:pPr>
        <w:pStyle w:val="Index4"/>
        <w:numPr>
          <w:ilvl w:val="0"/>
          <w:numId w:val="0"/>
        </w:numPr>
        <w:ind w:left="851"/>
      </w:pPr>
    </w:p>
    <w:p w14:paraId="6FE863C6" w14:textId="77777777" w:rsidR="009171F1" w:rsidRDefault="009171F1" w:rsidP="00D6488C">
      <w:pPr>
        <w:pStyle w:val="Index1"/>
      </w:pPr>
      <w:bookmarkStart w:id="19" w:name="_Toc227224872"/>
      <w:bookmarkEnd w:id="19"/>
    </w:p>
    <w:p w14:paraId="414896C5" w14:textId="77777777" w:rsidR="00D6488C" w:rsidRPr="005E71C3" w:rsidRDefault="00D6488C" w:rsidP="005E71C3">
      <w:pPr>
        <w:pStyle w:val="Index2"/>
        <w:numPr>
          <w:ilvl w:val="1"/>
          <w:numId w:val="12"/>
        </w:numPr>
        <w:rPr>
          <w:lang w:val="en-ZA"/>
        </w:rPr>
      </w:pPr>
      <w:bookmarkStart w:id="20" w:name="_Toc227224873"/>
      <w:r w:rsidRPr="005E71C3">
        <w:rPr>
          <w:lang w:val="en-ZA"/>
        </w:rPr>
        <w:t>Instruction to Bidders</w:t>
      </w:r>
      <w:bookmarkEnd w:id="20"/>
    </w:p>
    <w:p w14:paraId="18CCD684" w14:textId="77777777" w:rsidR="00A42E16" w:rsidRPr="00A42E16" w:rsidRDefault="00A42E16" w:rsidP="00983E61">
      <w:pPr>
        <w:pStyle w:val="Index3"/>
      </w:pPr>
      <w:bookmarkStart w:id="21" w:name="_Toc227224874"/>
      <w:r w:rsidRPr="00A42E16">
        <w:t>General</w:t>
      </w:r>
      <w:bookmarkEnd w:id="21"/>
    </w:p>
    <w:p w14:paraId="054E3C5B"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983E61">
      <w:pPr>
        <w:pStyle w:val="Index3"/>
      </w:pPr>
      <w:bookmarkStart w:id="22" w:name="_Toc227224875"/>
      <w:r>
        <w:t>Bidder Information</w:t>
      </w:r>
      <w:bookmarkEnd w:id="22"/>
    </w:p>
    <w:p w14:paraId="0C71FBFB" w14:textId="3F01DD0B"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474489">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474489">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474489">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474489">
      <w:pPr>
        <w:pStyle w:val="Index4"/>
      </w:pPr>
      <w:r w:rsidRPr="005B1F78">
        <w:t>Necsa and its representatives may seek formal assurance to this effect (including a formal audit) at any time during the contract period.</w:t>
      </w:r>
    </w:p>
    <w:p w14:paraId="43CB3177" w14:textId="57226E14" w:rsidR="00983E61" w:rsidRDefault="00983E61" w:rsidP="00474489">
      <w:pPr>
        <w:pStyle w:val="Index4"/>
      </w:pPr>
      <w:r>
        <w:t>The winning bidder will be subjected to reliability check conducted by Necsa and SSA</w:t>
      </w:r>
    </w:p>
    <w:p w14:paraId="6190CC94" w14:textId="77777777" w:rsidR="00DA39DC" w:rsidRDefault="00DA39DC" w:rsidP="00983E61">
      <w:pPr>
        <w:pStyle w:val="Index3"/>
      </w:pPr>
      <w:bookmarkStart w:id="23" w:name="_Toc227224876"/>
      <w:r>
        <w:t>Consortium</w:t>
      </w:r>
      <w:bookmarkEnd w:id="23"/>
    </w:p>
    <w:p w14:paraId="0B053D4F"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lastRenderedPageBreak/>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983E61">
      <w:pPr>
        <w:pStyle w:val="Index3"/>
      </w:pPr>
      <w:bookmarkStart w:id="24" w:name="_Toc227224877"/>
      <w:r>
        <w:t>Sub-contracting</w:t>
      </w:r>
      <w:bookmarkEnd w:id="24"/>
    </w:p>
    <w:p w14:paraId="7CABD58E" w14:textId="77777777" w:rsidR="00DA39DC" w:rsidRPr="004D17C6" w:rsidRDefault="00DA39DC" w:rsidP="00474489">
      <w:pPr>
        <w:pStyle w:val="Index4"/>
      </w:pPr>
      <w:r w:rsidRPr="004D17C6">
        <w:t>Bidders must detail any work to be sub-contracted, and the proposed sub-contractor(s) to be used.</w:t>
      </w:r>
    </w:p>
    <w:p w14:paraId="672CB66C" w14:textId="77777777" w:rsidR="00DA39DC" w:rsidRPr="004D17C6" w:rsidRDefault="00DA39DC" w:rsidP="00474489">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474489">
      <w:pPr>
        <w:pStyle w:val="Index4"/>
      </w:pPr>
      <w:r w:rsidRPr="004D17C6">
        <w:t>Bidders are advised that Necsa will not respond to any direct approach from potential sub-contractors for details in respect of any particular item in this bid.</w:t>
      </w:r>
    </w:p>
    <w:p w14:paraId="174A5D73" w14:textId="77777777" w:rsidR="00A42E16" w:rsidRPr="00603D56" w:rsidRDefault="00F80D24" w:rsidP="00983E61">
      <w:pPr>
        <w:pStyle w:val="Index3"/>
      </w:pPr>
      <w:bookmarkStart w:id="25" w:name="_Toc227224878"/>
      <w:r w:rsidRPr="00603D56">
        <w:t xml:space="preserve">Necsa’s Bidding </w:t>
      </w:r>
      <w:r w:rsidR="003B5673" w:rsidRPr="00603D56">
        <w:t>Rights</w:t>
      </w:r>
      <w:bookmarkEnd w:id="25"/>
    </w:p>
    <w:p w14:paraId="1C8270F9" w14:textId="77777777" w:rsidR="00BF4F02" w:rsidRPr="00BF4F02" w:rsidRDefault="00BF4F02" w:rsidP="00BF4F02">
      <w:pPr>
        <w:pStyle w:val="1Paragraph"/>
      </w:pPr>
    </w:p>
    <w:p w14:paraId="1AEFC658" w14:textId="77777777" w:rsidR="00F80D24" w:rsidRDefault="00F80D24" w:rsidP="00474489">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0E453E2" w:rsidR="00BF4F02" w:rsidRPr="00736ED3" w:rsidRDefault="00603D56" w:rsidP="00BF4F02">
      <w:pPr>
        <w:pStyle w:val="Index5"/>
        <w:rPr>
          <w:lang w:val="en-ZA"/>
        </w:rPr>
      </w:pPr>
      <w:r>
        <w:t>A</w:t>
      </w:r>
      <w:r w:rsidR="00BF4F02">
        <w:t>ward the bid in part or in full</w:t>
      </w:r>
    </w:p>
    <w:p w14:paraId="530F9FA0" w14:textId="73B74E8E"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474489">
      <w:pPr>
        <w:pStyle w:val="Index4"/>
      </w:pPr>
      <w:r w:rsidRPr="006D6438">
        <w:t>Negotiations with the bidders.</w:t>
      </w:r>
    </w:p>
    <w:p w14:paraId="4DBC329E"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474489">
      <w:pPr>
        <w:pStyle w:val="Index4"/>
      </w:pPr>
      <w:r>
        <w:t xml:space="preserve">Necsa and its representatives may seek formal assurance to this effect (including a formal </w:t>
      </w:r>
      <w:r>
        <w:lastRenderedPageBreak/>
        <w:t>audit) at any time during the contract period.</w:t>
      </w:r>
    </w:p>
    <w:p w14:paraId="2B1242D5" w14:textId="77777777" w:rsidR="00786A37" w:rsidRDefault="00786A37" w:rsidP="00474489">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474489">
      <w:pPr>
        <w:pStyle w:val="Index4"/>
      </w:pPr>
      <w:r>
        <w:t>Necsa will not necessarily accept the lowest or any tender, and it reserves the right to accept a tender as a whole or in part.</w:t>
      </w:r>
    </w:p>
    <w:p w14:paraId="299559CB" w14:textId="77777777" w:rsidR="00786A37" w:rsidRDefault="00786A37" w:rsidP="00474489">
      <w:pPr>
        <w:pStyle w:val="Index4"/>
      </w:pPr>
      <w:r>
        <w:t xml:space="preserve">Necsa shall accept no liability in respect of any loss or damage which may incur in the preparation and admission of this tender. </w:t>
      </w:r>
    </w:p>
    <w:p w14:paraId="61A28C7F" w14:textId="77777777" w:rsidR="00786A37" w:rsidRDefault="00A0106E" w:rsidP="00474489">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474489">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474489">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474489">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474489">
      <w:pPr>
        <w:pStyle w:val="Index4"/>
      </w:pPr>
      <w:r>
        <w:t>Necsa is under no obligation to award a purchase order as a result of this tender.</w:t>
      </w:r>
    </w:p>
    <w:p w14:paraId="27461776" w14:textId="77777777" w:rsidR="00F80D24" w:rsidRDefault="00F80D24" w:rsidP="00983E61">
      <w:pPr>
        <w:pStyle w:val="Index3"/>
      </w:pPr>
      <w:bookmarkStart w:id="26" w:name="_Toc227224879"/>
      <w:r>
        <w:t>Bidding Process</w:t>
      </w:r>
      <w:bookmarkEnd w:id="26"/>
    </w:p>
    <w:p w14:paraId="46FEE3DB" w14:textId="77777777" w:rsidR="00F80D24" w:rsidRDefault="003B5673" w:rsidP="00474489">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474489">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A1F7CDA"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983E61">
      <w:pPr>
        <w:pStyle w:val="Index3"/>
      </w:pPr>
      <w:bookmarkStart w:id="27" w:name="_Toc227224880"/>
      <w:r>
        <w:t>Bid Submission Requirements</w:t>
      </w:r>
      <w:bookmarkEnd w:id="27"/>
    </w:p>
    <w:p w14:paraId="52323116" w14:textId="77777777" w:rsidR="00FA4A35" w:rsidRPr="00B10893" w:rsidRDefault="00FA4A35" w:rsidP="00474489">
      <w:pPr>
        <w:pStyle w:val="Index4"/>
      </w:pPr>
      <w:r w:rsidRPr="00B10893">
        <w:t xml:space="preserve">Bidders must submit their responses and all supporting documents in properly labelled </w:t>
      </w:r>
      <w:r w:rsidRPr="00B10893">
        <w:lastRenderedPageBreak/>
        <w:t>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134B3A3B"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30BA4BC0" w14:textId="77777777" w:rsidR="00996B49" w:rsidRDefault="00996B49" w:rsidP="00474489">
      <w:pPr>
        <w:pStyle w:val="Index4"/>
        <w:numPr>
          <w:ilvl w:val="0"/>
          <w:numId w:val="0"/>
        </w:numPr>
      </w:pPr>
    </w:p>
    <w:p w14:paraId="4C7B2A0E" w14:textId="77777777" w:rsidR="0047600F" w:rsidRPr="00656238" w:rsidRDefault="0047600F" w:rsidP="005E71C3">
      <w:pPr>
        <w:pStyle w:val="Index2"/>
      </w:pPr>
      <w:bookmarkStart w:id="28" w:name="_Toc227224881"/>
      <w:r w:rsidRPr="00656238">
        <w:t>Eligibility Requirements</w:t>
      </w:r>
      <w:bookmarkEnd w:id="28"/>
    </w:p>
    <w:p w14:paraId="2C0944A9" w14:textId="77777777" w:rsidR="0047600F" w:rsidRDefault="0047600F" w:rsidP="00983E61">
      <w:pPr>
        <w:pStyle w:val="Index3"/>
      </w:pPr>
      <w:bookmarkStart w:id="29" w:name="_Toc227224882"/>
      <w:r>
        <w:t>Pre-qualification Criteria</w:t>
      </w:r>
      <w:bookmarkEnd w:id="29"/>
    </w:p>
    <w:p w14:paraId="7A9BDE9C" w14:textId="77777777" w:rsidR="0047600F" w:rsidRDefault="006E040B" w:rsidP="0047600F">
      <w:pPr>
        <w:pStyle w:val="1Paragraph"/>
      </w:pPr>
      <w:r w:rsidRPr="006E040B">
        <w:t>Non-compliance to the following pre-qualification criteria will result in automatic disqualification:</w:t>
      </w:r>
    </w:p>
    <w:p w14:paraId="6FD18B9D" w14:textId="77777777" w:rsidR="00603D56" w:rsidRDefault="00603D56" w:rsidP="0047600F">
      <w:pPr>
        <w:pStyle w:val="1Paragraph"/>
      </w:pPr>
    </w:p>
    <w:tbl>
      <w:tblPr>
        <w:tblW w:w="938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778"/>
        <w:gridCol w:w="982"/>
      </w:tblGrid>
      <w:tr w:rsidR="00603D56" w14:paraId="2380334D" w14:textId="77777777" w:rsidTr="00AB2353">
        <w:trPr>
          <w:trHeight w:val="350"/>
        </w:trPr>
        <w:tc>
          <w:tcPr>
            <w:tcW w:w="629" w:type="dxa"/>
            <w:shd w:val="clear" w:color="auto" w:fill="EBE8D2"/>
          </w:tcPr>
          <w:p w14:paraId="5BCD9F62" w14:textId="77777777" w:rsidR="00603D56" w:rsidRDefault="00603D56" w:rsidP="00121E59">
            <w:pPr>
              <w:pStyle w:val="TableParagraph"/>
              <w:spacing w:before="59"/>
              <w:ind w:left="86" w:right="80"/>
              <w:jc w:val="center"/>
              <w:rPr>
                <w:b/>
                <w:sz w:val="20"/>
              </w:rPr>
            </w:pPr>
            <w:r>
              <w:rPr>
                <w:b/>
                <w:sz w:val="20"/>
              </w:rPr>
              <w:t>Item</w:t>
            </w:r>
          </w:p>
        </w:tc>
        <w:tc>
          <w:tcPr>
            <w:tcW w:w="7778" w:type="dxa"/>
            <w:shd w:val="clear" w:color="auto" w:fill="EBE8D2"/>
          </w:tcPr>
          <w:p w14:paraId="7A68522B" w14:textId="77777777" w:rsidR="00603D56" w:rsidRDefault="00603D56" w:rsidP="00121E59">
            <w:pPr>
              <w:pStyle w:val="TableParagraph"/>
              <w:spacing w:before="59"/>
              <w:ind w:left="107"/>
              <w:rPr>
                <w:b/>
                <w:sz w:val="20"/>
              </w:rPr>
            </w:pPr>
            <w:r>
              <w:rPr>
                <w:b/>
                <w:sz w:val="20"/>
              </w:rPr>
              <w:t>Requirement</w:t>
            </w:r>
          </w:p>
        </w:tc>
        <w:tc>
          <w:tcPr>
            <w:tcW w:w="982" w:type="dxa"/>
            <w:shd w:val="clear" w:color="auto" w:fill="EBE8D2"/>
          </w:tcPr>
          <w:p w14:paraId="0F2542CC" w14:textId="77777777" w:rsidR="00603D56" w:rsidRDefault="00603D56" w:rsidP="00121E59">
            <w:pPr>
              <w:pStyle w:val="TableParagraph"/>
              <w:spacing w:before="59"/>
              <w:ind w:left="107"/>
              <w:rPr>
                <w:b/>
                <w:sz w:val="20"/>
              </w:rPr>
            </w:pPr>
            <w:r>
              <w:rPr>
                <w:b/>
                <w:sz w:val="20"/>
              </w:rPr>
              <w:t>Yes/No</w:t>
            </w:r>
          </w:p>
        </w:tc>
      </w:tr>
      <w:tr w:rsidR="00603D56" w14:paraId="445399A5" w14:textId="77777777" w:rsidTr="00AB2353">
        <w:trPr>
          <w:trHeight w:val="350"/>
        </w:trPr>
        <w:tc>
          <w:tcPr>
            <w:tcW w:w="629" w:type="dxa"/>
          </w:tcPr>
          <w:p w14:paraId="083CC461" w14:textId="77777777" w:rsidR="00603D56" w:rsidRDefault="00603D56" w:rsidP="00121E59">
            <w:pPr>
              <w:pStyle w:val="TableParagraph"/>
              <w:spacing w:before="59"/>
              <w:ind w:left="9"/>
              <w:jc w:val="center"/>
              <w:rPr>
                <w:sz w:val="20"/>
              </w:rPr>
            </w:pPr>
            <w:r>
              <w:rPr>
                <w:w w:val="99"/>
                <w:sz w:val="20"/>
              </w:rPr>
              <w:t>1.</w:t>
            </w:r>
          </w:p>
        </w:tc>
        <w:tc>
          <w:tcPr>
            <w:tcW w:w="7778" w:type="dxa"/>
          </w:tcPr>
          <w:p w14:paraId="1E466195" w14:textId="77777777" w:rsidR="00603D56" w:rsidRDefault="00603D56" w:rsidP="00121E59">
            <w:pPr>
              <w:pStyle w:val="TableParagraph"/>
              <w:spacing w:before="59"/>
              <w:ind w:left="107"/>
              <w:rPr>
                <w:sz w:val="20"/>
              </w:rPr>
            </w:pPr>
            <w:r>
              <w:rPr>
                <w:sz w:val="20"/>
              </w:rPr>
              <w:t>Bidder</w:t>
            </w:r>
            <w:r>
              <w:rPr>
                <w:spacing w:val="-5"/>
                <w:sz w:val="20"/>
              </w:rPr>
              <w:t xml:space="preserve"> </w:t>
            </w:r>
            <w:r>
              <w:rPr>
                <w:sz w:val="20"/>
              </w:rPr>
              <w:t>company</w:t>
            </w:r>
            <w:r>
              <w:rPr>
                <w:spacing w:val="-7"/>
                <w:sz w:val="20"/>
              </w:rPr>
              <w:t xml:space="preserve"> </w:t>
            </w:r>
            <w:r>
              <w:rPr>
                <w:sz w:val="20"/>
              </w:rPr>
              <w:t>information</w:t>
            </w:r>
            <w:r>
              <w:rPr>
                <w:spacing w:val="-7"/>
                <w:sz w:val="20"/>
              </w:rPr>
              <w:t xml:space="preserve"> </w:t>
            </w:r>
            <w:r>
              <w:rPr>
                <w:sz w:val="20"/>
              </w:rPr>
              <w:t>(Paragraph</w:t>
            </w:r>
            <w:r>
              <w:rPr>
                <w:spacing w:val="-4"/>
                <w:sz w:val="20"/>
              </w:rPr>
              <w:t xml:space="preserve"> </w:t>
            </w:r>
            <w:r>
              <w:rPr>
                <w:sz w:val="20"/>
              </w:rPr>
              <w:t>7)</w:t>
            </w:r>
          </w:p>
        </w:tc>
        <w:tc>
          <w:tcPr>
            <w:tcW w:w="982" w:type="dxa"/>
          </w:tcPr>
          <w:p w14:paraId="0D1A4848" w14:textId="77777777" w:rsidR="00603D56" w:rsidRDefault="00603D56" w:rsidP="00121E59">
            <w:pPr>
              <w:pStyle w:val="TableParagraph"/>
              <w:rPr>
                <w:rFonts w:ascii="Times New Roman"/>
                <w:sz w:val="20"/>
              </w:rPr>
            </w:pPr>
          </w:p>
        </w:tc>
      </w:tr>
      <w:tr w:rsidR="00BB592C" w14:paraId="1B5598B4" w14:textId="77777777" w:rsidTr="00AB2353">
        <w:trPr>
          <w:trHeight w:val="350"/>
        </w:trPr>
        <w:tc>
          <w:tcPr>
            <w:tcW w:w="629" w:type="dxa"/>
          </w:tcPr>
          <w:p w14:paraId="31E7A6F3" w14:textId="0FF28EC9" w:rsidR="00BB592C" w:rsidRPr="00731061" w:rsidRDefault="00E80F25" w:rsidP="00121E59">
            <w:pPr>
              <w:pStyle w:val="TableParagraph"/>
              <w:spacing w:before="59"/>
              <w:ind w:left="9"/>
              <w:jc w:val="center"/>
              <w:rPr>
                <w:w w:val="99"/>
                <w:sz w:val="20"/>
              </w:rPr>
            </w:pPr>
            <w:r w:rsidRPr="00731061">
              <w:rPr>
                <w:w w:val="99"/>
                <w:sz w:val="20"/>
              </w:rPr>
              <w:t>2</w:t>
            </w:r>
            <w:r w:rsidR="00BB592C" w:rsidRPr="00731061">
              <w:rPr>
                <w:w w:val="99"/>
                <w:sz w:val="20"/>
              </w:rPr>
              <w:t>.</w:t>
            </w:r>
          </w:p>
        </w:tc>
        <w:tc>
          <w:tcPr>
            <w:tcW w:w="7778" w:type="dxa"/>
          </w:tcPr>
          <w:p w14:paraId="1EFC817C" w14:textId="77C05CCF" w:rsidR="00BB592C" w:rsidRPr="00731061" w:rsidRDefault="00BB592C" w:rsidP="00121E59">
            <w:pPr>
              <w:pStyle w:val="TableParagraph"/>
              <w:spacing w:before="59"/>
              <w:ind w:left="107"/>
              <w:rPr>
                <w:sz w:val="20"/>
              </w:rPr>
            </w:pPr>
            <w:r w:rsidRPr="00731061">
              <w:rPr>
                <w:color w:val="000000"/>
                <w:sz w:val="20"/>
                <w:szCs w:val="20"/>
              </w:rPr>
              <w:t>Valid Compensation Commissioner Fund: Letter of good standing (COIDA); or proof of risk insurance on a customer’s site.</w:t>
            </w:r>
          </w:p>
        </w:tc>
        <w:tc>
          <w:tcPr>
            <w:tcW w:w="982" w:type="dxa"/>
          </w:tcPr>
          <w:p w14:paraId="58003748" w14:textId="77777777" w:rsidR="00BB592C" w:rsidRDefault="00BB592C" w:rsidP="00121E59">
            <w:pPr>
              <w:pStyle w:val="TableParagraph"/>
              <w:rPr>
                <w:rFonts w:ascii="Times New Roman"/>
                <w:sz w:val="20"/>
              </w:rPr>
            </w:pPr>
          </w:p>
        </w:tc>
      </w:tr>
      <w:tr w:rsidR="00BB592C" w14:paraId="65864BF5" w14:textId="77777777" w:rsidTr="00AB2353">
        <w:trPr>
          <w:trHeight w:val="350"/>
        </w:trPr>
        <w:tc>
          <w:tcPr>
            <w:tcW w:w="629" w:type="dxa"/>
          </w:tcPr>
          <w:p w14:paraId="2F0CE6F2" w14:textId="5D80D48F" w:rsidR="00BB592C" w:rsidRPr="00731061" w:rsidRDefault="00E80F25" w:rsidP="00121E59">
            <w:pPr>
              <w:pStyle w:val="TableParagraph"/>
              <w:spacing w:before="59"/>
              <w:ind w:left="9"/>
              <w:jc w:val="center"/>
              <w:rPr>
                <w:w w:val="99"/>
                <w:sz w:val="20"/>
              </w:rPr>
            </w:pPr>
            <w:r w:rsidRPr="00731061">
              <w:rPr>
                <w:w w:val="99"/>
                <w:sz w:val="20"/>
              </w:rPr>
              <w:t>3</w:t>
            </w:r>
            <w:r w:rsidR="00BB592C" w:rsidRPr="00731061">
              <w:rPr>
                <w:w w:val="99"/>
                <w:sz w:val="20"/>
              </w:rPr>
              <w:t>.</w:t>
            </w:r>
          </w:p>
        </w:tc>
        <w:tc>
          <w:tcPr>
            <w:tcW w:w="7778" w:type="dxa"/>
          </w:tcPr>
          <w:p w14:paraId="6A96F0FA" w14:textId="77777777" w:rsidR="000D4C7D" w:rsidRPr="000D4C7D" w:rsidRDefault="000D4C7D" w:rsidP="000D4C7D">
            <w:pPr>
              <w:pStyle w:val="TableParagraph"/>
              <w:spacing w:before="59"/>
              <w:ind w:left="107"/>
              <w:rPr>
                <w:sz w:val="20"/>
                <w:szCs w:val="20"/>
              </w:rPr>
            </w:pPr>
            <w:r w:rsidRPr="000D4C7D">
              <w:rPr>
                <w:sz w:val="20"/>
                <w:szCs w:val="20"/>
              </w:rPr>
              <w:t>Bidders must submit either:</w:t>
            </w:r>
          </w:p>
          <w:p w14:paraId="3BA79BDC" w14:textId="77777777" w:rsidR="000D4C7D" w:rsidRPr="000D4C7D" w:rsidRDefault="000D4C7D" w:rsidP="000D4C7D">
            <w:pPr>
              <w:pStyle w:val="TableParagraph"/>
              <w:spacing w:before="59"/>
              <w:ind w:left="107"/>
              <w:rPr>
                <w:sz w:val="20"/>
                <w:szCs w:val="20"/>
              </w:rPr>
            </w:pPr>
            <w:r w:rsidRPr="000D4C7D">
              <w:rPr>
                <w:sz w:val="20"/>
                <w:szCs w:val="20"/>
              </w:rPr>
              <w:t>a) An OEM authorisation letter (for agents), confirming distribution rights and after</w:t>
            </w:r>
            <w:r w:rsidRPr="000D4C7D">
              <w:rPr>
                <w:rFonts w:ascii="Cambria Math" w:hAnsi="Cambria Math" w:cs="Cambria Math"/>
                <w:sz w:val="20"/>
                <w:szCs w:val="20"/>
              </w:rPr>
              <w:t>‑</w:t>
            </w:r>
            <w:r w:rsidRPr="000D4C7D">
              <w:rPr>
                <w:sz w:val="20"/>
                <w:szCs w:val="20"/>
              </w:rPr>
              <w:t>sales support (training, service, and maintenance); or</w:t>
            </w:r>
          </w:p>
          <w:p w14:paraId="1D04B02D" w14:textId="2813161F" w:rsidR="00BB592C" w:rsidRPr="00731061" w:rsidRDefault="000D4C7D" w:rsidP="000D4C7D">
            <w:pPr>
              <w:pStyle w:val="TableParagraph"/>
              <w:spacing w:before="59"/>
              <w:ind w:left="107"/>
              <w:rPr>
                <w:sz w:val="20"/>
              </w:rPr>
            </w:pPr>
            <w:r w:rsidRPr="000D4C7D">
              <w:rPr>
                <w:sz w:val="20"/>
                <w:szCs w:val="20"/>
              </w:rPr>
              <w:t>b) An OEM confirmation letter (for OEMs), confirming manufacturer status of the products offered.</w:t>
            </w:r>
          </w:p>
        </w:tc>
        <w:tc>
          <w:tcPr>
            <w:tcW w:w="982" w:type="dxa"/>
          </w:tcPr>
          <w:p w14:paraId="57E77527" w14:textId="77777777" w:rsidR="00BB592C" w:rsidRDefault="00BB592C" w:rsidP="00121E59">
            <w:pPr>
              <w:pStyle w:val="TableParagraph"/>
              <w:rPr>
                <w:rFonts w:ascii="Times New Roman"/>
                <w:sz w:val="20"/>
              </w:rPr>
            </w:pPr>
          </w:p>
        </w:tc>
      </w:tr>
      <w:tr w:rsidR="00BB592C" w14:paraId="2BB9A7C1" w14:textId="77777777" w:rsidTr="00AB2353">
        <w:trPr>
          <w:trHeight w:val="350"/>
        </w:trPr>
        <w:tc>
          <w:tcPr>
            <w:tcW w:w="629" w:type="dxa"/>
          </w:tcPr>
          <w:p w14:paraId="09D0F77C" w14:textId="2E0C1125" w:rsidR="00BB592C" w:rsidRPr="00731061" w:rsidRDefault="00E80F25" w:rsidP="00121E59">
            <w:pPr>
              <w:pStyle w:val="TableParagraph"/>
              <w:spacing w:before="59"/>
              <w:ind w:left="9"/>
              <w:jc w:val="center"/>
              <w:rPr>
                <w:w w:val="99"/>
                <w:sz w:val="20"/>
              </w:rPr>
            </w:pPr>
            <w:r w:rsidRPr="00731061">
              <w:rPr>
                <w:w w:val="99"/>
                <w:sz w:val="20"/>
              </w:rPr>
              <w:t>4</w:t>
            </w:r>
          </w:p>
        </w:tc>
        <w:tc>
          <w:tcPr>
            <w:tcW w:w="7778" w:type="dxa"/>
          </w:tcPr>
          <w:p w14:paraId="30B31642" w14:textId="4EA4D9C3" w:rsidR="00BB592C" w:rsidRPr="00731061" w:rsidRDefault="00BB592C" w:rsidP="00121E59">
            <w:pPr>
              <w:pStyle w:val="TableParagraph"/>
              <w:spacing w:before="59"/>
              <w:ind w:left="107"/>
              <w:rPr>
                <w:sz w:val="20"/>
              </w:rPr>
            </w:pPr>
            <w:r w:rsidRPr="00731061">
              <w:rPr>
                <w:sz w:val="20"/>
              </w:rPr>
              <w:t xml:space="preserve">Minimum of </w:t>
            </w:r>
            <w:r w:rsidR="00731061" w:rsidRPr="00731061">
              <w:rPr>
                <w:sz w:val="20"/>
              </w:rPr>
              <w:t>36</w:t>
            </w:r>
            <w:r w:rsidRPr="00731061">
              <w:rPr>
                <w:sz w:val="20"/>
              </w:rPr>
              <w:t xml:space="preserve"> months </w:t>
            </w:r>
            <w:r w:rsidR="00731061" w:rsidRPr="00731061">
              <w:rPr>
                <w:sz w:val="20"/>
              </w:rPr>
              <w:t>Manufacturer’s</w:t>
            </w:r>
            <w:r w:rsidRPr="00731061">
              <w:rPr>
                <w:sz w:val="20"/>
              </w:rPr>
              <w:t xml:space="preserve"> warrant</w:t>
            </w:r>
            <w:r w:rsidR="00731061" w:rsidRPr="00731061">
              <w:rPr>
                <w:sz w:val="20"/>
              </w:rPr>
              <w:t xml:space="preserve">y and </w:t>
            </w:r>
            <w:r w:rsidR="000D4C7D" w:rsidRPr="00731061">
              <w:rPr>
                <w:sz w:val="20"/>
              </w:rPr>
              <w:t>it must</w:t>
            </w:r>
            <w:r w:rsidRPr="00731061">
              <w:rPr>
                <w:sz w:val="20"/>
              </w:rPr>
              <w:t xml:space="preserve"> specifically state that it includes replacements of all parts, consumables and labor</w:t>
            </w:r>
          </w:p>
        </w:tc>
        <w:tc>
          <w:tcPr>
            <w:tcW w:w="982" w:type="dxa"/>
          </w:tcPr>
          <w:p w14:paraId="61699D05" w14:textId="77777777" w:rsidR="00BB592C" w:rsidRDefault="00BB592C" w:rsidP="00121E59">
            <w:pPr>
              <w:pStyle w:val="TableParagraph"/>
              <w:rPr>
                <w:rFonts w:ascii="Times New Roman"/>
                <w:sz w:val="20"/>
              </w:rPr>
            </w:pPr>
          </w:p>
        </w:tc>
      </w:tr>
      <w:tr w:rsidR="00603D56" w14:paraId="73A916A5" w14:textId="77777777" w:rsidTr="00AB2353">
        <w:trPr>
          <w:trHeight w:val="350"/>
        </w:trPr>
        <w:tc>
          <w:tcPr>
            <w:tcW w:w="629" w:type="dxa"/>
          </w:tcPr>
          <w:p w14:paraId="02A172F4" w14:textId="6B62FEF9" w:rsidR="00603D56" w:rsidRPr="00474489" w:rsidRDefault="00E80F25" w:rsidP="00121E59">
            <w:pPr>
              <w:pStyle w:val="TableParagraph"/>
              <w:spacing w:before="59"/>
              <w:ind w:left="9"/>
              <w:jc w:val="center"/>
              <w:rPr>
                <w:sz w:val="20"/>
                <w:highlight w:val="green"/>
              </w:rPr>
            </w:pPr>
            <w:r w:rsidRPr="00CA248C">
              <w:rPr>
                <w:sz w:val="20"/>
              </w:rPr>
              <w:t>5</w:t>
            </w:r>
            <w:r w:rsidR="00603D56" w:rsidRPr="00CA248C">
              <w:rPr>
                <w:sz w:val="20"/>
              </w:rPr>
              <w:t>.</w:t>
            </w:r>
          </w:p>
        </w:tc>
        <w:tc>
          <w:tcPr>
            <w:tcW w:w="7778" w:type="dxa"/>
          </w:tcPr>
          <w:p w14:paraId="4BC72DF0" w14:textId="77777777" w:rsidR="000D4C7D" w:rsidRPr="000D4C7D" w:rsidRDefault="000D4C7D" w:rsidP="000D4C7D">
            <w:pPr>
              <w:pStyle w:val="TableParagraph"/>
              <w:spacing w:before="59"/>
              <w:ind w:left="107"/>
              <w:rPr>
                <w:color w:val="000000"/>
                <w:sz w:val="20"/>
                <w:szCs w:val="20"/>
                <w:lang w:val="en-ZA"/>
              </w:rPr>
            </w:pPr>
            <w:r w:rsidRPr="000D4C7D">
              <w:rPr>
                <w:color w:val="000000"/>
                <w:sz w:val="20"/>
                <w:szCs w:val="20"/>
                <w:lang w:val="en-ZA"/>
              </w:rPr>
              <w:t>Compliance with Annexure A is compulsory. Failure to complete the Annexure A compliance matrix in full will result in disqualification.</w:t>
            </w:r>
          </w:p>
          <w:p w14:paraId="06C3BC5B" w14:textId="0BA81F58" w:rsidR="00603D56" w:rsidRPr="00474489" w:rsidRDefault="00603D56" w:rsidP="00121E59">
            <w:pPr>
              <w:pStyle w:val="TableParagraph"/>
              <w:spacing w:before="59"/>
              <w:ind w:left="107"/>
              <w:rPr>
                <w:sz w:val="20"/>
                <w:highlight w:val="green"/>
              </w:rPr>
            </w:pPr>
          </w:p>
        </w:tc>
        <w:tc>
          <w:tcPr>
            <w:tcW w:w="982" w:type="dxa"/>
          </w:tcPr>
          <w:p w14:paraId="1E1DAE01" w14:textId="77777777" w:rsidR="00603D56" w:rsidRDefault="00603D56" w:rsidP="00121E59">
            <w:pPr>
              <w:pStyle w:val="TableParagraph"/>
              <w:rPr>
                <w:rFonts w:ascii="Times New Roman"/>
                <w:sz w:val="20"/>
              </w:rPr>
            </w:pPr>
          </w:p>
        </w:tc>
      </w:tr>
    </w:tbl>
    <w:p w14:paraId="22CD05EF" w14:textId="77777777" w:rsidR="00704AFC" w:rsidRDefault="00704AFC" w:rsidP="00704AFC">
      <w:pPr>
        <w:pStyle w:val="Index3"/>
        <w:numPr>
          <w:ilvl w:val="0"/>
          <w:numId w:val="0"/>
        </w:numPr>
        <w:ind w:left="851"/>
      </w:pPr>
    </w:p>
    <w:p w14:paraId="1444A808" w14:textId="0E530AAB" w:rsidR="006E040B" w:rsidRDefault="006E040B" w:rsidP="00983E61">
      <w:pPr>
        <w:pStyle w:val="Index3"/>
      </w:pPr>
      <w:bookmarkStart w:id="30" w:name="_Toc227224883"/>
      <w:r w:rsidRPr="00A00833">
        <w:t>Technical / Functional Evaluation Criteria</w:t>
      </w:r>
      <w:bookmarkEnd w:id="30"/>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306"/>
        <w:gridCol w:w="883"/>
        <w:gridCol w:w="829"/>
        <w:gridCol w:w="4017"/>
      </w:tblGrid>
      <w:tr w:rsidR="00BB592C" w:rsidRPr="00E10392" w14:paraId="609306CE" w14:textId="77777777" w:rsidTr="000B095C">
        <w:trPr>
          <w:cantSplit/>
          <w:tblHeader/>
        </w:trPr>
        <w:tc>
          <w:tcPr>
            <w:tcW w:w="656" w:type="pct"/>
            <w:shd w:val="clear" w:color="auto" w:fill="ECE8D3"/>
          </w:tcPr>
          <w:p w14:paraId="3AB0CEBE" w14:textId="77777777" w:rsidR="00BB592C" w:rsidRPr="00E10392" w:rsidRDefault="00BB592C" w:rsidP="00330186">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Item</w:t>
            </w:r>
          </w:p>
        </w:tc>
        <w:tc>
          <w:tcPr>
            <w:tcW w:w="1247" w:type="pct"/>
            <w:shd w:val="clear" w:color="auto" w:fill="ECE8D3"/>
          </w:tcPr>
          <w:p w14:paraId="2BF813E2" w14:textId="77777777" w:rsidR="00BB592C" w:rsidRPr="00E10392" w:rsidRDefault="00BB592C" w:rsidP="00330186">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Requirement</w:t>
            </w:r>
          </w:p>
        </w:tc>
        <w:tc>
          <w:tcPr>
            <w:tcW w:w="477" w:type="pct"/>
            <w:shd w:val="clear" w:color="auto" w:fill="ECE8D3"/>
          </w:tcPr>
          <w:p w14:paraId="671F9C2B" w14:textId="77777777" w:rsidR="00BB592C" w:rsidRPr="00E10392" w:rsidRDefault="00BB592C" w:rsidP="00330186">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Weight</w:t>
            </w:r>
          </w:p>
        </w:tc>
        <w:tc>
          <w:tcPr>
            <w:tcW w:w="448" w:type="pct"/>
            <w:shd w:val="clear" w:color="auto" w:fill="ECE8D3"/>
          </w:tcPr>
          <w:p w14:paraId="42B6FA02" w14:textId="77777777" w:rsidR="00BB592C" w:rsidRPr="00E10392" w:rsidRDefault="00BB592C" w:rsidP="00330186">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Points</w:t>
            </w:r>
          </w:p>
        </w:tc>
        <w:tc>
          <w:tcPr>
            <w:tcW w:w="2172" w:type="pct"/>
            <w:shd w:val="clear" w:color="auto" w:fill="ECE8D3"/>
          </w:tcPr>
          <w:p w14:paraId="00A1F725" w14:textId="77777777" w:rsidR="00BB592C" w:rsidRPr="00E10392" w:rsidRDefault="00BB592C" w:rsidP="00330186">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Criteria</w:t>
            </w:r>
          </w:p>
        </w:tc>
      </w:tr>
      <w:tr w:rsidR="00BB592C" w:rsidRPr="00E10392" w14:paraId="48653238" w14:textId="77777777" w:rsidTr="000B095C">
        <w:trPr>
          <w:cantSplit/>
          <w:trHeight w:val="180"/>
        </w:trPr>
        <w:tc>
          <w:tcPr>
            <w:tcW w:w="656" w:type="pct"/>
            <w:vMerge w:val="restart"/>
            <w:tcBorders>
              <w:top w:val="single" w:sz="4" w:space="0" w:color="auto"/>
              <w:left w:val="single" w:sz="4" w:space="0" w:color="auto"/>
              <w:right w:val="single" w:sz="4" w:space="0" w:color="auto"/>
            </w:tcBorders>
          </w:tcPr>
          <w:p w14:paraId="0378E7CE"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1</w:t>
            </w:r>
          </w:p>
        </w:tc>
        <w:tc>
          <w:tcPr>
            <w:tcW w:w="1247" w:type="pct"/>
            <w:vMerge w:val="restart"/>
            <w:tcBorders>
              <w:top w:val="single" w:sz="4" w:space="0" w:color="auto"/>
              <w:left w:val="single" w:sz="4" w:space="0" w:color="auto"/>
              <w:right w:val="single" w:sz="4" w:space="0" w:color="auto"/>
            </w:tcBorders>
          </w:tcPr>
          <w:p w14:paraId="5061760B" w14:textId="4FA20312"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Delivery Time (from date of order) of </w:t>
            </w:r>
            <w:r w:rsidR="001669B4" w:rsidRPr="001669B4">
              <w:rPr>
                <w:rFonts w:ascii="Arial" w:hAnsi="Arial" w:cs="Arial"/>
                <w:sz w:val="20"/>
                <w:szCs w:val="20"/>
                <w:lang w:val="en-US"/>
              </w:rPr>
              <w:t xml:space="preserve">Digital </w:t>
            </w:r>
            <w:r w:rsidR="000B095C" w:rsidRPr="000B095C">
              <w:rPr>
                <w:rFonts w:ascii="Arial" w:hAnsi="Arial" w:cs="Arial"/>
                <w:sz w:val="20"/>
                <w:szCs w:val="20"/>
                <w:lang w:val="en-US"/>
              </w:rPr>
              <w:t>Laser diffraction</w:t>
            </w:r>
            <w:r w:rsidR="000B095C">
              <w:rPr>
                <w:rFonts w:ascii="Arial" w:hAnsi="Arial" w:cs="Arial"/>
                <w:sz w:val="20"/>
                <w:szCs w:val="20"/>
                <w:lang w:val="en-US"/>
              </w:rPr>
              <w:t xml:space="preserve"> with </w:t>
            </w:r>
            <w:r w:rsidR="000B095C" w:rsidRPr="000B095C">
              <w:rPr>
                <w:rFonts w:ascii="Arial" w:hAnsi="Arial" w:cs="Arial"/>
                <w:sz w:val="20"/>
                <w:szCs w:val="20"/>
                <w:lang w:val="en-US"/>
              </w:rPr>
              <w:lastRenderedPageBreak/>
              <w:t xml:space="preserve">dynamic image analyser </w:t>
            </w:r>
          </w:p>
        </w:tc>
        <w:tc>
          <w:tcPr>
            <w:tcW w:w="477" w:type="pct"/>
            <w:vMerge w:val="restart"/>
            <w:tcBorders>
              <w:top w:val="single" w:sz="4" w:space="0" w:color="auto"/>
              <w:left w:val="single" w:sz="4" w:space="0" w:color="auto"/>
              <w:right w:val="single" w:sz="4" w:space="0" w:color="auto"/>
            </w:tcBorders>
            <w:vAlign w:val="center"/>
          </w:tcPr>
          <w:p w14:paraId="45FA6447"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lastRenderedPageBreak/>
              <w:t>5</w:t>
            </w:r>
          </w:p>
        </w:tc>
        <w:tc>
          <w:tcPr>
            <w:tcW w:w="448" w:type="pct"/>
            <w:tcBorders>
              <w:top w:val="single" w:sz="4" w:space="0" w:color="auto"/>
              <w:left w:val="single" w:sz="4" w:space="0" w:color="auto"/>
              <w:bottom w:val="single" w:sz="4" w:space="0" w:color="auto"/>
              <w:right w:val="single" w:sz="4" w:space="0" w:color="auto"/>
            </w:tcBorders>
            <w:vAlign w:val="center"/>
          </w:tcPr>
          <w:p w14:paraId="31E5E14B"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2" w:type="pct"/>
            <w:tcBorders>
              <w:top w:val="single" w:sz="4" w:space="0" w:color="auto"/>
              <w:left w:val="single" w:sz="4" w:space="0" w:color="auto"/>
              <w:bottom w:val="single" w:sz="4" w:space="0" w:color="auto"/>
              <w:right w:val="single" w:sz="4" w:space="0" w:color="auto"/>
            </w:tcBorders>
          </w:tcPr>
          <w:p w14:paraId="5B00CA7E" w14:textId="1D9E7F4B" w:rsidR="00BB592C" w:rsidRPr="00E10392" w:rsidRDefault="007206E0" w:rsidP="00330186">
            <w:pPr>
              <w:pStyle w:val="Default"/>
              <w:rPr>
                <w:rFonts w:ascii="Arial" w:hAnsi="Arial" w:cs="Arial"/>
                <w:sz w:val="20"/>
                <w:szCs w:val="20"/>
                <w:lang w:val="en-US"/>
              </w:rPr>
            </w:pPr>
            <w:r>
              <w:rPr>
                <w:rFonts w:ascii="Arial" w:hAnsi="Arial" w:cs="Arial"/>
                <w:sz w:val="20"/>
                <w:szCs w:val="20"/>
                <w:lang w:val="en-US"/>
              </w:rPr>
              <w:t xml:space="preserve">Delivery </w:t>
            </w:r>
            <w:r w:rsidR="00A12620">
              <w:rPr>
                <w:rFonts w:ascii="Arial" w:hAnsi="Arial" w:cs="Arial"/>
                <w:sz w:val="20"/>
                <w:szCs w:val="20"/>
                <w:lang w:val="en-US"/>
              </w:rPr>
              <w:t xml:space="preserve">of </w:t>
            </w:r>
            <w:r w:rsidR="00A12620" w:rsidRPr="00E10392">
              <w:rPr>
                <w:rFonts w:ascii="Arial" w:hAnsi="Arial" w:cs="Arial"/>
                <w:sz w:val="20"/>
                <w:szCs w:val="20"/>
                <w:lang w:val="en-US"/>
              </w:rPr>
              <w:t>equipment</w:t>
            </w:r>
            <w:r>
              <w:rPr>
                <w:rFonts w:ascii="Arial" w:hAnsi="Arial" w:cs="Arial"/>
                <w:sz w:val="20"/>
                <w:szCs w:val="20"/>
                <w:lang w:val="en-US"/>
              </w:rPr>
              <w:t xml:space="preserve"> in period of</w:t>
            </w:r>
            <w:r w:rsidR="00BB592C" w:rsidRPr="00E10392">
              <w:rPr>
                <w:rFonts w:ascii="Arial" w:hAnsi="Arial" w:cs="Arial"/>
                <w:sz w:val="20"/>
                <w:szCs w:val="20"/>
                <w:lang w:val="en-US"/>
              </w:rPr>
              <w:t xml:space="preserve"> </w:t>
            </w:r>
            <w:r w:rsidR="00BB592C" w:rsidRPr="00E10392">
              <w:rPr>
                <w:rFonts w:ascii="Arial" w:hAnsi="Arial" w:cs="Arial"/>
                <w:b/>
                <w:sz w:val="20"/>
                <w:szCs w:val="20"/>
                <w:lang w:val="en-US"/>
              </w:rPr>
              <w:t>more than 5 months</w:t>
            </w:r>
          </w:p>
        </w:tc>
      </w:tr>
      <w:tr w:rsidR="00BB592C" w:rsidRPr="00E10392" w14:paraId="09E450F3" w14:textId="77777777" w:rsidTr="000B095C">
        <w:trPr>
          <w:cantSplit/>
          <w:trHeight w:val="180"/>
        </w:trPr>
        <w:tc>
          <w:tcPr>
            <w:tcW w:w="656" w:type="pct"/>
            <w:vMerge/>
            <w:tcBorders>
              <w:left w:val="single" w:sz="4" w:space="0" w:color="auto"/>
              <w:right w:val="single" w:sz="4" w:space="0" w:color="auto"/>
            </w:tcBorders>
          </w:tcPr>
          <w:p w14:paraId="6D445E24"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Borders>
              <w:left w:val="single" w:sz="4" w:space="0" w:color="auto"/>
              <w:right w:val="single" w:sz="4" w:space="0" w:color="auto"/>
            </w:tcBorders>
          </w:tcPr>
          <w:p w14:paraId="72DC7613" w14:textId="77777777" w:rsidR="00BB592C" w:rsidRPr="00E10392" w:rsidRDefault="00BB592C" w:rsidP="00330186">
            <w:pPr>
              <w:pStyle w:val="Default"/>
              <w:rPr>
                <w:rFonts w:ascii="Arial" w:hAnsi="Arial" w:cs="Arial"/>
                <w:sz w:val="20"/>
                <w:szCs w:val="20"/>
                <w:lang w:val="en-US"/>
              </w:rPr>
            </w:pPr>
          </w:p>
        </w:tc>
        <w:tc>
          <w:tcPr>
            <w:tcW w:w="477" w:type="pct"/>
            <w:vMerge/>
            <w:tcBorders>
              <w:left w:val="single" w:sz="4" w:space="0" w:color="auto"/>
              <w:right w:val="single" w:sz="4" w:space="0" w:color="auto"/>
            </w:tcBorders>
            <w:vAlign w:val="center"/>
          </w:tcPr>
          <w:p w14:paraId="0EAA9F6E"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448" w:type="pct"/>
            <w:tcBorders>
              <w:top w:val="single" w:sz="4" w:space="0" w:color="auto"/>
              <w:left w:val="single" w:sz="4" w:space="0" w:color="auto"/>
              <w:bottom w:val="single" w:sz="4" w:space="0" w:color="auto"/>
              <w:right w:val="single" w:sz="4" w:space="0" w:color="auto"/>
            </w:tcBorders>
            <w:vAlign w:val="center"/>
          </w:tcPr>
          <w:p w14:paraId="42B3016C"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2</w:t>
            </w:r>
          </w:p>
        </w:tc>
        <w:tc>
          <w:tcPr>
            <w:tcW w:w="2172" w:type="pct"/>
            <w:tcBorders>
              <w:top w:val="single" w:sz="4" w:space="0" w:color="auto"/>
              <w:left w:val="single" w:sz="4" w:space="0" w:color="auto"/>
              <w:bottom w:val="single" w:sz="4" w:space="0" w:color="auto"/>
              <w:right w:val="single" w:sz="4" w:space="0" w:color="auto"/>
            </w:tcBorders>
          </w:tcPr>
          <w:p w14:paraId="684A6A7E" w14:textId="15862D55" w:rsidR="00BB592C" w:rsidRPr="00E10392" w:rsidRDefault="007206E0" w:rsidP="00330186">
            <w:pPr>
              <w:pStyle w:val="Default"/>
              <w:rPr>
                <w:rFonts w:ascii="Arial" w:hAnsi="Arial" w:cs="Arial"/>
                <w:sz w:val="20"/>
                <w:szCs w:val="20"/>
                <w:lang w:val="en-US"/>
              </w:rPr>
            </w:pPr>
            <w:r>
              <w:rPr>
                <w:rFonts w:ascii="Arial" w:hAnsi="Arial" w:cs="Arial"/>
                <w:sz w:val="20"/>
                <w:szCs w:val="20"/>
                <w:lang w:val="en-US"/>
              </w:rPr>
              <w:t xml:space="preserve">Delivery </w:t>
            </w:r>
            <w:r w:rsidR="00A12620">
              <w:rPr>
                <w:rFonts w:ascii="Arial" w:hAnsi="Arial" w:cs="Arial"/>
                <w:sz w:val="20"/>
                <w:szCs w:val="20"/>
                <w:lang w:val="en-US"/>
              </w:rPr>
              <w:t xml:space="preserve">of </w:t>
            </w:r>
            <w:r w:rsidR="00A12620" w:rsidRPr="00E10392">
              <w:rPr>
                <w:rFonts w:ascii="Arial" w:hAnsi="Arial" w:cs="Arial"/>
                <w:sz w:val="20"/>
                <w:szCs w:val="20"/>
                <w:lang w:val="en-US"/>
              </w:rPr>
              <w:t>equipment</w:t>
            </w:r>
            <w:r>
              <w:rPr>
                <w:rFonts w:ascii="Arial" w:hAnsi="Arial" w:cs="Arial"/>
                <w:sz w:val="20"/>
                <w:szCs w:val="20"/>
                <w:lang w:val="en-US"/>
              </w:rPr>
              <w:t xml:space="preserve"> in period of</w:t>
            </w:r>
            <w:r w:rsidRPr="00E10392">
              <w:rPr>
                <w:rFonts w:ascii="Arial" w:hAnsi="Arial" w:cs="Arial"/>
                <w:sz w:val="20"/>
                <w:szCs w:val="20"/>
                <w:lang w:val="en-US"/>
              </w:rPr>
              <w:t xml:space="preserve"> </w:t>
            </w:r>
            <w:r w:rsidR="00BB592C" w:rsidRPr="00E10392">
              <w:rPr>
                <w:rFonts w:ascii="Arial" w:hAnsi="Arial" w:cs="Arial"/>
                <w:b/>
                <w:sz w:val="20"/>
                <w:szCs w:val="20"/>
                <w:lang w:val="en-US"/>
              </w:rPr>
              <w:t>less than 5 months</w:t>
            </w:r>
          </w:p>
        </w:tc>
      </w:tr>
      <w:tr w:rsidR="00BB592C" w:rsidRPr="00E10392" w14:paraId="3EA7446E" w14:textId="77777777" w:rsidTr="000B095C">
        <w:trPr>
          <w:cantSplit/>
          <w:trHeight w:val="180"/>
        </w:trPr>
        <w:tc>
          <w:tcPr>
            <w:tcW w:w="656" w:type="pct"/>
            <w:vMerge/>
            <w:tcBorders>
              <w:left w:val="single" w:sz="4" w:space="0" w:color="auto"/>
              <w:bottom w:val="single" w:sz="4" w:space="0" w:color="auto"/>
              <w:right w:val="single" w:sz="4" w:space="0" w:color="auto"/>
            </w:tcBorders>
          </w:tcPr>
          <w:p w14:paraId="17022058"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Borders>
              <w:left w:val="single" w:sz="4" w:space="0" w:color="auto"/>
              <w:bottom w:val="single" w:sz="4" w:space="0" w:color="auto"/>
              <w:right w:val="single" w:sz="4" w:space="0" w:color="auto"/>
            </w:tcBorders>
          </w:tcPr>
          <w:p w14:paraId="479F8DEF" w14:textId="77777777" w:rsidR="00BB592C" w:rsidRPr="00E10392" w:rsidRDefault="00BB592C" w:rsidP="00330186">
            <w:pPr>
              <w:pStyle w:val="Default"/>
              <w:rPr>
                <w:rFonts w:ascii="Arial" w:hAnsi="Arial" w:cs="Arial"/>
                <w:sz w:val="20"/>
                <w:szCs w:val="20"/>
                <w:lang w:val="en-US"/>
              </w:rPr>
            </w:pPr>
          </w:p>
        </w:tc>
        <w:tc>
          <w:tcPr>
            <w:tcW w:w="477" w:type="pct"/>
            <w:vMerge/>
            <w:tcBorders>
              <w:left w:val="single" w:sz="4" w:space="0" w:color="auto"/>
              <w:bottom w:val="single" w:sz="4" w:space="0" w:color="auto"/>
              <w:right w:val="single" w:sz="4" w:space="0" w:color="auto"/>
            </w:tcBorders>
            <w:vAlign w:val="center"/>
          </w:tcPr>
          <w:p w14:paraId="4F14EBFB"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448" w:type="pct"/>
            <w:tcBorders>
              <w:top w:val="single" w:sz="4" w:space="0" w:color="auto"/>
              <w:left w:val="single" w:sz="4" w:space="0" w:color="auto"/>
              <w:bottom w:val="single" w:sz="4" w:space="0" w:color="auto"/>
              <w:right w:val="single" w:sz="4" w:space="0" w:color="auto"/>
            </w:tcBorders>
            <w:vAlign w:val="center"/>
          </w:tcPr>
          <w:p w14:paraId="70ADD412"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2172" w:type="pct"/>
            <w:tcBorders>
              <w:top w:val="single" w:sz="4" w:space="0" w:color="auto"/>
              <w:left w:val="single" w:sz="4" w:space="0" w:color="auto"/>
              <w:bottom w:val="single" w:sz="4" w:space="0" w:color="auto"/>
              <w:right w:val="single" w:sz="4" w:space="0" w:color="auto"/>
            </w:tcBorders>
          </w:tcPr>
          <w:p w14:paraId="57ADB936" w14:textId="118B7FDA" w:rsidR="00BB592C" w:rsidRPr="00E10392" w:rsidRDefault="007206E0" w:rsidP="00330186">
            <w:pPr>
              <w:pStyle w:val="Default"/>
              <w:rPr>
                <w:rFonts w:ascii="Arial" w:hAnsi="Arial" w:cs="Arial"/>
                <w:sz w:val="20"/>
                <w:szCs w:val="20"/>
                <w:lang w:val="en-US"/>
              </w:rPr>
            </w:pPr>
            <w:r>
              <w:rPr>
                <w:rFonts w:ascii="Arial" w:hAnsi="Arial" w:cs="Arial"/>
                <w:sz w:val="20"/>
                <w:szCs w:val="20"/>
                <w:lang w:val="en-US"/>
              </w:rPr>
              <w:t xml:space="preserve">Delivery </w:t>
            </w:r>
            <w:r w:rsidR="00A12620">
              <w:rPr>
                <w:rFonts w:ascii="Arial" w:hAnsi="Arial" w:cs="Arial"/>
                <w:sz w:val="20"/>
                <w:szCs w:val="20"/>
                <w:lang w:val="en-US"/>
              </w:rPr>
              <w:t xml:space="preserve">of </w:t>
            </w:r>
            <w:r w:rsidR="00A12620" w:rsidRPr="00E10392">
              <w:rPr>
                <w:rFonts w:ascii="Arial" w:hAnsi="Arial" w:cs="Arial"/>
                <w:sz w:val="20"/>
                <w:szCs w:val="20"/>
                <w:lang w:val="en-US"/>
              </w:rPr>
              <w:t>equipment</w:t>
            </w:r>
            <w:r>
              <w:rPr>
                <w:rFonts w:ascii="Arial" w:hAnsi="Arial" w:cs="Arial"/>
                <w:sz w:val="20"/>
                <w:szCs w:val="20"/>
                <w:lang w:val="en-US"/>
              </w:rPr>
              <w:t xml:space="preserve"> in period of</w:t>
            </w:r>
            <w:r w:rsidRPr="00E10392">
              <w:rPr>
                <w:rFonts w:ascii="Arial" w:hAnsi="Arial" w:cs="Arial"/>
                <w:sz w:val="20"/>
                <w:szCs w:val="20"/>
                <w:lang w:val="en-US"/>
              </w:rPr>
              <w:t xml:space="preserve"> </w:t>
            </w:r>
            <w:r w:rsidR="00BB592C" w:rsidRPr="00E10392">
              <w:rPr>
                <w:rFonts w:ascii="Arial" w:hAnsi="Arial" w:cs="Arial"/>
                <w:b/>
                <w:sz w:val="20"/>
                <w:szCs w:val="20"/>
                <w:lang w:val="en-US"/>
              </w:rPr>
              <w:t>less than 4 months</w:t>
            </w:r>
          </w:p>
        </w:tc>
      </w:tr>
      <w:tr w:rsidR="00BB592C" w:rsidRPr="00E10392" w14:paraId="209CF754" w14:textId="77777777" w:rsidTr="000B095C">
        <w:trPr>
          <w:cantSplit/>
          <w:trHeight w:val="180"/>
        </w:trPr>
        <w:tc>
          <w:tcPr>
            <w:tcW w:w="656" w:type="pct"/>
            <w:vMerge w:val="restart"/>
          </w:tcPr>
          <w:p w14:paraId="31F8F472"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2</w:t>
            </w:r>
          </w:p>
        </w:tc>
        <w:tc>
          <w:tcPr>
            <w:tcW w:w="1247" w:type="pct"/>
            <w:vMerge w:val="restart"/>
          </w:tcPr>
          <w:p w14:paraId="36C69401" w14:textId="14268845"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Installation period and commissioning of </w:t>
            </w:r>
            <w:r w:rsidR="000B095C" w:rsidRPr="000B095C">
              <w:rPr>
                <w:rFonts w:ascii="Arial" w:hAnsi="Arial" w:cs="Arial"/>
                <w:sz w:val="20"/>
                <w:szCs w:val="20"/>
                <w:lang w:val="en-US"/>
              </w:rPr>
              <w:t>Laser diffraction</w:t>
            </w:r>
            <w:r w:rsidR="000B095C">
              <w:rPr>
                <w:rFonts w:ascii="Arial" w:hAnsi="Arial" w:cs="Arial"/>
                <w:sz w:val="20"/>
                <w:szCs w:val="20"/>
                <w:lang w:val="en-US"/>
              </w:rPr>
              <w:t xml:space="preserve"> with </w:t>
            </w:r>
            <w:r w:rsidR="000B095C" w:rsidRPr="000B095C">
              <w:rPr>
                <w:rFonts w:ascii="Arial" w:hAnsi="Arial" w:cs="Arial"/>
                <w:sz w:val="20"/>
                <w:szCs w:val="20"/>
                <w:lang w:val="en-US"/>
              </w:rPr>
              <w:t>dynamic image analyser</w:t>
            </w:r>
          </w:p>
        </w:tc>
        <w:tc>
          <w:tcPr>
            <w:tcW w:w="477" w:type="pct"/>
            <w:vMerge w:val="restart"/>
            <w:vAlign w:val="center"/>
          </w:tcPr>
          <w:p w14:paraId="7B28B4FD"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448" w:type="pct"/>
            <w:vAlign w:val="center"/>
          </w:tcPr>
          <w:p w14:paraId="63B44AD0"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2" w:type="pct"/>
          </w:tcPr>
          <w:p w14:paraId="16A705FA" w14:textId="77777777"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Installation and commissioning period </w:t>
            </w:r>
            <w:r w:rsidRPr="00E10392">
              <w:rPr>
                <w:rFonts w:ascii="Arial" w:hAnsi="Arial" w:cs="Arial"/>
                <w:b/>
                <w:sz w:val="20"/>
                <w:szCs w:val="20"/>
                <w:lang w:val="en-US"/>
              </w:rPr>
              <w:t>more than 3 weeks</w:t>
            </w:r>
          </w:p>
        </w:tc>
      </w:tr>
      <w:tr w:rsidR="00BB592C" w:rsidRPr="00E10392" w14:paraId="78CBF45E" w14:textId="77777777" w:rsidTr="000B095C">
        <w:trPr>
          <w:cantSplit/>
          <w:trHeight w:val="180"/>
        </w:trPr>
        <w:tc>
          <w:tcPr>
            <w:tcW w:w="656" w:type="pct"/>
            <w:vMerge/>
          </w:tcPr>
          <w:p w14:paraId="40C90B23"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Pr>
          <w:p w14:paraId="7BBD0B56" w14:textId="77777777" w:rsidR="00BB592C" w:rsidRPr="00E10392" w:rsidRDefault="00BB592C" w:rsidP="00330186">
            <w:pPr>
              <w:pStyle w:val="Default"/>
              <w:rPr>
                <w:rFonts w:ascii="Arial" w:hAnsi="Arial" w:cs="Arial"/>
                <w:sz w:val="20"/>
                <w:szCs w:val="20"/>
                <w:lang w:val="en-US"/>
              </w:rPr>
            </w:pPr>
          </w:p>
        </w:tc>
        <w:tc>
          <w:tcPr>
            <w:tcW w:w="477" w:type="pct"/>
            <w:vMerge/>
            <w:vAlign w:val="center"/>
          </w:tcPr>
          <w:p w14:paraId="1E68E957"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448" w:type="pct"/>
            <w:vAlign w:val="center"/>
          </w:tcPr>
          <w:p w14:paraId="39CC7543"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2</w:t>
            </w:r>
          </w:p>
        </w:tc>
        <w:tc>
          <w:tcPr>
            <w:tcW w:w="2172" w:type="pct"/>
          </w:tcPr>
          <w:p w14:paraId="73BB7031" w14:textId="77777777"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Installation and commissioning period </w:t>
            </w:r>
            <w:r w:rsidRPr="00E10392">
              <w:rPr>
                <w:rFonts w:ascii="Arial" w:hAnsi="Arial" w:cs="Arial"/>
                <w:b/>
                <w:sz w:val="20"/>
                <w:szCs w:val="20"/>
                <w:lang w:val="en-US"/>
              </w:rPr>
              <w:t>less than 2 weeks</w:t>
            </w:r>
          </w:p>
        </w:tc>
      </w:tr>
      <w:tr w:rsidR="00BB592C" w:rsidRPr="00E10392" w14:paraId="0A901228" w14:textId="77777777" w:rsidTr="000B095C">
        <w:trPr>
          <w:cantSplit/>
          <w:trHeight w:val="180"/>
        </w:trPr>
        <w:tc>
          <w:tcPr>
            <w:tcW w:w="656" w:type="pct"/>
            <w:vMerge/>
          </w:tcPr>
          <w:p w14:paraId="436AC1FE"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Pr>
          <w:p w14:paraId="71A11340" w14:textId="77777777" w:rsidR="00BB592C" w:rsidRPr="00E10392" w:rsidRDefault="00BB592C" w:rsidP="00330186">
            <w:pPr>
              <w:pStyle w:val="Default"/>
              <w:rPr>
                <w:rFonts w:ascii="Arial" w:hAnsi="Arial" w:cs="Arial"/>
                <w:sz w:val="20"/>
                <w:szCs w:val="20"/>
                <w:lang w:val="en-US"/>
              </w:rPr>
            </w:pPr>
          </w:p>
        </w:tc>
        <w:tc>
          <w:tcPr>
            <w:tcW w:w="477" w:type="pct"/>
            <w:vMerge/>
            <w:vAlign w:val="center"/>
          </w:tcPr>
          <w:p w14:paraId="4B6C6041"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448" w:type="pct"/>
            <w:vAlign w:val="center"/>
          </w:tcPr>
          <w:p w14:paraId="17B58DEF"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5</w:t>
            </w:r>
          </w:p>
        </w:tc>
        <w:tc>
          <w:tcPr>
            <w:tcW w:w="2172" w:type="pct"/>
          </w:tcPr>
          <w:p w14:paraId="2B12C804" w14:textId="77777777"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Installation and commissioning period </w:t>
            </w:r>
            <w:r w:rsidRPr="00E10392">
              <w:rPr>
                <w:rFonts w:ascii="Arial" w:hAnsi="Arial" w:cs="Arial"/>
                <w:b/>
                <w:sz w:val="20"/>
                <w:szCs w:val="20"/>
                <w:lang w:val="en-US"/>
              </w:rPr>
              <w:t>less than 1 weeks</w:t>
            </w:r>
          </w:p>
        </w:tc>
      </w:tr>
      <w:tr w:rsidR="000B095C" w:rsidRPr="00E10392" w14:paraId="1F80B342" w14:textId="77777777" w:rsidTr="000B095C">
        <w:trPr>
          <w:cantSplit/>
          <w:trHeight w:val="620"/>
        </w:trPr>
        <w:tc>
          <w:tcPr>
            <w:tcW w:w="656" w:type="pct"/>
            <w:vMerge w:val="restart"/>
          </w:tcPr>
          <w:p w14:paraId="54152DB2" w14:textId="77777777" w:rsidR="000B095C" w:rsidRPr="00E10392" w:rsidRDefault="000B095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3</w:t>
            </w:r>
          </w:p>
        </w:tc>
        <w:tc>
          <w:tcPr>
            <w:tcW w:w="1247" w:type="pct"/>
            <w:vMerge w:val="restart"/>
          </w:tcPr>
          <w:p w14:paraId="4B86E319" w14:textId="77777777" w:rsidR="000B095C" w:rsidRPr="00E10392" w:rsidRDefault="000B095C" w:rsidP="00330186">
            <w:pPr>
              <w:pStyle w:val="aDSPara"/>
              <w:spacing w:before="60" w:after="60"/>
              <w:ind w:left="0"/>
              <w:jc w:val="left"/>
              <w:rPr>
                <w:rFonts w:cs="Arial"/>
                <w:color w:val="000000"/>
                <w:sz w:val="20"/>
                <w:szCs w:val="20"/>
                <w:lang w:val="en-US"/>
              </w:rPr>
            </w:pPr>
            <w:r w:rsidRPr="00E10392">
              <w:rPr>
                <w:rFonts w:cs="Arial"/>
                <w:color w:val="000000"/>
                <w:sz w:val="20"/>
                <w:szCs w:val="20"/>
                <w:lang w:val="en-US"/>
              </w:rPr>
              <w:t>Track Record</w:t>
            </w:r>
          </w:p>
          <w:p w14:paraId="10C32355" w14:textId="6420FB10" w:rsidR="000B095C" w:rsidRPr="00E10392" w:rsidRDefault="000B095C" w:rsidP="00330186">
            <w:pPr>
              <w:rPr>
                <w:iCs w:val="0"/>
                <w:color w:val="000000"/>
                <w:sz w:val="20"/>
                <w:szCs w:val="20"/>
                <w:lang w:val="en-US" w:eastAsia="en-US"/>
              </w:rPr>
            </w:pPr>
            <w:r w:rsidRPr="00E10392">
              <w:rPr>
                <w:iCs w:val="0"/>
                <w:color w:val="000000"/>
                <w:sz w:val="20"/>
                <w:szCs w:val="20"/>
                <w:lang w:val="en-US" w:eastAsia="en-US"/>
              </w:rPr>
              <w:t>Bidder</w:t>
            </w:r>
            <w:r w:rsidR="00CA248C">
              <w:rPr>
                <w:iCs w:val="0"/>
                <w:color w:val="000000"/>
                <w:sz w:val="20"/>
                <w:szCs w:val="20"/>
                <w:lang w:val="en-US" w:eastAsia="en-US"/>
              </w:rPr>
              <w:t xml:space="preserve"> must provide previous experience in </w:t>
            </w:r>
            <w:r w:rsidR="007206E0">
              <w:rPr>
                <w:iCs w:val="0"/>
                <w:color w:val="000000"/>
                <w:sz w:val="20"/>
                <w:szCs w:val="20"/>
                <w:lang w:val="en-US" w:eastAsia="en-US"/>
              </w:rPr>
              <w:t>the form</w:t>
            </w:r>
            <w:r w:rsidR="00CA248C">
              <w:rPr>
                <w:iCs w:val="0"/>
                <w:color w:val="000000"/>
                <w:sz w:val="20"/>
                <w:szCs w:val="20"/>
                <w:lang w:val="en-US" w:eastAsia="en-US"/>
              </w:rPr>
              <w:t xml:space="preserve"> of </w:t>
            </w:r>
            <w:r w:rsidR="00CA248C" w:rsidRPr="00E10392">
              <w:rPr>
                <w:color w:val="000000"/>
                <w:sz w:val="20"/>
                <w:szCs w:val="20"/>
                <w:lang w:val="en-US"/>
              </w:rPr>
              <w:t>reference letters</w:t>
            </w:r>
            <w:r w:rsidR="00CA248C">
              <w:rPr>
                <w:color w:val="000000"/>
                <w:sz w:val="20"/>
                <w:szCs w:val="20"/>
                <w:lang w:val="en-US"/>
              </w:rPr>
              <w:t xml:space="preserve"> and list of reference for </w:t>
            </w:r>
            <w:r w:rsidR="00CA248C" w:rsidRPr="00E10392">
              <w:rPr>
                <w:color w:val="000000"/>
                <w:sz w:val="20"/>
                <w:szCs w:val="20"/>
                <w:lang w:val="en-US"/>
              </w:rPr>
              <w:t xml:space="preserve"> </w:t>
            </w:r>
            <w:r w:rsidR="00CA248C">
              <w:rPr>
                <w:iCs w:val="0"/>
                <w:color w:val="000000"/>
                <w:sz w:val="20"/>
                <w:szCs w:val="20"/>
                <w:lang w:val="en-US" w:eastAsia="en-US"/>
              </w:rPr>
              <w:t xml:space="preserve">similar system supplied </w:t>
            </w:r>
            <w:r w:rsidRPr="00E10392">
              <w:rPr>
                <w:iCs w:val="0"/>
                <w:color w:val="000000"/>
                <w:sz w:val="20"/>
                <w:szCs w:val="20"/>
                <w:lang w:val="en-US" w:eastAsia="en-US"/>
              </w:rPr>
              <w:t>(the installation and service of</w:t>
            </w:r>
            <w:r w:rsidRPr="000B095C">
              <w:rPr>
                <w:sz w:val="20"/>
                <w:szCs w:val="20"/>
                <w:lang w:val="en-US"/>
              </w:rPr>
              <w:t xml:space="preserve"> Laser diffraction</w:t>
            </w:r>
            <w:r>
              <w:rPr>
                <w:sz w:val="20"/>
                <w:szCs w:val="20"/>
                <w:lang w:val="en-US"/>
              </w:rPr>
              <w:t xml:space="preserve"> with </w:t>
            </w:r>
            <w:r w:rsidRPr="000B095C">
              <w:rPr>
                <w:sz w:val="20"/>
                <w:szCs w:val="20"/>
                <w:lang w:val="en-US"/>
              </w:rPr>
              <w:t>dynamic image analyser</w:t>
            </w:r>
            <w:r w:rsidR="00CA248C">
              <w:rPr>
                <w:sz w:val="20"/>
                <w:szCs w:val="20"/>
                <w:lang w:val="en-US"/>
              </w:rPr>
              <w:t>.</w:t>
            </w:r>
          </w:p>
          <w:p w14:paraId="292F20EA" w14:textId="77777777" w:rsidR="000B095C" w:rsidRPr="00E10392" w:rsidRDefault="000B095C" w:rsidP="00330186">
            <w:pPr>
              <w:pStyle w:val="aDSPara"/>
              <w:spacing w:before="60" w:after="60"/>
              <w:ind w:left="0"/>
              <w:jc w:val="left"/>
              <w:rPr>
                <w:rFonts w:cs="Arial"/>
                <w:color w:val="000000"/>
                <w:sz w:val="20"/>
                <w:szCs w:val="20"/>
                <w:lang w:val="en-US"/>
              </w:rPr>
            </w:pPr>
          </w:p>
        </w:tc>
        <w:tc>
          <w:tcPr>
            <w:tcW w:w="477" w:type="pct"/>
            <w:vMerge w:val="restart"/>
            <w:vAlign w:val="center"/>
          </w:tcPr>
          <w:p w14:paraId="100E6ADB" w14:textId="469E1176" w:rsidR="000B095C" w:rsidRPr="00E10392" w:rsidRDefault="00CA248C" w:rsidP="00330186">
            <w:pPr>
              <w:pStyle w:val="aDSPara"/>
              <w:spacing w:before="60" w:after="60"/>
              <w:ind w:left="0"/>
              <w:jc w:val="center"/>
              <w:rPr>
                <w:rFonts w:cs="Arial"/>
                <w:color w:val="000000"/>
                <w:sz w:val="20"/>
                <w:szCs w:val="20"/>
                <w:lang w:val="en-US"/>
              </w:rPr>
            </w:pPr>
            <w:r>
              <w:rPr>
                <w:rFonts w:cs="Arial"/>
                <w:color w:val="000000"/>
                <w:sz w:val="20"/>
                <w:szCs w:val="20"/>
                <w:lang w:val="en-US"/>
              </w:rPr>
              <w:t>3</w:t>
            </w:r>
            <w:r w:rsidR="000B095C" w:rsidRPr="00E10392">
              <w:rPr>
                <w:rFonts w:cs="Arial"/>
                <w:color w:val="000000"/>
                <w:sz w:val="20"/>
                <w:szCs w:val="20"/>
                <w:lang w:val="en-US"/>
              </w:rPr>
              <w:t>0</w:t>
            </w:r>
          </w:p>
        </w:tc>
        <w:tc>
          <w:tcPr>
            <w:tcW w:w="448" w:type="pct"/>
            <w:vAlign w:val="center"/>
          </w:tcPr>
          <w:p w14:paraId="14260FBB" w14:textId="77777777" w:rsidR="000B095C" w:rsidRPr="00E10392" w:rsidRDefault="000B095C" w:rsidP="00330186">
            <w:pPr>
              <w:pStyle w:val="aDSPara"/>
              <w:spacing w:before="60" w:after="60"/>
              <w:ind w:left="0"/>
              <w:jc w:val="center"/>
              <w:rPr>
                <w:rFonts w:cs="Arial"/>
                <w:color w:val="000000"/>
                <w:sz w:val="20"/>
                <w:szCs w:val="20"/>
                <w:lang w:val="en-US"/>
              </w:rPr>
            </w:pPr>
            <w:r w:rsidRPr="00E10392">
              <w:rPr>
                <w:rFonts w:cs="Arial"/>
                <w:color w:val="000000"/>
                <w:sz w:val="20"/>
                <w:szCs w:val="20"/>
                <w:lang w:val="en-US"/>
              </w:rPr>
              <w:t>0</w:t>
            </w:r>
          </w:p>
        </w:tc>
        <w:tc>
          <w:tcPr>
            <w:tcW w:w="2172" w:type="pct"/>
          </w:tcPr>
          <w:p w14:paraId="133626F1" w14:textId="77777777" w:rsidR="000B095C" w:rsidRPr="00E10392" w:rsidRDefault="000B095C" w:rsidP="00330186">
            <w:pPr>
              <w:pStyle w:val="Default"/>
              <w:rPr>
                <w:rFonts w:ascii="Arial" w:hAnsi="Arial" w:cs="Arial"/>
                <w:sz w:val="20"/>
                <w:szCs w:val="20"/>
                <w:lang w:val="en-US"/>
              </w:rPr>
            </w:pPr>
            <w:r w:rsidRPr="00E10392">
              <w:rPr>
                <w:rFonts w:ascii="Arial" w:hAnsi="Arial" w:cs="Arial"/>
                <w:sz w:val="20"/>
                <w:szCs w:val="20"/>
                <w:lang w:val="en-US"/>
              </w:rPr>
              <w:t xml:space="preserve">Bidder has not executed and completed similar projects </w:t>
            </w:r>
          </w:p>
        </w:tc>
      </w:tr>
      <w:tr w:rsidR="000B095C" w:rsidRPr="00E10392" w14:paraId="431DE9A2" w14:textId="77777777" w:rsidTr="000B095C">
        <w:trPr>
          <w:cantSplit/>
          <w:trHeight w:val="1285"/>
        </w:trPr>
        <w:tc>
          <w:tcPr>
            <w:tcW w:w="656" w:type="pct"/>
            <w:vMerge/>
          </w:tcPr>
          <w:p w14:paraId="2769BE4C" w14:textId="77777777" w:rsidR="000B095C" w:rsidRPr="00E10392" w:rsidRDefault="000B095C" w:rsidP="00330186">
            <w:pPr>
              <w:pStyle w:val="aDSPara"/>
              <w:spacing w:before="60" w:after="60"/>
              <w:ind w:left="0"/>
              <w:jc w:val="center"/>
              <w:rPr>
                <w:rFonts w:eastAsia="MS Mincho" w:cs="Arial"/>
                <w:sz w:val="20"/>
                <w:szCs w:val="20"/>
                <w:lang w:val="en-US"/>
              </w:rPr>
            </w:pPr>
          </w:p>
        </w:tc>
        <w:tc>
          <w:tcPr>
            <w:tcW w:w="1247" w:type="pct"/>
            <w:vMerge/>
          </w:tcPr>
          <w:p w14:paraId="1EB642DA" w14:textId="77777777" w:rsidR="000B095C" w:rsidRPr="00E10392" w:rsidRDefault="000B095C" w:rsidP="00330186">
            <w:pPr>
              <w:pStyle w:val="aDSPara"/>
              <w:spacing w:before="60" w:after="60"/>
              <w:ind w:left="0"/>
              <w:jc w:val="left"/>
              <w:rPr>
                <w:rFonts w:cs="Arial"/>
                <w:color w:val="000000"/>
                <w:sz w:val="20"/>
                <w:szCs w:val="20"/>
                <w:lang w:val="en-US"/>
              </w:rPr>
            </w:pPr>
          </w:p>
        </w:tc>
        <w:tc>
          <w:tcPr>
            <w:tcW w:w="477" w:type="pct"/>
            <w:vMerge/>
            <w:vAlign w:val="center"/>
          </w:tcPr>
          <w:p w14:paraId="512F657C" w14:textId="77777777" w:rsidR="000B095C" w:rsidRPr="00E10392" w:rsidRDefault="000B095C" w:rsidP="00330186">
            <w:pPr>
              <w:pStyle w:val="aDSPara"/>
              <w:spacing w:before="60" w:after="60"/>
              <w:ind w:left="0"/>
              <w:jc w:val="center"/>
              <w:rPr>
                <w:rFonts w:cs="Arial"/>
                <w:color w:val="000000"/>
                <w:sz w:val="20"/>
                <w:szCs w:val="20"/>
                <w:lang w:val="en-US"/>
              </w:rPr>
            </w:pPr>
          </w:p>
        </w:tc>
        <w:tc>
          <w:tcPr>
            <w:tcW w:w="448" w:type="pct"/>
            <w:vAlign w:val="center"/>
          </w:tcPr>
          <w:p w14:paraId="22551A0B" w14:textId="2A63C60E" w:rsidR="000B095C" w:rsidRPr="00E10392" w:rsidRDefault="000B095C" w:rsidP="00330186">
            <w:pPr>
              <w:pStyle w:val="aDSPara"/>
              <w:spacing w:before="60" w:after="60"/>
              <w:ind w:left="0"/>
              <w:jc w:val="center"/>
              <w:rPr>
                <w:rFonts w:cs="Arial"/>
                <w:color w:val="000000"/>
                <w:sz w:val="20"/>
                <w:szCs w:val="20"/>
                <w:lang w:val="en-US"/>
              </w:rPr>
            </w:pPr>
            <w:r>
              <w:rPr>
                <w:rFonts w:cs="Arial"/>
                <w:color w:val="000000"/>
                <w:sz w:val="20"/>
                <w:szCs w:val="20"/>
                <w:lang w:val="en-US"/>
              </w:rPr>
              <w:t>1</w:t>
            </w:r>
            <w:r w:rsidR="00CA248C">
              <w:rPr>
                <w:rFonts w:cs="Arial"/>
                <w:color w:val="000000"/>
                <w:sz w:val="20"/>
                <w:szCs w:val="20"/>
                <w:lang w:val="en-US"/>
              </w:rPr>
              <w:t>5</w:t>
            </w:r>
          </w:p>
        </w:tc>
        <w:tc>
          <w:tcPr>
            <w:tcW w:w="2172" w:type="pct"/>
          </w:tcPr>
          <w:p w14:paraId="35D4E33A" w14:textId="4909943B" w:rsidR="000B095C" w:rsidRPr="00E10392" w:rsidRDefault="000B095C" w:rsidP="00330186">
            <w:pPr>
              <w:pStyle w:val="Default"/>
              <w:rPr>
                <w:rFonts w:ascii="Arial" w:hAnsi="Arial" w:cs="Arial"/>
                <w:sz w:val="20"/>
                <w:szCs w:val="20"/>
                <w:lang w:val="en-US"/>
              </w:rPr>
            </w:pPr>
            <w:r w:rsidRPr="00E10392">
              <w:rPr>
                <w:rFonts w:ascii="Arial" w:hAnsi="Arial" w:cs="Arial"/>
                <w:sz w:val="20"/>
                <w:szCs w:val="20"/>
                <w:lang w:val="en-US"/>
              </w:rPr>
              <w:t>Bidder has executed and completed &lt;3 (provide list with details – must include place, date, contact person and contact number) similar projects to scope of work and with a minimum of 1 reference (letters) from the listed.</w:t>
            </w:r>
          </w:p>
        </w:tc>
      </w:tr>
      <w:tr w:rsidR="000B095C" w:rsidRPr="00E10392" w14:paraId="0264A62A" w14:textId="77777777" w:rsidTr="000B095C">
        <w:trPr>
          <w:cantSplit/>
          <w:trHeight w:val="549"/>
        </w:trPr>
        <w:tc>
          <w:tcPr>
            <w:tcW w:w="656" w:type="pct"/>
            <w:vMerge/>
          </w:tcPr>
          <w:p w14:paraId="6D98C337" w14:textId="77777777" w:rsidR="000B095C" w:rsidRPr="00E10392" w:rsidRDefault="000B095C" w:rsidP="00330186">
            <w:pPr>
              <w:pStyle w:val="aDSPara"/>
              <w:spacing w:before="60" w:after="60"/>
              <w:ind w:left="0"/>
              <w:jc w:val="center"/>
              <w:rPr>
                <w:rFonts w:eastAsia="MS Mincho" w:cs="Arial"/>
                <w:sz w:val="20"/>
                <w:szCs w:val="20"/>
                <w:lang w:val="en-US"/>
              </w:rPr>
            </w:pPr>
          </w:p>
        </w:tc>
        <w:tc>
          <w:tcPr>
            <w:tcW w:w="1247" w:type="pct"/>
            <w:vMerge/>
          </w:tcPr>
          <w:p w14:paraId="18860D3E" w14:textId="77777777" w:rsidR="000B095C" w:rsidRPr="00E10392" w:rsidRDefault="000B095C" w:rsidP="00330186">
            <w:pPr>
              <w:pStyle w:val="aDSPara"/>
              <w:spacing w:before="60" w:after="60"/>
              <w:ind w:left="0"/>
              <w:jc w:val="left"/>
              <w:rPr>
                <w:rFonts w:cs="Arial"/>
                <w:color w:val="000000"/>
                <w:sz w:val="20"/>
                <w:szCs w:val="20"/>
                <w:lang w:val="en-US"/>
              </w:rPr>
            </w:pPr>
          </w:p>
        </w:tc>
        <w:tc>
          <w:tcPr>
            <w:tcW w:w="477" w:type="pct"/>
            <w:vMerge/>
            <w:vAlign w:val="center"/>
          </w:tcPr>
          <w:p w14:paraId="69B6CB87" w14:textId="77777777" w:rsidR="000B095C" w:rsidRPr="00E10392" w:rsidRDefault="000B095C" w:rsidP="00330186">
            <w:pPr>
              <w:pStyle w:val="aDSPara"/>
              <w:spacing w:before="60" w:after="60"/>
              <w:ind w:left="0"/>
              <w:jc w:val="center"/>
              <w:rPr>
                <w:rFonts w:cs="Arial"/>
                <w:color w:val="000000"/>
                <w:sz w:val="20"/>
                <w:szCs w:val="20"/>
                <w:lang w:val="en-US"/>
              </w:rPr>
            </w:pPr>
          </w:p>
        </w:tc>
        <w:tc>
          <w:tcPr>
            <w:tcW w:w="448" w:type="pct"/>
            <w:vAlign w:val="center"/>
          </w:tcPr>
          <w:p w14:paraId="24AAE93D" w14:textId="53313A3E" w:rsidR="000B095C" w:rsidRPr="00E10392" w:rsidRDefault="00CA248C" w:rsidP="00330186">
            <w:pPr>
              <w:pStyle w:val="aDSPara"/>
              <w:spacing w:before="60" w:after="60"/>
              <w:ind w:left="0"/>
              <w:jc w:val="center"/>
              <w:rPr>
                <w:rFonts w:cs="Arial"/>
                <w:color w:val="000000"/>
                <w:sz w:val="20"/>
                <w:szCs w:val="20"/>
                <w:lang w:val="en-US"/>
              </w:rPr>
            </w:pPr>
            <w:r>
              <w:rPr>
                <w:rFonts w:cs="Arial"/>
                <w:color w:val="000000"/>
                <w:sz w:val="20"/>
                <w:szCs w:val="20"/>
                <w:lang w:val="en-US"/>
              </w:rPr>
              <w:t>3</w:t>
            </w:r>
            <w:r w:rsidR="000B095C" w:rsidRPr="00E10392">
              <w:rPr>
                <w:rFonts w:cs="Arial"/>
                <w:color w:val="000000"/>
                <w:sz w:val="20"/>
                <w:szCs w:val="20"/>
                <w:lang w:val="en-US"/>
              </w:rPr>
              <w:t>0</w:t>
            </w:r>
          </w:p>
        </w:tc>
        <w:tc>
          <w:tcPr>
            <w:tcW w:w="2172" w:type="pct"/>
          </w:tcPr>
          <w:p w14:paraId="4BC291EA" w14:textId="77777777" w:rsidR="000B095C" w:rsidRPr="00E10392" w:rsidRDefault="000B095C" w:rsidP="00330186">
            <w:pPr>
              <w:pStyle w:val="Default"/>
              <w:rPr>
                <w:rFonts w:ascii="Arial" w:hAnsi="Arial" w:cs="Arial"/>
                <w:sz w:val="20"/>
                <w:szCs w:val="20"/>
                <w:lang w:val="en-US"/>
              </w:rPr>
            </w:pPr>
            <w:r w:rsidRPr="00E10392">
              <w:rPr>
                <w:rFonts w:ascii="Arial" w:hAnsi="Arial" w:cs="Arial"/>
                <w:sz w:val="20"/>
                <w:szCs w:val="20"/>
                <w:lang w:val="en-US"/>
              </w:rPr>
              <w:t>Bidder has executed and completed 4-10 (provide list with details – must include place, date, contact person and contact number) similar projects to scope of work and with a minimum of 2 references (letters) from the listed.</w:t>
            </w:r>
          </w:p>
        </w:tc>
      </w:tr>
      <w:tr w:rsidR="00BB592C" w:rsidRPr="00E10392" w14:paraId="640B4930" w14:textId="77777777" w:rsidTr="000B095C">
        <w:trPr>
          <w:cantSplit/>
          <w:trHeight w:val="594"/>
        </w:trPr>
        <w:tc>
          <w:tcPr>
            <w:tcW w:w="656" w:type="pct"/>
            <w:vMerge w:val="restart"/>
          </w:tcPr>
          <w:p w14:paraId="168EC7BF" w14:textId="20E185FD" w:rsidR="00BB592C" w:rsidRPr="00E10392" w:rsidRDefault="007206E0" w:rsidP="00330186">
            <w:pPr>
              <w:pStyle w:val="aDSPara"/>
              <w:spacing w:before="60" w:after="60"/>
              <w:ind w:left="0"/>
              <w:jc w:val="center"/>
              <w:rPr>
                <w:rFonts w:eastAsia="MS Mincho" w:cs="Arial"/>
                <w:sz w:val="20"/>
                <w:szCs w:val="20"/>
                <w:lang w:val="en-US"/>
              </w:rPr>
            </w:pPr>
            <w:r>
              <w:rPr>
                <w:rFonts w:eastAsia="MS Mincho" w:cs="Arial"/>
                <w:sz w:val="20"/>
                <w:szCs w:val="20"/>
                <w:lang w:val="en-US"/>
              </w:rPr>
              <w:t>4</w:t>
            </w:r>
          </w:p>
        </w:tc>
        <w:tc>
          <w:tcPr>
            <w:tcW w:w="1247" w:type="pct"/>
            <w:vMerge w:val="restart"/>
          </w:tcPr>
          <w:p w14:paraId="7E91A700" w14:textId="0A8161AC"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Training of Operator on </w:t>
            </w:r>
            <w:r w:rsidR="001669B4">
              <w:rPr>
                <w:rFonts w:ascii="Arial" w:hAnsi="Arial" w:cs="Arial"/>
                <w:sz w:val="20"/>
                <w:szCs w:val="20"/>
                <w:lang w:val="en-US"/>
              </w:rPr>
              <w:t>Particle size and shape analyses</w:t>
            </w:r>
          </w:p>
          <w:p w14:paraId="34C0A92E" w14:textId="77777777" w:rsidR="00BB592C" w:rsidRPr="00E10392" w:rsidRDefault="00BB592C" w:rsidP="00330186">
            <w:pPr>
              <w:pStyle w:val="Default"/>
              <w:rPr>
                <w:rFonts w:ascii="Arial" w:hAnsi="Arial" w:cs="Arial"/>
                <w:sz w:val="20"/>
                <w:szCs w:val="20"/>
                <w:lang w:val="en-US"/>
              </w:rPr>
            </w:pPr>
          </w:p>
        </w:tc>
        <w:tc>
          <w:tcPr>
            <w:tcW w:w="477" w:type="pct"/>
            <w:vMerge w:val="restart"/>
            <w:vAlign w:val="center"/>
          </w:tcPr>
          <w:p w14:paraId="5E271F0E" w14:textId="77777777" w:rsidR="00BB592C" w:rsidRPr="00E10392" w:rsidRDefault="00BB592C" w:rsidP="00330186">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20</w:t>
            </w:r>
          </w:p>
        </w:tc>
        <w:tc>
          <w:tcPr>
            <w:tcW w:w="448" w:type="pct"/>
            <w:vAlign w:val="center"/>
          </w:tcPr>
          <w:p w14:paraId="1DDF31A8"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2" w:type="pct"/>
          </w:tcPr>
          <w:p w14:paraId="1680BE25" w14:textId="3BB4EEDB" w:rsidR="00BB592C" w:rsidRPr="00E10392" w:rsidRDefault="00BB592C" w:rsidP="00330186">
            <w:pPr>
              <w:pStyle w:val="Default"/>
              <w:jc w:val="both"/>
              <w:rPr>
                <w:rFonts w:ascii="Arial" w:hAnsi="Arial" w:cs="Arial"/>
                <w:sz w:val="20"/>
                <w:szCs w:val="20"/>
                <w:lang w:val="en-US"/>
              </w:rPr>
            </w:pPr>
            <w:r w:rsidRPr="00E10392">
              <w:rPr>
                <w:rFonts w:ascii="Arial" w:hAnsi="Arial" w:cs="Arial"/>
                <w:sz w:val="20"/>
                <w:szCs w:val="20"/>
                <w:lang w:val="en-US"/>
              </w:rPr>
              <w:t>No Training</w:t>
            </w:r>
            <w:r w:rsidR="00CA248C">
              <w:rPr>
                <w:rFonts w:ascii="Arial" w:hAnsi="Arial" w:cs="Arial"/>
                <w:sz w:val="20"/>
                <w:szCs w:val="20"/>
                <w:lang w:val="en-US"/>
              </w:rPr>
              <w:t xml:space="preserve">  </w:t>
            </w:r>
          </w:p>
        </w:tc>
      </w:tr>
      <w:tr w:rsidR="00BB592C" w:rsidRPr="00E10392" w14:paraId="12A17C14" w14:textId="77777777" w:rsidTr="000B095C">
        <w:trPr>
          <w:cantSplit/>
          <w:trHeight w:val="757"/>
        </w:trPr>
        <w:tc>
          <w:tcPr>
            <w:tcW w:w="656" w:type="pct"/>
            <w:vMerge/>
          </w:tcPr>
          <w:p w14:paraId="200395AC"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Pr>
          <w:p w14:paraId="4491BC27" w14:textId="77777777" w:rsidR="00BB592C" w:rsidRPr="00E10392" w:rsidRDefault="00BB592C" w:rsidP="00330186">
            <w:pPr>
              <w:pStyle w:val="Default"/>
              <w:rPr>
                <w:rFonts w:ascii="Arial" w:hAnsi="Arial" w:cs="Arial"/>
                <w:sz w:val="20"/>
                <w:szCs w:val="20"/>
                <w:lang w:val="en-US"/>
              </w:rPr>
            </w:pPr>
          </w:p>
        </w:tc>
        <w:tc>
          <w:tcPr>
            <w:tcW w:w="477" w:type="pct"/>
            <w:vMerge/>
            <w:vAlign w:val="center"/>
          </w:tcPr>
          <w:p w14:paraId="25EC07C0" w14:textId="77777777" w:rsidR="00BB592C" w:rsidRPr="00E10392" w:rsidRDefault="00BB592C" w:rsidP="00330186">
            <w:pPr>
              <w:pStyle w:val="aDSPara"/>
              <w:spacing w:before="60" w:after="60"/>
              <w:ind w:left="0"/>
              <w:jc w:val="center"/>
              <w:rPr>
                <w:rFonts w:eastAsia="MS Mincho" w:cs="Arial"/>
                <w:bCs/>
                <w:color w:val="000000"/>
                <w:sz w:val="20"/>
                <w:szCs w:val="20"/>
                <w:lang w:val="en-US"/>
              </w:rPr>
            </w:pPr>
          </w:p>
        </w:tc>
        <w:tc>
          <w:tcPr>
            <w:tcW w:w="448" w:type="pct"/>
            <w:vAlign w:val="center"/>
          </w:tcPr>
          <w:p w14:paraId="6AF21395"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10</w:t>
            </w:r>
          </w:p>
        </w:tc>
        <w:tc>
          <w:tcPr>
            <w:tcW w:w="2172" w:type="pct"/>
          </w:tcPr>
          <w:p w14:paraId="63E63C3A" w14:textId="77777777" w:rsidR="00BB592C" w:rsidRPr="00E10392" w:rsidRDefault="00BB592C" w:rsidP="00330186">
            <w:pPr>
              <w:pStyle w:val="Default"/>
              <w:jc w:val="both"/>
              <w:rPr>
                <w:rFonts w:ascii="Arial" w:hAnsi="Arial" w:cs="Arial"/>
                <w:sz w:val="20"/>
                <w:szCs w:val="20"/>
                <w:lang w:val="en-US"/>
              </w:rPr>
            </w:pPr>
            <w:r w:rsidRPr="00E10392">
              <w:rPr>
                <w:rFonts w:ascii="Arial" w:hAnsi="Arial" w:cs="Arial"/>
                <w:sz w:val="20"/>
                <w:szCs w:val="20"/>
                <w:lang w:val="en-US"/>
              </w:rPr>
              <w:t xml:space="preserve">Training provided by application specialist on site </w:t>
            </w:r>
          </w:p>
        </w:tc>
      </w:tr>
      <w:tr w:rsidR="00BB592C" w:rsidRPr="00E10392" w14:paraId="5F73219C" w14:textId="77777777" w:rsidTr="000B095C">
        <w:trPr>
          <w:cantSplit/>
          <w:trHeight w:val="537"/>
        </w:trPr>
        <w:tc>
          <w:tcPr>
            <w:tcW w:w="656" w:type="pct"/>
            <w:vMerge/>
          </w:tcPr>
          <w:p w14:paraId="5821BA2B"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Pr>
          <w:p w14:paraId="20EFF896" w14:textId="77777777" w:rsidR="00BB592C" w:rsidRPr="00E10392" w:rsidRDefault="00BB592C" w:rsidP="00330186">
            <w:pPr>
              <w:pStyle w:val="Default"/>
              <w:rPr>
                <w:rFonts w:ascii="Arial" w:hAnsi="Arial" w:cs="Arial"/>
                <w:sz w:val="20"/>
                <w:szCs w:val="20"/>
                <w:lang w:val="en-US"/>
              </w:rPr>
            </w:pPr>
          </w:p>
        </w:tc>
        <w:tc>
          <w:tcPr>
            <w:tcW w:w="477" w:type="pct"/>
            <w:vMerge/>
            <w:vAlign w:val="center"/>
          </w:tcPr>
          <w:p w14:paraId="31205AB9" w14:textId="77777777" w:rsidR="00BB592C" w:rsidRPr="00E10392" w:rsidRDefault="00BB592C" w:rsidP="00330186">
            <w:pPr>
              <w:pStyle w:val="aDSPara"/>
              <w:spacing w:before="60" w:after="60"/>
              <w:ind w:left="0"/>
              <w:jc w:val="center"/>
              <w:rPr>
                <w:rFonts w:eastAsia="MS Mincho" w:cs="Arial"/>
                <w:bCs/>
                <w:color w:val="000000"/>
                <w:sz w:val="20"/>
                <w:szCs w:val="20"/>
                <w:lang w:val="en-US"/>
              </w:rPr>
            </w:pPr>
          </w:p>
        </w:tc>
        <w:tc>
          <w:tcPr>
            <w:tcW w:w="448" w:type="pct"/>
            <w:vAlign w:val="center"/>
          </w:tcPr>
          <w:p w14:paraId="414548F1"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20</w:t>
            </w:r>
          </w:p>
        </w:tc>
        <w:tc>
          <w:tcPr>
            <w:tcW w:w="2172" w:type="pct"/>
          </w:tcPr>
          <w:p w14:paraId="1A0C284F" w14:textId="2379FBEF" w:rsidR="00BB592C" w:rsidRPr="00E10392" w:rsidRDefault="00BB592C" w:rsidP="00330186">
            <w:pPr>
              <w:pStyle w:val="Default"/>
              <w:jc w:val="both"/>
              <w:rPr>
                <w:rFonts w:ascii="Arial" w:hAnsi="Arial" w:cs="Arial"/>
                <w:sz w:val="20"/>
                <w:szCs w:val="20"/>
                <w:lang w:val="en-US"/>
              </w:rPr>
            </w:pPr>
            <w:r w:rsidRPr="00E10392">
              <w:rPr>
                <w:rFonts w:ascii="Arial" w:hAnsi="Arial" w:cs="Arial"/>
                <w:sz w:val="20"/>
                <w:szCs w:val="20"/>
                <w:lang w:val="en-US"/>
              </w:rPr>
              <w:t xml:space="preserve">Factory training at manufacturing </w:t>
            </w:r>
            <w:r w:rsidR="00A12620" w:rsidRPr="00E10392">
              <w:rPr>
                <w:rFonts w:ascii="Arial" w:hAnsi="Arial" w:cs="Arial"/>
                <w:sz w:val="20"/>
                <w:szCs w:val="20"/>
                <w:lang w:val="en-US"/>
              </w:rPr>
              <w:t>sites</w:t>
            </w:r>
            <w:r w:rsidRPr="00E10392">
              <w:rPr>
                <w:rFonts w:ascii="Arial" w:hAnsi="Arial" w:cs="Arial"/>
                <w:sz w:val="20"/>
                <w:szCs w:val="20"/>
                <w:lang w:val="en-US"/>
              </w:rPr>
              <w:t xml:space="preserve"> on performing instrument operation and theoretical background with training certificate to be issued on completion.</w:t>
            </w:r>
          </w:p>
        </w:tc>
      </w:tr>
      <w:tr w:rsidR="00BB592C" w:rsidRPr="00E10392" w14:paraId="54E7FE75" w14:textId="77777777" w:rsidTr="000B095C">
        <w:trPr>
          <w:cantSplit/>
          <w:trHeight w:val="537"/>
        </w:trPr>
        <w:tc>
          <w:tcPr>
            <w:tcW w:w="656" w:type="pct"/>
            <w:vMerge w:val="restart"/>
          </w:tcPr>
          <w:p w14:paraId="5EDD3F60" w14:textId="0DBB3EDC" w:rsidR="00BB592C" w:rsidRPr="00E10392" w:rsidRDefault="007206E0" w:rsidP="00330186">
            <w:pPr>
              <w:pStyle w:val="aDSPara"/>
              <w:spacing w:before="60" w:after="60"/>
              <w:ind w:left="0"/>
              <w:jc w:val="center"/>
              <w:rPr>
                <w:rFonts w:eastAsia="MS Mincho" w:cs="Arial"/>
                <w:sz w:val="20"/>
                <w:szCs w:val="20"/>
                <w:lang w:val="en-US"/>
              </w:rPr>
            </w:pPr>
            <w:r>
              <w:rPr>
                <w:rFonts w:eastAsia="MS Mincho" w:cs="Arial"/>
                <w:sz w:val="20"/>
                <w:szCs w:val="20"/>
                <w:lang w:val="en-US"/>
              </w:rPr>
              <w:t>5</w:t>
            </w:r>
          </w:p>
        </w:tc>
        <w:tc>
          <w:tcPr>
            <w:tcW w:w="1247" w:type="pct"/>
            <w:vMerge w:val="restart"/>
          </w:tcPr>
          <w:p w14:paraId="68D540AE" w14:textId="0AE7DF8B" w:rsidR="00BB592C" w:rsidRPr="00E10392" w:rsidRDefault="00BB592C" w:rsidP="00330186">
            <w:pPr>
              <w:pStyle w:val="Default"/>
              <w:rPr>
                <w:rFonts w:ascii="Arial" w:hAnsi="Arial" w:cs="Arial"/>
                <w:sz w:val="20"/>
                <w:szCs w:val="20"/>
                <w:lang w:val="en-US"/>
              </w:rPr>
            </w:pPr>
            <w:r w:rsidRPr="00E10392">
              <w:rPr>
                <w:rFonts w:ascii="Arial" w:hAnsi="Arial" w:cs="Arial"/>
                <w:sz w:val="20"/>
                <w:szCs w:val="20"/>
                <w:lang w:val="en-US"/>
              </w:rPr>
              <w:t xml:space="preserve">Support Turnaround time for Sudden Breakdowns of </w:t>
            </w:r>
            <w:r w:rsidR="001669B4" w:rsidRPr="001669B4">
              <w:rPr>
                <w:rFonts w:ascii="Arial" w:hAnsi="Arial" w:cs="Arial"/>
                <w:sz w:val="20"/>
                <w:szCs w:val="20"/>
                <w:lang w:val="en-US"/>
              </w:rPr>
              <w:t>Particle Size Analyzer</w:t>
            </w:r>
            <w:r w:rsidR="00A12620">
              <w:rPr>
                <w:rFonts w:ascii="Arial" w:hAnsi="Arial" w:cs="Arial"/>
                <w:sz w:val="20"/>
                <w:szCs w:val="20"/>
                <w:lang w:val="en-US"/>
              </w:rPr>
              <w:t xml:space="preserve"> (submit written confirmation/statement)</w:t>
            </w:r>
          </w:p>
        </w:tc>
        <w:tc>
          <w:tcPr>
            <w:tcW w:w="477" w:type="pct"/>
            <w:vMerge w:val="restart"/>
            <w:vAlign w:val="center"/>
          </w:tcPr>
          <w:p w14:paraId="581F483F" w14:textId="77777777" w:rsidR="00BB592C" w:rsidRPr="00E10392" w:rsidRDefault="00BB592C" w:rsidP="00330186">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30</w:t>
            </w:r>
          </w:p>
        </w:tc>
        <w:tc>
          <w:tcPr>
            <w:tcW w:w="448" w:type="pct"/>
            <w:vAlign w:val="center"/>
          </w:tcPr>
          <w:p w14:paraId="43238E73"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2" w:type="pct"/>
          </w:tcPr>
          <w:p w14:paraId="461CAB64" w14:textId="77777777" w:rsidR="00BB592C" w:rsidRPr="00E10392" w:rsidRDefault="00BB592C" w:rsidP="00330186">
            <w:pPr>
              <w:pStyle w:val="Default"/>
              <w:jc w:val="both"/>
              <w:rPr>
                <w:rFonts w:ascii="Arial" w:hAnsi="Arial" w:cs="Arial"/>
                <w:sz w:val="20"/>
                <w:szCs w:val="20"/>
                <w:lang w:val="en-US"/>
              </w:rPr>
            </w:pPr>
            <w:r w:rsidRPr="00E10392">
              <w:rPr>
                <w:rFonts w:ascii="Arial" w:hAnsi="Arial" w:cs="Arial"/>
                <w:sz w:val="20"/>
                <w:szCs w:val="20"/>
                <w:lang w:val="en-US"/>
              </w:rPr>
              <w:t>Over 48 Hours</w:t>
            </w:r>
          </w:p>
        </w:tc>
      </w:tr>
      <w:tr w:rsidR="00BB592C" w:rsidRPr="00E10392" w14:paraId="2F10FC99" w14:textId="77777777" w:rsidTr="000B095C">
        <w:trPr>
          <w:cantSplit/>
          <w:trHeight w:val="537"/>
        </w:trPr>
        <w:tc>
          <w:tcPr>
            <w:tcW w:w="656" w:type="pct"/>
            <w:vMerge/>
          </w:tcPr>
          <w:p w14:paraId="6319B441"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Pr>
          <w:p w14:paraId="6C251513" w14:textId="77777777" w:rsidR="00BB592C" w:rsidRPr="00E10392" w:rsidRDefault="00BB592C" w:rsidP="00330186">
            <w:pPr>
              <w:pStyle w:val="Default"/>
              <w:rPr>
                <w:rFonts w:ascii="Arial" w:hAnsi="Arial" w:cs="Arial"/>
                <w:sz w:val="20"/>
                <w:szCs w:val="20"/>
                <w:lang w:val="en-US"/>
              </w:rPr>
            </w:pPr>
          </w:p>
        </w:tc>
        <w:tc>
          <w:tcPr>
            <w:tcW w:w="477" w:type="pct"/>
            <w:vMerge/>
            <w:vAlign w:val="center"/>
          </w:tcPr>
          <w:p w14:paraId="65A67695" w14:textId="77777777" w:rsidR="00BB592C" w:rsidRPr="00E10392" w:rsidRDefault="00BB592C" w:rsidP="00330186">
            <w:pPr>
              <w:pStyle w:val="aDSPara"/>
              <w:spacing w:before="60" w:after="60"/>
              <w:ind w:left="0"/>
              <w:jc w:val="center"/>
              <w:rPr>
                <w:rFonts w:eastAsia="MS Mincho" w:cs="Arial"/>
                <w:bCs/>
                <w:color w:val="000000"/>
                <w:sz w:val="20"/>
                <w:szCs w:val="20"/>
                <w:lang w:val="en-US"/>
              </w:rPr>
            </w:pPr>
          </w:p>
        </w:tc>
        <w:tc>
          <w:tcPr>
            <w:tcW w:w="448" w:type="pct"/>
            <w:vAlign w:val="center"/>
          </w:tcPr>
          <w:p w14:paraId="3E20158F"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15</w:t>
            </w:r>
          </w:p>
        </w:tc>
        <w:tc>
          <w:tcPr>
            <w:tcW w:w="2172" w:type="pct"/>
          </w:tcPr>
          <w:p w14:paraId="6FE7EA36" w14:textId="77777777" w:rsidR="00BB592C" w:rsidRPr="00E10392" w:rsidRDefault="00BB592C" w:rsidP="00330186">
            <w:pPr>
              <w:pStyle w:val="Default"/>
              <w:jc w:val="both"/>
              <w:rPr>
                <w:rFonts w:ascii="Arial" w:hAnsi="Arial" w:cs="Arial"/>
                <w:sz w:val="20"/>
                <w:szCs w:val="20"/>
                <w:lang w:val="en-US"/>
              </w:rPr>
            </w:pPr>
            <w:r w:rsidRPr="00E10392">
              <w:rPr>
                <w:rFonts w:ascii="Arial" w:hAnsi="Arial" w:cs="Arial"/>
                <w:sz w:val="20"/>
                <w:szCs w:val="20"/>
                <w:lang w:val="en-US"/>
              </w:rPr>
              <w:t>Within 48 hours</w:t>
            </w:r>
          </w:p>
        </w:tc>
      </w:tr>
      <w:tr w:rsidR="00BB592C" w:rsidRPr="00E10392" w14:paraId="325CB46C" w14:textId="77777777" w:rsidTr="000B095C">
        <w:trPr>
          <w:cantSplit/>
          <w:trHeight w:val="537"/>
        </w:trPr>
        <w:tc>
          <w:tcPr>
            <w:tcW w:w="656" w:type="pct"/>
            <w:vMerge/>
          </w:tcPr>
          <w:p w14:paraId="39B75179" w14:textId="77777777" w:rsidR="00BB592C" w:rsidRPr="00E10392" w:rsidRDefault="00BB592C" w:rsidP="00330186">
            <w:pPr>
              <w:pStyle w:val="aDSPara"/>
              <w:spacing w:before="60" w:after="60"/>
              <w:ind w:left="0"/>
              <w:jc w:val="center"/>
              <w:rPr>
                <w:rFonts w:eastAsia="MS Mincho" w:cs="Arial"/>
                <w:sz w:val="20"/>
                <w:szCs w:val="20"/>
                <w:lang w:val="en-US"/>
              </w:rPr>
            </w:pPr>
          </w:p>
        </w:tc>
        <w:tc>
          <w:tcPr>
            <w:tcW w:w="1247" w:type="pct"/>
            <w:vMerge/>
          </w:tcPr>
          <w:p w14:paraId="48BD6B45" w14:textId="77777777" w:rsidR="00BB592C" w:rsidRPr="00E10392" w:rsidRDefault="00BB592C" w:rsidP="00330186">
            <w:pPr>
              <w:pStyle w:val="Default"/>
              <w:rPr>
                <w:rFonts w:ascii="Arial" w:hAnsi="Arial" w:cs="Arial"/>
                <w:sz w:val="20"/>
                <w:szCs w:val="20"/>
                <w:lang w:val="en-US"/>
              </w:rPr>
            </w:pPr>
          </w:p>
        </w:tc>
        <w:tc>
          <w:tcPr>
            <w:tcW w:w="477" w:type="pct"/>
            <w:vMerge/>
            <w:vAlign w:val="center"/>
          </w:tcPr>
          <w:p w14:paraId="25C90784" w14:textId="77777777" w:rsidR="00BB592C" w:rsidRPr="00E10392" w:rsidRDefault="00BB592C" w:rsidP="00330186">
            <w:pPr>
              <w:pStyle w:val="aDSPara"/>
              <w:spacing w:before="60" w:after="60"/>
              <w:ind w:left="0"/>
              <w:jc w:val="center"/>
              <w:rPr>
                <w:rFonts w:eastAsia="MS Mincho" w:cs="Arial"/>
                <w:bCs/>
                <w:color w:val="000000"/>
                <w:sz w:val="20"/>
                <w:szCs w:val="20"/>
                <w:lang w:val="en-US"/>
              </w:rPr>
            </w:pPr>
          </w:p>
        </w:tc>
        <w:tc>
          <w:tcPr>
            <w:tcW w:w="448" w:type="pct"/>
            <w:vAlign w:val="center"/>
          </w:tcPr>
          <w:p w14:paraId="2C321770" w14:textId="77777777" w:rsidR="00BB592C" w:rsidRPr="00E10392" w:rsidRDefault="00BB592C"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30</w:t>
            </w:r>
          </w:p>
        </w:tc>
        <w:tc>
          <w:tcPr>
            <w:tcW w:w="2172" w:type="pct"/>
          </w:tcPr>
          <w:p w14:paraId="18B9FE47" w14:textId="77777777" w:rsidR="00BB592C" w:rsidRPr="00E10392" w:rsidRDefault="00BB592C" w:rsidP="00330186">
            <w:pPr>
              <w:pStyle w:val="Default"/>
              <w:jc w:val="both"/>
              <w:rPr>
                <w:rFonts w:ascii="Arial" w:hAnsi="Arial" w:cs="Arial"/>
                <w:sz w:val="20"/>
                <w:szCs w:val="20"/>
                <w:lang w:val="en-US"/>
              </w:rPr>
            </w:pPr>
            <w:r w:rsidRPr="00E10392">
              <w:rPr>
                <w:rFonts w:ascii="Arial" w:hAnsi="Arial" w:cs="Arial"/>
                <w:sz w:val="20"/>
                <w:szCs w:val="20"/>
                <w:lang w:val="en-US"/>
              </w:rPr>
              <w:t>Within 24 hours</w:t>
            </w:r>
          </w:p>
        </w:tc>
      </w:tr>
      <w:tr w:rsidR="008C100B" w:rsidRPr="00E10392" w14:paraId="178B63B7" w14:textId="77777777" w:rsidTr="000B095C">
        <w:trPr>
          <w:cantSplit/>
          <w:trHeight w:val="537"/>
        </w:trPr>
        <w:tc>
          <w:tcPr>
            <w:tcW w:w="656" w:type="pct"/>
            <w:vMerge w:val="restart"/>
          </w:tcPr>
          <w:p w14:paraId="298269C7" w14:textId="0B4BCBCC" w:rsidR="008C100B" w:rsidRPr="00E10392" w:rsidRDefault="007206E0" w:rsidP="00330186">
            <w:pPr>
              <w:pStyle w:val="aDSPara"/>
              <w:spacing w:before="60" w:after="60"/>
              <w:ind w:left="0"/>
              <w:jc w:val="center"/>
              <w:rPr>
                <w:rFonts w:eastAsia="MS Mincho" w:cs="Arial"/>
                <w:sz w:val="20"/>
                <w:szCs w:val="20"/>
                <w:lang w:val="en-US"/>
              </w:rPr>
            </w:pPr>
            <w:r>
              <w:rPr>
                <w:rFonts w:eastAsia="MS Mincho" w:cs="Arial"/>
                <w:sz w:val="20"/>
                <w:szCs w:val="20"/>
                <w:lang w:val="en-US"/>
              </w:rPr>
              <w:t>6</w:t>
            </w:r>
          </w:p>
        </w:tc>
        <w:tc>
          <w:tcPr>
            <w:tcW w:w="1247" w:type="pct"/>
            <w:vMerge w:val="restart"/>
          </w:tcPr>
          <w:p w14:paraId="0B20C945" w14:textId="29EA7987" w:rsidR="008C100B" w:rsidRPr="00E10392" w:rsidRDefault="008C100B" w:rsidP="00330186">
            <w:pPr>
              <w:pStyle w:val="Default"/>
              <w:rPr>
                <w:rFonts w:ascii="Arial" w:hAnsi="Arial" w:cs="Arial"/>
                <w:sz w:val="20"/>
                <w:szCs w:val="20"/>
                <w:lang w:val="en-US"/>
              </w:rPr>
            </w:pPr>
            <w:r w:rsidRPr="00E10392">
              <w:rPr>
                <w:rFonts w:ascii="Arial" w:hAnsi="Arial" w:cs="Arial"/>
                <w:sz w:val="20"/>
                <w:szCs w:val="20"/>
                <w:lang w:val="en-US"/>
              </w:rPr>
              <w:t xml:space="preserve">Maintenance plan of </w:t>
            </w:r>
            <w:r w:rsidRPr="001669B4">
              <w:rPr>
                <w:rFonts w:ascii="Arial" w:hAnsi="Arial" w:cs="Arial"/>
                <w:sz w:val="20"/>
                <w:szCs w:val="20"/>
                <w:lang w:val="en-US"/>
              </w:rPr>
              <w:t>Particle Size Analyzer</w:t>
            </w:r>
            <w:r w:rsidR="00A12620">
              <w:rPr>
                <w:rFonts w:ascii="Arial" w:hAnsi="Arial" w:cs="Arial"/>
                <w:sz w:val="20"/>
                <w:szCs w:val="20"/>
                <w:lang w:val="en-US"/>
              </w:rPr>
              <w:t xml:space="preserve"> (submit maintenance plan)</w:t>
            </w:r>
          </w:p>
        </w:tc>
        <w:tc>
          <w:tcPr>
            <w:tcW w:w="477" w:type="pct"/>
            <w:vMerge w:val="restart"/>
            <w:vAlign w:val="center"/>
          </w:tcPr>
          <w:p w14:paraId="03D6049B" w14:textId="77777777" w:rsidR="008C100B" w:rsidRPr="00E10392" w:rsidRDefault="008C100B" w:rsidP="00330186">
            <w:pPr>
              <w:pStyle w:val="aDSPara"/>
              <w:spacing w:before="60" w:after="60"/>
              <w:ind w:left="0"/>
              <w:jc w:val="center"/>
              <w:rPr>
                <w:rFonts w:eastAsia="MS Mincho" w:cs="Arial"/>
                <w:bCs/>
                <w:color w:val="000000"/>
                <w:sz w:val="20"/>
                <w:szCs w:val="20"/>
                <w:lang w:val="en-US"/>
              </w:rPr>
            </w:pPr>
            <w:r w:rsidRPr="00E10392">
              <w:rPr>
                <w:rFonts w:eastAsia="MS Mincho" w:cs="Arial"/>
                <w:bCs/>
                <w:color w:val="000000"/>
                <w:sz w:val="20"/>
                <w:szCs w:val="20"/>
                <w:lang w:val="en-US"/>
              </w:rPr>
              <w:t>10</w:t>
            </w:r>
          </w:p>
        </w:tc>
        <w:tc>
          <w:tcPr>
            <w:tcW w:w="448" w:type="pct"/>
            <w:vAlign w:val="center"/>
          </w:tcPr>
          <w:p w14:paraId="447B6C0D" w14:textId="77777777" w:rsidR="008C100B" w:rsidRPr="00E10392" w:rsidRDefault="008C100B" w:rsidP="00330186">
            <w:pPr>
              <w:pStyle w:val="aDSPara"/>
              <w:spacing w:before="60" w:after="60"/>
              <w:ind w:left="0"/>
              <w:jc w:val="center"/>
              <w:rPr>
                <w:rFonts w:eastAsia="MS Mincho" w:cs="Arial"/>
                <w:sz w:val="20"/>
                <w:szCs w:val="20"/>
                <w:lang w:val="en-US"/>
              </w:rPr>
            </w:pPr>
            <w:r w:rsidRPr="00E10392">
              <w:rPr>
                <w:rFonts w:eastAsia="MS Mincho" w:cs="Arial"/>
                <w:sz w:val="20"/>
                <w:szCs w:val="20"/>
                <w:lang w:val="en-US"/>
              </w:rPr>
              <w:t>0</w:t>
            </w:r>
          </w:p>
        </w:tc>
        <w:tc>
          <w:tcPr>
            <w:tcW w:w="2172" w:type="pct"/>
          </w:tcPr>
          <w:p w14:paraId="4DECFBF9" w14:textId="77777777" w:rsidR="008C100B" w:rsidRPr="00E10392" w:rsidRDefault="008C100B" w:rsidP="00330186">
            <w:pPr>
              <w:pStyle w:val="Default"/>
              <w:jc w:val="both"/>
              <w:rPr>
                <w:rFonts w:ascii="Arial" w:hAnsi="Arial" w:cs="Arial"/>
                <w:sz w:val="20"/>
                <w:szCs w:val="20"/>
                <w:lang w:val="en-US"/>
              </w:rPr>
            </w:pPr>
            <w:r w:rsidRPr="00E10392">
              <w:rPr>
                <w:rFonts w:ascii="Arial" w:hAnsi="Arial" w:cs="Arial"/>
                <w:sz w:val="20"/>
                <w:szCs w:val="20"/>
                <w:lang w:val="en-US"/>
              </w:rPr>
              <w:t xml:space="preserve">No maintenance plan </w:t>
            </w:r>
          </w:p>
        </w:tc>
      </w:tr>
      <w:tr w:rsidR="008C100B" w:rsidRPr="00E10392" w14:paraId="08C5F8BE" w14:textId="77777777" w:rsidTr="000B095C">
        <w:trPr>
          <w:cantSplit/>
          <w:trHeight w:val="537"/>
        </w:trPr>
        <w:tc>
          <w:tcPr>
            <w:tcW w:w="656" w:type="pct"/>
            <w:vMerge/>
          </w:tcPr>
          <w:p w14:paraId="7FC184F5" w14:textId="77777777" w:rsidR="008C100B" w:rsidRPr="00E10392" w:rsidRDefault="008C100B" w:rsidP="00330186">
            <w:pPr>
              <w:pStyle w:val="aDSPara"/>
              <w:spacing w:before="60" w:after="60"/>
              <w:ind w:left="0"/>
              <w:jc w:val="center"/>
              <w:rPr>
                <w:rFonts w:eastAsia="MS Mincho" w:cs="Arial"/>
                <w:sz w:val="20"/>
                <w:szCs w:val="20"/>
                <w:lang w:val="en-US"/>
              </w:rPr>
            </w:pPr>
          </w:p>
        </w:tc>
        <w:tc>
          <w:tcPr>
            <w:tcW w:w="1247" w:type="pct"/>
            <w:vMerge/>
          </w:tcPr>
          <w:p w14:paraId="3E16B59F" w14:textId="77777777" w:rsidR="008C100B" w:rsidRPr="00E10392" w:rsidRDefault="008C100B" w:rsidP="00330186">
            <w:pPr>
              <w:pStyle w:val="Default"/>
              <w:jc w:val="both"/>
              <w:rPr>
                <w:rFonts w:ascii="Arial" w:hAnsi="Arial" w:cs="Arial"/>
                <w:sz w:val="20"/>
                <w:szCs w:val="20"/>
                <w:lang w:val="en-US"/>
              </w:rPr>
            </w:pPr>
          </w:p>
        </w:tc>
        <w:tc>
          <w:tcPr>
            <w:tcW w:w="477" w:type="pct"/>
            <w:vMerge/>
            <w:vAlign w:val="center"/>
          </w:tcPr>
          <w:p w14:paraId="0842701A" w14:textId="77777777" w:rsidR="008C100B" w:rsidRPr="00E10392" w:rsidRDefault="008C100B" w:rsidP="00330186">
            <w:pPr>
              <w:pStyle w:val="aDSPara"/>
              <w:spacing w:before="60" w:after="60"/>
              <w:ind w:left="0"/>
              <w:jc w:val="center"/>
              <w:rPr>
                <w:rFonts w:eastAsia="MS Mincho" w:cs="Arial"/>
                <w:bCs/>
                <w:color w:val="000000"/>
                <w:sz w:val="20"/>
                <w:szCs w:val="20"/>
                <w:lang w:val="en-US"/>
              </w:rPr>
            </w:pPr>
          </w:p>
        </w:tc>
        <w:tc>
          <w:tcPr>
            <w:tcW w:w="448" w:type="pct"/>
            <w:vAlign w:val="center"/>
          </w:tcPr>
          <w:p w14:paraId="77D35907" w14:textId="4AEBD0C7" w:rsidR="008C100B" w:rsidRPr="00E10392" w:rsidRDefault="008C100B" w:rsidP="00330186">
            <w:pPr>
              <w:pStyle w:val="aDSPara"/>
              <w:spacing w:before="60" w:after="60"/>
              <w:ind w:left="0"/>
              <w:jc w:val="center"/>
              <w:rPr>
                <w:rFonts w:eastAsia="MS Mincho" w:cs="Arial"/>
                <w:sz w:val="20"/>
                <w:szCs w:val="20"/>
                <w:lang w:val="en-US"/>
              </w:rPr>
            </w:pPr>
            <w:r>
              <w:rPr>
                <w:rFonts w:eastAsia="MS Mincho" w:cs="Arial"/>
                <w:sz w:val="20"/>
                <w:szCs w:val="20"/>
                <w:lang w:val="en-US"/>
              </w:rPr>
              <w:t>10</w:t>
            </w:r>
          </w:p>
        </w:tc>
        <w:tc>
          <w:tcPr>
            <w:tcW w:w="2172" w:type="pct"/>
          </w:tcPr>
          <w:p w14:paraId="020B5B9B" w14:textId="6538E60B" w:rsidR="008C100B" w:rsidRDefault="008C100B" w:rsidP="00330186">
            <w:pPr>
              <w:pStyle w:val="Default"/>
              <w:jc w:val="both"/>
              <w:rPr>
                <w:rFonts w:ascii="Arial" w:hAnsi="Arial" w:cs="Arial"/>
                <w:sz w:val="20"/>
                <w:szCs w:val="20"/>
                <w:lang w:val="en-US"/>
              </w:rPr>
            </w:pPr>
            <w:r>
              <w:rPr>
                <w:rFonts w:ascii="Arial" w:hAnsi="Arial" w:cs="Arial"/>
                <w:sz w:val="20"/>
                <w:szCs w:val="20"/>
                <w:lang w:val="en-US"/>
              </w:rPr>
              <w:t>2-year</w:t>
            </w:r>
            <w:r w:rsidRPr="00E10392">
              <w:rPr>
                <w:rFonts w:ascii="Arial" w:hAnsi="Arial" w:cs="Arial"/>
                <w:sz w:val="20"/>
                <w:szCs w:val="20"/>
                <w:lang w:val="en-US"/>
              </w:rPr>
              <w:t xml:space="preserve"> maintenance plans included after</w:t>
            </w:r>
            <w:r>
              <w:rPr>
                <w:rFonts w:ascii="Arial" w:hAnsi="Arial" w:cs="Arial"/>
                <w:sz w:val="20"/>
                <w:szCs w:val="20"/>
                <w:lang w:val="en-US"/>
              </w:rPr>
              <w:t xml:space="preserve"> 3-year</w:t>
            </w:r>
            <w:r w:rsidRPr="00E10392">
              <w:rPr>
                <w:rFonts w:ascii="Arial" w:hAnsi="Arial" w:cs="Arial"/>
                <w:sz w:val="20"/>
                <w:szCs w:val="20"/>
                <w:lang w:val="en-US"/>
              </w:rPr>
              <w:t xml:space="preserve"> warranty period</w:t>
            </w:r>
          </w:p>
        </w:tc>
      </w:tr>
      <w:tr w:rsidR="00BB592C" w:rsidRPr="00E10392" w14:paraId="1C36C958" w14:textId="77777777" w:rsidTr="000B095C">
        <w:trPr>
          <w:cantSplit/>
          <w:trHeight w:val="180"/>
        </w:trPr>
        <w:tc>
          <w:tcPr>
            <w:tcW w:w="1903" w:type="pct"/>
            <w:gridSpan w:val="2"/>
          </w:tcPr>
          <w:p w14:paraId="5C72B8D2" w14:textId="77777777" w:rsidR="00BB592C" w:rsidRPr="00E10392" w:rsidRDefault="00BB592C" w:rsidP="00330186">
            <w:pPr>
              <w:pStyle w:val="aDSPara"/>
              <w:spacing w:before="60" w:after="60"/>
              <w:ind w:left="0"/>
              <w:jc w:val="left"/>
              <w:rPr>
                <w:rFonts w:cs="Arial"/>
                <w:b/>
                <w:color w:val="000000"/>
                <w:sz w:val="20"/>
                <w:szCs w:val="20"/>
                <w:lang w:val="en-US"/>
              </w:rPr>
            </w:pPr>
            <w:r w:rsidRPr="00E10392">
              <w:rPr>
                <w:rFonts w:cs="Arial"/>
                <w:b/>
                <w:color w:val="000000"/>
                <w:sz w:val="20"/>
                <w:szCs w:val="20"/>
                <w:lang w:val="en-US"/>
              </w:rPr>
              <w:t>Total</w:t>
            </w:r>
          </w:p>
        </w:tc>
        <w:tc>
          <w:tcPr>
            <w:tcW w:w="477" w:type="pct"/>
          </w:tcPr>
          <w:p w14:paraId="38293D03" w14:textId="77777777" w:rsidR="00BB592C" w:rsidRPr="00E10392" w:rsidRDefault="00BB592C" w:rsidP="00330186">
            <w:pPr>
              <w:pStyle w:val="aDSPara"/>
              <w:spacing w:before="60" w:after="60"/>
              <w:ind w:left="0"/>
              <w:jc w:val="center"/>
              <w:rPr>
                <w:rFonts w:eastAsia="MS Mincho" w:cs="Arial"/>
                <w:b/>
                <w:sz w:val="20"/>
                <w:szCs w:val="20"/>
                <w:lang w:val="en-US"/>
              </w:rPr>
            </w:pPr>
            <w:r w:rsidRPr="00E10392">
              <w:rPr>
                <w:rFonts w:eastAsia="MS Mincho" w:cs="Arial"/>
                <w:b/>
                <w:sz w:val="20"/>
                <w:szCs w:val="20"/>
                <w:lang w:val="en-US"/>
              </w:rPr>
              <w:t>100</w:t>
            </w:r>
          </w:p>
        </w:tc>
        <w:tc>
          <w:tcPr>
            <w:tcW w:w="448" w:type="pct"/>
          </w:tcPr>
          <w:p w14:paraId="21166512" w14:textId="77777777" w:rsidR="00BB592C" w:rsidRPr="00E10392" w:rsidRDefault="00BB592C" w:rsidP="00330186">
            <w:pPr>
              <w:pStyle w:val="aDSPara"/>
              <w:spacing w:before="60" w:after="60"/>
              <w:ind w:left="0"/>
              <w:jc w:val="center"/>
              <w:rPr>
                <w:rFonts w:eastAsia="MS Mincho" w:cs="Arial"/>
                <w:b/>
                <w:sz w:val="20"/>
                <w:szCs w:val="20"/>
                <w:lang w:val="en-US"/>
              </w:rPr>
            </w:pPr>
          </w:p>
        </w:tc>
        <w:tc>
          <w:tcPr>
            <w:tcW w:w="2172" w:type="pct"/>
          </w:tcPr>
          <w:p w14:paraId="73303A3A" w14:textId="77777777" w:rsidR="00BB592C" w:rsidRPr="00E10392" w:rsidRDefault="00BB592C" w:rsidP="00330186">
            <w:pPr>
              <w:pStyle w:val="aDSPara"/>
              <w:spacing w:before="60" w:after="60"/>
              <w:ind w:left="0"/>
              <w:jc w:val="left"/>
              <w:rPr>
                <w:rFonts w:cs="Arial"/>
                <w:color w:val="000000"/>
                <w:sz w:val="20"/>
                <w:szCs w:val="20"/>
                <w:lang w:val="en-US"/>
              </w:rPr>
            </w:pPr>
          </w:p>
        </w:tc>
      </w:tr>
    </w:tbl>
    <w:p w14:paraId="530A26B6" w14:textId="77777777" w:rsidR="00BB592C" w:rsidRPr="00BB592C" w:rsidRDefault="00BB592C" w:rsidP="00BB592C">
      <w:pPr>
        <w:pStyle w:val="1Paragraph"/>
        <w:ind w:left="0"/>
      </w:pPr>
    </w:p>
    <w:p w14:paraId="0B2C8612" w14:textId="7777777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 xml:space="preserve">Bidders that score </w:t>
      </w:r>
      <w:r w:rsidRPr="000D4C7D">
        <w:t>&lt;80</w:t>
      </w:r>
      <w:r w:rsidRPr="00143AE7">
        <w:t xml:space="preserve"> out of a 100 in respect of Technical / Functional Evaluation Criteria will be regarded as submitting a non-responsive bid and will not be evaluated further.</w:t>
      </w:r>
    </w:p>
    <w:p w14:paraId="18965DA3" w14:textId="24937A4B" w:rsidR="00996B49" w:rsidRPr="00996B49" w:rsidRDefault="00996B49" w:rsidP="00383786">
      <w:pPr>
        <w:pStyle w:val="ListParagraph"/>
        <w:numPr>
          <w:ilvl w:val="0"/>
          <w:numId w:val="39"/>
        </w:numPr>
        <w:jc w:val="both"/>
      </w:pPr>
      <w:r w:rsidRPr="00996B49">
        <w:t xml:space="preserve">Drum Testing: (The bidder to provide samples per inventory item for testing, this will be covered from the bidder’s own costs) </w:t>
      </w:r>
    </w:p>
    <w:p w14:paraId="7F825802" w14:textId="5334B8F4" w:rsidR="00777F53" w:rsidRPr="00996B49" w:rsidRDefault="00143AE7" w:rsidP="00983E61">
      <w:pPr>
        <w:pStyle w:val="Index3"/>
      </w:pPr>
      <w:bookmarkStart w:id="31" w:name="_Toc227224884"/>
      <w:bookmarkStart w:id="32" w:name="_Toc511198085"/>
      <w:bookmarkStart w:id="33" w:name="_Hlk133378355"/>
      <w:r w:rsidRPr="00996B49">
        <w:t>Preference points and Price evaluation</w:t>
      </w:r>
      <w:bookmarkEnd w:id="31"/>
      <w:r w:rsidRPr="00996B49">
        <w:t xml:space="preserve"> </w:t>
      </w:r>
    </w:p>
    <w:p w14:paraId="4677363E" w14:textId="77777777" w:rsidR="00777F53" w:rsidRDefault="00777F53" w:rsidP="00474489">
      <w:pPr>
        <w:pStyle w:val="Index4"/>
      </w:pPr>
      <w:r w:rsidRPr="00D93AAA">
        <w:lastRenderedPageBreak/>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474489">
      <w:pPr>
        <w:pStyle w:val="Index4"/>
        <w:numPr>
          <w:ilvl w:val="0"/>
          <w:numId w:val="0"/>
        </w:numPr>
        <w:ind w:left="851"/>
      </w:pPr>
    </w:p>
    <w:p w14:paraId="5D092F0A" w14:textId="77777777" w:rsidR="00777F53" w:rsidRPr="00D93AAA" w:rsidRDefault="00777F53" w:rsidP="00983E61">
      <w:pPr>
        <w:pStyle w:val="Index3"/>
      </w:pPr>
      <w:bookmarkStart w:id="34" w:name="_Toc125008753"/>
      <w:bookmarkStart w:id="35" w:name="_Toc135389245"/>
      <w:bookmarkStart w:id="36" w:name="_Toc137638302"/>
      <w:bookmarkStart w:id="37" w:name="_Toc227224885"/>
      <w:r w:rsidRPr="00D93AAA">
        <w:t>80/20 preference point system for acquisition of goods or services for Rand value equal to or above R30 000 and up to R50 million</w:t>
      </w:r>
      <w:bookmarkEnd w:id="34"/>
      <w:bookmarkEnd w:id="35"/>
      <w:bookmarkEnd w:id="36"/>
      <w:bookmarkEnd w:id="37"/>
    </w:p>
    <w:p w14:paraId="445E8666"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r w:rsidRPr="00D93AAA">
        <w:t>Pmin</w:t>
      </w:r>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44E60482"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561560E3"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474489">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474489">
      <w:pPr>
        <w:pStyle w:val="Index4"/>
      </w:pPr>
      <w:r w:rsidRPr="00D93AAA">
        <w:t xml:space="preserve">The points scored by a tenderer for </w:t>
      </w:r>
      <w:r>
        <w:t>a specific goal must be added to the points scored for price and the total must be rounded off to the nearest two decimal places.</w:t>
      </w:r>
    </w:p>
    <w:p w14:paraId="0E08BE97" w14:textId="0715EEB9" w:rsidR="00777F53" w:rsidRPr="00474489" w:rsidRDefault="00BF4F02" w:rsidP="00474489">
      <w:pPr>
        <w:pStyle w:val="Index4"/>
      </w:pPr>
      <w:r w:rsidRPr="00474489">
        <w:t>Subject to section 2 (1) (f) of the act, the contract must be awarded to the tenderer scoring the highest points</w:t>
      </w:r>
      <w:r w:rsidR="00996B49" w:rsidRPr="00474489">
        <w:t xml:space="preserve">. </w:t>
      </w:r>
    </w:p>
    <w:p w14:paraId="0084681F" w14:textId="2FE5FBBD" w:rsidR="00777F53" w:rsidRPr="003D5E89" w:rsidRDefault="00777F53" w:rsidP="00474489">
      <w:pPr>
        <w:pStyle w:val="Index4"/>
      </w:pPr>
      <w:r w:rsidRPr="003D5E89">
        <w:lastRenderedPageBreak/>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474489">
      <w:pPr>
        <w:pStyle w:val="Index4"/>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26C9678" w14:textId="634871A4" w:rsidR="007358C1" w:rsidRPr="006778B2"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bookmarkEnd w:id="32"/>
      <w:bookmarkEnd w:id="33"/>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8" w:name="_Toc227224886"/>
      <w:bookmarkEnd w:id="38"/>
    </w:p>
    <w:p w14:paraId="619F87DF" w14:textId="77777777" w:rsidR="00DA39DC" w:rsidRPr="00C95C94" w:rsidRDefault="00DA39DC" w:rsidP="005E71C3">
      <w:pPr>
        <w:pStyle w:val="Index2"/>
        <w:numPr>
          <w:ilvl w:val="1"/>
          <w:numId w:val="13"/>
        </w:numPr>
      </w:pPr>
      <w:bookmarkStart w:id="39" w:name="_Toc227224887"/>
      <w:r w:rsidRPr="00C95C94">
        <w:t>Returnable documents</w:t>
      </w:r>
      <w:r w:rsidR="00292449" w:rsidRPr="00C95C94">
        <w:t xml:space="preserve"> C</w:t>
      </w:r>
      <w:r w:rsidR="002D3216" w:rsidRPr="00C95C94">
        <w:t>hecklist</w:t>
      </w:r>
      <w:bookmarkEnd w:id="39"/>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474489">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9E13AC">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9E13A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56EF8F58" w:rsidR="00196EE8" w:rsidRDefault="00196EE8" w:rsidP="009E13AC">
            <w:pPr>
              <w:pStyle w:val="Index4"/>
              <w:numPr>
                <w:ilvl w:val="0"/>
                <w:numId w:val="0"/>
              </w:numPr>
              <w:ind w:left="851" w:hanging="851"/>
            </w:pPr>
            <w:r>
              <w:t>SBD 3.</w:t>
            </w:r>
            <w:r w:rsidR="00474489">
              <w:t>1</w:t>
            </w:r>
            <w:r>
              <w:t xml:space="preserve">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9E13AC">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lastRenderedPageBreak/>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983E61" w14:paraId="388675AD" w14:textId="77777777" w:rsidTr="00EE52CC">
        <w:tc>
          <w:tcPr>
            <w:tcW w:w="562" w:type="dxa"/>
          </w:tcPr>
          <w:p w14:paraId="722440D2" w14:textId="2B51B413" w:rsidR="00983E61" w:rsidRDefault="00983E61" w:rsidP="00983E61">
            <w:pPr>
              <w:jc w:val="both"/>
            </w:pPr>
            <w:r>
              <w:t>13</w:t>
            </w:r>
          </w:p>
        </w:tc>
        <w:tc>
          <w:tcPr>
            <w:tcW w:w="4180" w:type="dxa"/>
          </w:tcPr>
          <w:p w14:paraId="73D7BCE9" w14:textId="7EEA7BD2" w:rsidR="00983E61" w:rsidRDefault="00983E61" w:rsidP="00983E61">
            <w:pPr>
              <w:jc w:val="both"/>
            </w:pPr>
            <w:r>
              <w:t xml:space="preserve">Bidder Company Information </w:t>
            </w:r>
          </w:p>
        </w:tc>
        <w:tc>
          <w:tcPr>
            <w:tcW w:w="3617" w:type="dxa"/>
          </w:tcPr>
          <w:p w14:paraId="367723F7" w14:textId="46171BA4" w:rsidR="00983E61" w:rsidRDefault="00983E61" w:rsidP="00983E61">
            <w:pPr>
              <w:jc w:val="both"/>
            </w:pPr>
            <w:r>
              <w:t>Complete and sign the supplied pro forma document</w:t>
            </w:r>
          </w:p>
        </w:tc>
        <w:tc>
          <w:tcPr>
            <w:tcW w:w="1126" w:type="dxa"/>
          </w:tcPr>
          <w:p w14:paraId="13AB952C" w14:textId="77777777" w:rsidR="00983E61" w:rsidRDefault="00983E61" w:rsidP="00983E61">
            <w:pPr>
              <w:jc w:val="both"/>
            </w:pPr>
          </w:p>
        </w:tc>
      </w:tr>
    </w:tbl>
    <w:p w14:paraId="1BA99956" w14:textId="77777777" w:rsidR="006A4548" w:rsidRDefault="006A4548" w:rsidP="00F83C1D">
      <w:pPr>
        <w:spacing w:line="240" w:lineRule="auto"/>
        <w:jc w:val="both"/>
      </w:pPr>
    </w:p>
    <w:p w14:paraId="68ACBB53" w14:textId="22E9F65D" w:rsidR="004C4977" w:rsidRDefault="004C4977" w:rsidP="00F83C1D">
      <w:pPr>
        <w:spacing w:line="240" w:lineRule="auto"/>
        <w:jc w:val="both"/>
      </w:pPr>
    </w:p>
    <w:p w14:paraId="169C452F" w14:textId="77777777" w:rsidR="003B0F32" w:rsidRPr="00F02CA8" w:rsidRDefault="00DA39DC" w:rsidP="005E71C3">
      <w:pPr>
        <w:pStyle w:val="Index2"/>
      </w:pPr>
      <w:bookmarkStart w:id="40" w:name="_Toc227224888"/>
      <w:r w:rsidRPr="00F02CA8">
        <w:t>B</w:t>
      </w:r>
      <w:r w:rsidR="00F616A4">
        <w:t>idder</w:t>
      </w:r>
      <w:r w:rsidRPr="00F02CA8">
        <w:t xml:space="preserve"> I</w:t>
      </w:r>
      <w:r w:rsidR="00F616A4">
        <w:t>nformation</w:t>
      </w:r>
      <w:bookmarkEnd w:id="40"/>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lastRenderedPageBreak/>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lastRenderedPageBreak/>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B14C89" w:rsidRDefault="006E6BE0" w:rsidP="00B14C89">
      <w:pPr>
        <w:jc w:val="center"/>
        <w:rPr>
          <w:i/>
          <w:iCs w:val="0"/>
        </w:rPr>
      </w:pPr>
      <w:r w:rsidRPr="00B14C89">
        <w:rPr>
          <w:i/>
          <w:iCs w:val="0"/>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1BC9FA2C" w14:textId="77777777" w:rsidR="006E6BE0" w:rsidRPr="006F313C" w:rsidRDefault="006E6BE0" w:rsidP="006E6BE0">
      <w:pPr>
        <w:pStyle w:val="Heading1"/>
        <w:ind w:hanging="720"/>
        <w:rPr>
          <w:color w:val="auto"/>
        </w:rPr>
      </w:pPr>
      <w:bookmarkStart w:id="41" w:name="_Toc227224889"/>
      <w:r w:rsidRPr="006F313C">
        <w:rPr>
          <w:color w:val="auto"/>
        </w:rPr>
        <w:lastRenderedPageBreak/>
        <w:t>Scope and Roles</w:t>
      </w:r>
      <w:bookmarkEnd w:id="41"/>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2" w:name="_Toc227224890"/>
      <w:r w:rsidRPr="006F313C">
        <w:rPr>
          <w:color w:val="auto"/>
        </w:rPr>
        <w:t>Definitions</w:t>
      </w:r>
      <w:bookmarkEnd w:id="42"/>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3" w:name="_Toc227224891"/>
      <w:r w:rsidRPr="006F313C">
        <w:rPr>
          <w:color w:val="auto"/>
        </w:rPr>
        <w:lastRenderedPageBreak/>
        <w:t>The Processing</w:t>
      </w:r>
      <w:bookmarkEnd w:id="43"/>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67DCF5A9" w14:textId="77777777" w:rsidR="003B1532" w:rsidRDefault="003B1532" w:rsidP="006E6BE0">
      <w:pPr>
        <w:pStyle w:val="Heading1"/>
        <w:rPr>
          <w:color w:val="auto"/>
        </w:rPr>
      </w:pPr>
    </w:p>
    <w:p w14:paraId="1F7F2153" w14:textId="154A8BAC" w:rsidR="006E6BE0" w:rsidRPr="006F313C" w:rsidRDefault="006E6BE0" w:rsidP="006E6BE0">
      <w:pPr>
        <w:pStyle w:val="Heading1"/>
        <w:rPr>
          <w:color w:val="auto"/>
        </w:rPr>
      </w:pPr>
      <w:bookmarkStart w:id="44" w:name="_Toc227224892"/>
      <w:r w:rsidRPr="006F313C">
        <w:rPr>
          <w:color w:val="auto"/>
        </w:rPr>
        <w:t>Rights of data subjects</w:t>
      </w:r>
      <w:bookmarkEnd w:id="44"/>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6227E970" w14:textId="77777777" w:rsidR="008C100B"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3BC466C6" w14:textId="77777777" w:rsidR="008C100B" w:rsidRPr="006F313C"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2115E2CB" w14:textId="77777777" w:rsidR="006E6BE0" w:rsidRPr="006F313C" w:rsidRDefault="006E6BE0" w:rsidP="006E6BE0">
      <w:pPr>
        <w:pStyle w:val="Heading1"/>
        <w:rPr>
          <w:color w:val="auto"/>
        </w:rPr>
      </w:pPr>
      <w:bookmarkStart w:id="45" w:name="_Toc227224893"/>
      <w:r w:rsidRPr="006F313C">
        <w:rPr>
          <w:color w:val="auto"/>
        </w:rPr>
        <w:t>Obligations and rights of the Responsible Party</w:t>
      </w:r>
      <w:bookmarkEnd w:id="45"/>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6" w:name="_Toc227224894"/>
      <w:r w:rsidRPr="006F313C">
        <w:rPr>
          <w:color w:val="auto"/>
        </w:rPr>
        <w:t>Obligations of the Operator</w:t>
      </w:r>
      <w:bookmarkEnd w:id="46"/>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128D4EDB" w14:textId="77777777" w:rsidR="008C100B"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3BECC9C1" w14:textId="77777777" w:rsidR="008C100B" w:rsidRPr="006F313C"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72BC4889" w14:textId="77777777" w:rsidR="006E6BE0" w:rsidRPr="006F313C" w:rsidRDefault="006E6BE0" w:rsidP="006E6BE0">
      <w:pPr>
        <w:pStyle w:val="Heading1"/>
        <w:rPr>
          <w:color w:val="auto"/>
        </w:rPr>
      </w:pPr>
      <w:bookmarkStart w:id="47" w:name="_Toc227224895"/>
      <w:r w:rsidRPr="006F313C">
        <w:rPr>
          <w:color w:val="auto"/>
        </w:rPr>
        <w:t>Duration and Applicable Law</w:t>
      </w:r>
      <w:bookmarkEnd w:id="47"/>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8" w:name="_Toc227224896"/>
      <w:r w:rsidRPr="006F313C">
        <w:rPr>
          <w:color w:val="auto"/>
        </w:rPr>
        <w:lastRenderedPageBreak/>
        <w:t>Signatures</w:t>
      </w:r>
      <w:bookmarkEnd w:id="48"/>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5F09319E" w14:textId="260D7D81"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8C100B">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6A353903" w:rsidR="006E6BE0" w:rsidRPr="006F313C" w:rsidRDefault="006E6BE0" w:rsidP="00B948B5">
            <w:pPr>
              <w:spacing w:after="0" w:line="240" w:lineRule="auto"/>
              <w:textAlignment w:val="baseline"/>
              <w:rPr>
                <w:szCs w:val="24"/>
              </w:rPr>
            </w:pPr>
            <w:r w:rsidRPr="006F313C">
              <w:rPr>
                <w:szCs w:val="24"/>
              </w:rPr>
              <w:t> </w:t>
            </w: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3D2C9003" w14:textId="1E1C3D66" w:rsidR="001D3CE3" w:rsidRDefault="006E6BE0" w:rsidP="008C100B">
      <w:pPr>
        <w:spacing w:after="0" w:line="240" w:lineRule="auto"/>
        <w:textAlignment w:val="baseline"/>
        <w:rPr>
          <w:szCs w:val="24"/>
        </w:rPr>
      </w:pPr>
      <w:r w:rsidRPr="006F313C">
        <w:rPr>
          <w:szCs w:val="24"/>
        </w:rPr>
        <w:t> </w:t>
      </w:r>
    </w:p>
    <w:p w14:paraId="37EE5432" w14:textId="77777777" w:rsidR="00233C07" w:rsidRDefault="00233C07" w:rsidP="008C100B">
      <w:pPr>
        <w:spacing w:after="0" w:line="240" w:lineRule="auto"/>
        <w:textAlignment w:val="baseline"/>
        <w:rPr>
          <w:szCs w:val="24"/>
        </w:rPr>
      </w:pPr>
    </w:p>
    <w:p w14:paraId="7F8994CD" w14:textId="77777777" w:rsidR="007206E0" w:rsidRDefault="007206E0" w:rsidP="008C100B">
      <w:pPr>
        <w:spacing w:after="0" w:line="240" w:lineRule="auto"/>
        <w:textAlignment w:val="baseline"/>
        <w:rPr>
          <w:szCs w:val="24"/>
        </w:rPr>
      </w:pPr>
    </w:p>
    <w:p w14:paraId="189EEACD" w14:textId="77777777" w:rsidR="007206E0" w:rsidRDefault="007206E0" w:rsidP="008C100B">
      <w:pPr>
        <w:spacing w:after="0" w:line="240" w:lineRule="auto"/>
        <w:textAlignment w:val="baseline"/>
        <w:rPr>
          <w:szCs w:val="24"/>
        </w:rPr>
      </w:pPr>
    </w:p>
    <w:p w14:paraId="2C04568F" w14:textId="77777777" w:rsidR="007206E0" w:rsidRDefault="007206E0" w:rsidP="008C100B">
      <w:pPr>
        <w:spacing w:after="0" w:line="240" w:lineRule="auto"/>
        <w:textAlignment w:val="baseline"/>
        <w:rPr>
          <w:szCs w:val="24"/>
        </w:rPr>
      </w:pPr>
    </w:p>
    <w:p w14:paraId="008B0534" w14:textId="77777777" w:rsidR="00233C07" w:rsidRDefault="00233C07" w:rsidP="008C100B">
      <w:pPr>
        <w:spacing w:after="0" w:line="240" w:lineRule="auto"/>
        <w:textAlignment w:val="baseline"/>
        <w:rPr>
          <w:szCs w:val="24"/>
        </w:rPr>
      </w:pPr>
    </w:p>
    <w:p w14:paraId="1ACB6B21" w14:textId="77777777" w:rsidR="00233C07" w:rsidRDefault="00233C07" w:rsidP="008C100B">
      <w:pPr>
        <w:spacing w:after="0" w:line="240" w:lineRule="auto"/>
        <w:textAlignment w:val="baseline"/>
        <w:rPr>
          <w:szCs w:val="24"/>
        </w:rPr>
      </w:pPr>
    </w:p>
    <w:p w14:paraId="56A62B8D" w14:textId="77777777" w:rsidR="00233C07" w:rsidRDefault="00233C07" w:rsidP="008C100B">
      <w:pPr>
        <w:spacing w:after="0" w:line="240" w:lineRule="auto"/>
        <w:textAlignment w:val="baseline"/>
        <w:rPr>
          <w:szCs w:val="24"/>
        </w:rPr>
      </w:pPr>
    </w:p>
    <w:p w14:paraId="2A5788D0" w14:textId="77777777" w:rsidR="007206E0" w:rsidRDefault="007206E0" w:rsidP="008C100B">
      <w:pPr>
        <w:spacing w:after="0" w:line="240" w:lineRule="auto"/>
        <w:textAlignment w:val="baseline"/>
        <w:rPr>
          <w:szCs w:val="24"/>
        </w:rPr>
      </w:pPr>
    </w:p>
    <w:p w14:paraId="00152319" w14:textId="77777777" w:rsidR="007206E0" w:rsidRDefault="007206E0" w:rsidP="008C100B">
      <w:pPr>
        <w:spacing w:after="0" w:line="240" w:lineRule="auto"/>
        <w:textAlignment w:val="baseline"/>
        <w:rPr>
          <w:szCs w:val="24"/>
        </w:rPr>
      </w:pPr>
      <w:r>
        <w:rPr>
          <w:szCs w:val="24"/>
        </w:rPr>
        <w:t xml:space="preserve">     </w:t>
      </w:r>
    </w:p>
    <w:p w14:paraId="58EB7ABC" w14:textId="52E6ECBE" w:rsidR="007206E0" w:rsidRDefault="007206E0" w:rsidP="007206E0">
      <w:pPr>
        <w:pStyle w:val="Heading1"/>
      </w:pPr>
      <w:bookmarkStart w:id="49" w:name="_Toc227224897"/>
      <w:r>
        <w:t>TECHNICAL SPECIFICATION ANNEXURE A</w:t>
      </w:r>
      <w:bookmarkEnd w:id="49"/>
    </w:p>
    <w:p w14:paraId="287D0FE0" w14:textId="77777777" w:rsidR="007206E0" w:rsidRDefault="007206E0" w:rsidP="008C100B">
      <w:pPr>
        <w:spacing w:after="0" w:line="240" w:lineRule="auto"/>
        <w:textAlignment w:val="baseline"/>
        <w:rPr>
          <w:szCs w:val="24"/>
        </w:rPr>
      </w:pPr>
    </w:p>
    <w:tbl>
      <w:tblPr>
        <w:tblStyle w:val="TableGrid"/>
        <w:tblW w:w="5000" w:type="pct"/>
        <w:tblLook w:val="04A0" w:firstRow="1" w:lastRow="0" w:firstColumn="1" w:lastColumn="0" w:noHBand="0" w:noVBand="1"/>
      </w:tblPr>
      <w:tblGrid>
        <w:gridCol w:w="554"/>
        <w:gridCol w:w="4331"/>
        <w:gridCol w:w="1394"/>
        <w:gridCol w:w="3206"/>
      </w:tblGrid>
      <w:tr w:rsidR="001669B4" w:rsidRPr="00E10392" w14:paraId="206A02E2" w14:textId="77777777" w:rsidTr="00330186">
        <w:trPr>
          <w:tblHeader/>
        </w:trPr>
        <w:tc>
          <w:tcPr>
            <w:tcW w:w="292" w:type="pct"/>
            <w:shd w:val="clear" w:color="auto" w:fill="ECE8D3"/>
            <w:vAlign w:val="center"/>
          </w:tcPr>
          <w:p w14:paraId="66CC0B6A" w14:textId="77777777" w:rsidR="001669B4" w:rsidRPr="00E10392" w:rsidRDefault="001669B4" w:rsidP="00330186">
            <w:pPr>
              <w:pStyle w:val="aDSPara"/>
              <w:spacing w:before="60" w:after="60"/>
              <w:ind w:left="0"/>
              <w:jc w:val="center"/>
              <w:rPr>
                <w:b/>
                <w:sz w:val="20"/>
                <w:szCs w:val="20"/>
                <w:lang w:val="en-US"/>
              </w:rPr>
            </w:pPr>
            <w:r w:rsidRPr="00E10392">
              <w:rPr>
                <w:b/>
                <w:sz w:val="20"/>
                <w:szCs w:val="20"/>
                <w:lang w:val="en-US"/>
              </w:rPr>
              <w:t>No.</w:t>
            </w:r>
          </w:p>
        </w:tc>
        <w:tc>
          <w:tcPr>
            <w:tcW w:w="2283" w:type="pct"/>
            <w:shd w:val="clear" w:color="auto" w:fill="ECE8D3"/>
            <w:vAlign w:val="center"/>
          </w:tcPr>
          <w:p w14:paraId="3CDEDD5D" w14:textId="77777777" w:rsidR="001669B4" w:rsidRPr="00E10392" w:rsidRDefault="001669B4" w:rsidP="00330186">
            <w:pPr>
              <w:pStyle w:val="aDSPara"/>
              <w:tabs>
                <w:tab w:val="clear" w:pos="567"/>
                <w:tab w:val="left" w:pos="1352"/>
              </w:tabs>
              <w:spacing w:before="60" w:after="60"/>
              <w:ind w:left="0"/>
              <w:jc w:val="center"/>
              <w:rPr>
                <w:b/>
                <w:sz w:val="20"/>
                <w:szCs w:val="20"/>
                <w:lang w:val="en-US"/>
              </w:rPr>
            </w:pPr>
            <w:r w:rsidRPr="00E10392">
              <w:rPr>
                <w:b/>
                <w:sz w:val="20"/>
                <w:szCs w:val="20"/>
                <w:lang w:val="en-US"/>
              </w:rPr>
              <w:t>Description</w:t>
            </w:r>
          </w:p>
        </w:tc>
        <w:tc>
          <w:tcPr>
            <w:tcW w:w="735" w:type="pct"/>
            <w:shd w:val="clear" w:color="auto" w:fill="ECE8D3"/>
            <w:vAlign w:val="center"/>
          </w:tcPr>
          <w:p w14:paraId="4CDF1C4A" w14:textId="77777777" w:rsidR="001669B4" w:rsidRPr="00E10392" w:rsidRDefault="001669B4" w:rsidP="00330186">
            <w:pPr>
              <w:pStyle w:val="aDSPara"/>
              <w:spacing w:before="60" w:after="60"/>
              <w:ind w:left="0"/>
              <w:jc w:val="center"/>
              <w:rPr>
                <w:b/>
                <w:sz w:val="20"/>
                <w:szCs w:val="20"/>
                <w:lang w:val="en-US"/>
              </w:rPr>
            </w:pPr>
          </w:p>
          <w:p w14:paraId="264D251E" w14:textId="77777777" w:rsidR="001669B4" w:rsidRPr="00E10392" w:rsidRDefault="001669B4" w:rsidP="00330186">
            <w:pPr>
              <w:pStyle w:val="aDSPara"/>
              <w:spacing w:before="60" w:after="60"/>
              <w:ind w:left="0"/>
              <w:jc w:val="center"/>
              <w:rPr>
                <w:b/>
                <w:sz w:val="20"/>
                <w:szCs w:val="20"/>
                <w:lang w:val="en-US"/>
              </w:rPr>
            </w:pPr>
            <w:r w:rsidRPr="00E10392">
              <w:rPr>
                <w:b/>
                <w:sz w:val="20"/>
                <w:szCs w:val="20"/>
                <w:lang w:val="en-US"/>
              </w:rPr>
              <w:t>Complaint or Non-Complaint</w:t>
            </w:r>
          </w:p>
        </w:tc>
        <w:tc>
          <w:tcPr>
            <w:tcW w:w="1690" w:type="pct"/>
            <w:shd w:val="clear" w:color="auto" w:fill="ECE8D3"/>
            <w:vAlign w:val="center"/>
          </w:tcPr>
          <w:p w14:paraId="7895A864" w14:textId="77777777" w:rsidR="001669B4" w:rsidRPr="00E10392" w:rsidRDefault="001669B4" w:rsidP="00330186">
            <w:pPr>
              <w:pStyle w:val="aDSPara"/>
              <w:spacing w:before="60" w:after="60"/>
              <w:ind w:left="0"/>
              <w:jc w:val="center"/>
              <w:rPr>
                <w:b/>
                <w:sz w:val="20"/>
                <w:szCs w:val="20"/>
                <w:lang w:val="en-US"/>
              </w:rPr>
            </w:pPr>
            <w:r w:rsidRPr="00E10392">
              <w:rPr>
                <w:b/>
                <w:sz w:val="20"/>
                <w:szCs w:val="20"/>
                <w:lang w:val="en-US"/>
              </w:rPr>
              <w:t>Comments</w:t>
            </w:r>
          </w:p>
        </w:tc>
      </w:tr>
      <w:tr w:rsidR="001669B4" w:rsidRPr="00E10392" w14:paraId="2CFC983A" w14:textId="77777777" w:rsidTr="00330186">
        <w:trPr>
          <w:trHeight w:val="291"/>
        </w:trPr>
        <w:tc>
          <w:tcPr>
            <w:tcW w:w="292" w:type="pct"/>
          </w:tcPr>
          <w:p w14:paraId="1DFD6A00" w14:textId="77777777" w:rsidR="001669B4" w:rsidRPr="00E10392" w:rsidRDefault="001669B4" w:rsidP="00330186">
            <w:pPr>
              <w:pStyle w:val="aDSPara"/>
              <w:spacing w:before="60" w:after="60"/>
              <w:ind w:left="0"/>
              <w:jc w:val="center"/>
              <w:rPr>
                <w:sz w:val="20"/>
                <w:szCs w:val="20"/>
                <w:lang w:val="en-US"/>
              </w:rPr>
            </w:pPr>
            <w:r w:rsidRPr="00E10392">
              <w:rPr>
                <w:sz w:val="20"/>
                <w:szCs w:val="20"/>
                <w:lang w:val="en-US"/>
              </w:rPr>
              <w:t>1</w:t>
            </w:r>
          </w:p>
        </w:tc>
        <w:tc>
          <w:tcPr>
            <w:tcW w:w="2283" w:type="pct"/>
          </w:tcPr>
          <w:p w14:paraId="1DD849EF" w14:textId="23923B7B" w:rsidR="001669B4" w:rsidRPr="00E10392" w:rsidRDefault="00ED730D" w:rsidP="003B1532">
            <w:pPr>
              <w:widowControl/>
              <w:spacing w:before="0" w:after="0"/>
              <w:jc w:val="both"/>
              <w:outlineLvl w:val="9"/>
              <w:rPr>
                <w:sz w:val="20"/>
                <w:szCs w:val="20"/>
                <w:lang w:val="en-US"/>
              </w:rPr>
            </w:pPr>
            <w:r>
              <w:rPr>
                <w:lang w:val="en-US"/>
              </w:rPr>
              <w:t xml:space="preserve">Laser diffraction (particle size) with dynamic image (particle shape) analyser </w:t>
            </w:r>
            <w:r w:rsidR="004B22F0">
              <w:rPr>
                <w:sz w:val="20"/>
                <w:szCs w:val="20"/>
                <w:lang w:val="en-US"/>
              </w:rPr>
              <w:t>with built in:</w:t>
            </w:r>
          </w:p>
          <w:p w14:paraId="3AA2F14C" w14:textId="1601DFBB" w:rsidR="004B22F0" w:rsidRDefault="004B22F0" w:rsidP="003B1532">
            <w:pPr>
              <w:pStyle w:val="ListParagraph"/>
              <w:widowControl/>
              <w:numPr>
                <w:ilvl w:val="0"/>
                <w:numId w:val="40"/>
              </w:numPr>
              <w:spacing w:before="0" w:after="0"/>
              <w:jc w:val="both"/>
              <w:outlineLvl w:val="9"/>
              <w:rPr>
                <w:sz w:val="20"/>
                <w:szCs w:val="20"/>
                <w:lang w:val="en-US"/>
              </w:rPr>
            </w:pPr>
            <w:r>
              <w:rPr>
                <w:sz w:val="20"/>
                <w:szCs w:val="20"/>
                <w:lang w:val="en-US"/>
              </w:rPr>
              <w:t>Ultrasonic probe</w:t>
            </w:r>
          </w:p>
          <w:p w14:paraId="147040A2" w14:textId="539C5BC4" w:rsidR="004F457D" w:rsidRPr="004F457D" w:rsidRDefault="004F457D" w:rsidP="003B1532">
            <w:pPr>
              <w:pStyle w:val="ListParagraph"/>
              <w:widowControl/>
              <w:numPr>
                <w:ilvl w:val="0"/>
                <w:numId w:val="40"/>
              </w:numPr>
              <w:spacing w:before="0" w:after="0"/>
              <w:jc w:val="both"/>
              <w:outlineLvl w:val="9"/>
              <w:rPr>
                <w:sz w:val="20"/>
                <w:szCs w:val="20"/>
                <w:lang w:val="en-US"/>
              </w:rPr>
            </w:pPr>
            <w:r w:rsidRPr="004F457D">
              <w:rPr>
                <w:sz w:val="20"/>
                <w:szCs w:val="20"/>
              </w:rPr>
              <w:t>Debubbling</w:t>
            </w:r>
            <w:r>
              <w:rPr>
                <w:sz w:val="20"/>
                <w:szCs w:val="20"/>
              </w:rPr>
              <w:t xml:space="preserve"> / </w:t>
            </w:r>
            <w:r w:rsidRPr="004F457D">
              <w:rPr>
                <w:sz w:val="20"/>
                <w:szCs w:val="20"/>
              </w:rPr>
              <w:t>Deaeration</w:t>
            </w:r>
            <w:r>
              <w:rPr>
                <w:sz w:val="20"/>
                <w:szCs w:val="20"/>
              </w:rPr>
              <w:t xml:space="preserve"> step </w:t>
            </w:r>
          </w:p>
          <w:p w14:paraId="0E19FE16" w14:textId="178CED17" w:rsidR="004B22F0" w:rsidRDefault="004B22F0" w:rsidP="003B1532">
            <w:pPr>
              <w:pStyle w:val="ListParagraph"/>
              <w:widowControl/>
              <w:numPr>
                <w:ilvl w:val="0"/>
                <w:numId w:val="40"/>
              </w:numPr>
              <w:spacing w:before="0" w:after="0"/>
              <w:jc w:val="both"/>
              <w:outlineLvl w:val="9"/>
              <w:rPr>
                <w:sz w:val="20"/>
                <w:szCs w:val="20"/>
                <w:lang w:val="en-US"/>
              </w:rPr>
            </w:pPr>
            <w:r>
              <w:rPr>
                <w:sz w:val="20"/>
                <w:szCs w:val="20"/>
                <w:lang w:val="en-US"/>
              </w:rPr>
              <w:t>Rince fluid pump</w:t>
            </w:r>
            <w:r w:rsidR="00B14C89">
              <w:rPr>
                <w:sz w:val="20"/>
                <w:szCs w:val="20"/>
                <w:lang w:val="en-US"/>
              </w:rPr>
              <w:t xml:space="preserve"> (not peristaltic pumps)</w:t>
            </w:r>
          </w:p>
          <w:p w14:paraId="5DEF4F46" w14:textId="60E6B826" w:rsidR="004B22F0" w:rsidRDefault="004B22F0" w:rsidP="003B1532">
            <w:pPr>
              <w:pStyle w:val="ListParagraph"/>
              <w:widowControl/>
              <w:numPr>
                <w:ilvl w:val="0"/>
                <w:numId w:val="40"/>
              </w:numPr>
              <w:spacing w:before="0" w:after="0"/>
              <w:jc w:val="both"/>
              <w:outlineLvl w:val="9"/>
              <w:rPr>
                <w:sz w:val="20"/>
                <w:szCs w:val="20"/>
                <w:lang w:val="en-US"/>
              </w:rPr>
            </w:pPr>
            <w:r>
              <w:rPr>
                <w:sz w:val="20"/>
                <w:szCs w:val="20"/>
                <w:lang w:val="en-US"/>
              </w:rPr>
              <w:t>Analyses fluid pump</w:t>
            </w:r>
          </w:p>
          <w:p w14:paraId="673FE30E" w14:textId="0B73F675" w:rsidR="004B22F0" w:rsidRDefault="008C100B" w:rsidP="003B1532">
            <w:pPr>
              <w:pStyle w:val="ListParagraph"/>
              <w:widowControl/>
              <w:numPr>
                <w:ilvl w:val="0"/>
                <w:numId w:val="40"/>
              </w:numPr>
              <w:spacing w:before="0" w:after="0"/>
              <w:jc w:val="both"/>
              <w:outlineLvl w:val="9"/>
              <w:rPr>
                <w:sz w:val="20"/>
                <w:szCs w:val="20"/>
                <w:lang w:val="en-US"/>
              </w:rPr>
            </w:pPr>
            <w:r>
              <w:rPr>
                <w:sz w:val="20"/>
                <w:szCs w:val="20"/>
                <w:lang w:val="en-US"/>
              </w:rPr>
              <w:t>Multi-solvent resistant s</w:t>
            </w:r>
            <w:r w:rsidR="004B22F0">
              <w:rPr>
                <w:sz w:val="20"/>
                <w:szCs w:val="20"/>
                <w:lang w:val="en-US"/>
              </w:rPr>
              <w:t xml:space="preserve">tandard volume liquid handling system capable of measuring particle size from </w:t>
            </w:r>
            <w:r w:rsidR="006E6793">
              <w:rPr>
                <w:sz w:val="20"/>
                <w:szCs w:val="20"/>
                <w:lang w:val="en-US"/>
              </w:rPr>
              <w:t>0.01 µm</w:t>
            </w:r>
            <w:r w:rsidR="004B22F0">
              <w:rPr>
                <w:sz w:val="20"/>
                <w:szCs w:val="20"/>
                <w:lang w:val="en-US"/>
              </w:rPr>
              <w:t xml:space="preserve"> to 4000 µm</w:t>
            </w:r>
            <w:r w:rsidR="006E6793">
              <w:rPr>
                <w:sz w:val="20"/>
                <w:szCs w:val="20"/>
                <w:lang w:val="en-US"/>
              </w:rPr>
              <w:t>.</w:t>
            </w:r>
          </w:p>
          <w:p w14:paraId="69024671" w14:textId="7F7C38C1" w:rsidR="006E6793" w:rsidRDefault="006E6793" w:rsidP="003B1532">
            <w:pPr>
              <w:pStyle w:val="ListParagraph"/>
              <w:widowControl/>
              <w:numPr>
                <w:ilvl w:val="0"/>
                <w:numId w:val="40"/>
              </w:numPr>
              <w:spacing w:before="0" w:after="0"/>
              <w:jc w:val="both"/>
              <w:outlineLvl w:val="9"/>
              <w:rPr>
                <w:sz w:val="20"/>
                <w:szCs w:val="20"/>
                <w:lang w:val="en-US"/>
              </w:rPr>
            </w:pPr>
            <w:r>
              <w:rPr>
                <w:sz w:val="20"/>
                <w:szCs w:val="20"/>
                <w:lang w:val="en-US"/>
              </w:rPr>
              <w:t>Low volume liquid handling system, with a maximum capacity of 8 ml, capable of measuring particle size from 0.01 µm to 500 µm</w:t>
            </w:r>
          </w:p>
          <w:p w14:paraId="2181B59C" w14:textId="53644247" w:rsidR="006E6793" w:rsidRDefault="006E6793" w:rsidP="003B1532">
            <w:pPr>
              <w:pStyle w:val="ListParagraph"/>
              <w:numPr>
                <w:ilvl w:val="0"/>
                <w:numId w:val="40"/>
              </w:numPr>
              <w:jc w:val="both"/>
              <w:rPr>
                <w:sz w:val="20"/>
                <w:szCs w:val="20"/>
                <w:lang w:val="en-US"/>
              </w:rPr>
            </w:pPr>
            <w:r>
              <w:rPr>
                <w:sz w:val="20"/>
                <w:szCs w:val="20"/>
                <w:lang w:val="en-US"/>
              </w:rPr>
              <w:t>Laser (not LED) diffraction that uses a minimum of 3 x solid-state diode lasers.</w:t>
            </w:r>
          </w:p>
          <w:p w14:paraId="1FCC4920" w14:textId="04FFA807" w:rsidR="006E6793" w:rsidRPr="00851CFF" w:rsidRDefault="006E6793" w:rsidP="003B1532">
            <w:pPr>
              <w:pStyle w:val="ListParagraph"/>
              <w:numPr>
                <w:ilvl w:val="0"/>
                <w:numId w:val="40"/>
              </w:numPr>
              <w:jc w:val="both"/>
              <w:rPr>
                <w:sz w:val="20"/>
                <w:szCs w:val="20"/>
                <w:lang w:val="en-US"/>
              </w:rPr>
            </w:pPr>
            <w:r>
              <w:rPr>
                <w:sz w:val="20"/>
                <w:szCs w:val="20"/>
                <w:lang w:val="en-US"/>
              </w:rPr>
              <w:t xml:space="preserve">Laser diffraction and dynamic image measurements </w:t>
            </w:r>
            <w:r w:rsidR="00ED730D">
              <w:rPr>
                <w:sz w:val="20"/>
                <w:szCs w:val="20"/>
                <w:lang w:val="en-US"/>
              </w:rPr>
              <w:t>that can be conducted</w:t>
            </w:r>
            <w:r>
              <w:rPr>
                <w:sz w:val="20"/>
                <w:szCs w:val="20"/>
                <w:lang w:val="en-US"/>
              </w:rPr>
              <w:t xml:space="preserve"> </w:t>
            </w:r>
            <w:r w:rsidR="00ED730D">
              <w:rPr>
                <w:sz w:val="20"/>
                <w:szCs w:val="20"/>
                <w:lang w:val="en-US"/>
              </w:rPr>
              <w:t xml:space="preserve">synchronously </w:t>
            </w:r>
            <w:r>
              <w:rPr>
                <w:sz w:val="20"/>
                <w:szCs w:val="20"/>
                <w:lang w:val="en-US"/>
              </w:rPr>
              <w:t>(i.e.</w:t>
            </w:r>
            <w:r w:rsidR="00ED730D">
              <w:rPr>
                <w:sz w:val="20"/>
                <w:szCs w:val="20"/>
                <w:lang w:val="en-US"/>
              </w:rPr>
              <w:t xml:space="preserve"> </w:t>
            </w:r>
            <w:r>
              <w:rPr>
                <w:sz w:val="20"/>
                <w:szCs w:val="20"/>
                <w:lang w:val="en-US"/>
              </w:rPr>
              <w:t>analysis</w:t>
            </w:r>
            <w:r w:rsidR="00ED730D">
              <w:rPr>
                <w:sz w:val="20"/>
                <w:szCs w:val="20"/>
                <w:lang w:val="en-US"/>
              </w:rPr>
              <w:t xml:space="preserve"> </w:t>
            </w:r>
            <w:r>
              <w:rPr>
                <w:sz w:val="20"/>
                <w:szCs w:val="20"/>
                <w:lang w:val="en-US"/>
              </w:rPr>
              <w:t>measurements must be made at the same time in the same cell)</w:t>
            </w:r>
          </w:p>
          <w:p w14:paraId="04C0EE0B" w14:textId="0764F26D" w:rsidR="001669B4" w:rsidRPr="00E10392" w:rsidRDefault="001669B4" w:rsidP="003B1532">
            <w:pPr>
              <w:pStyle w:val="ListParagraph"/>
              <w:numPr>
                <w:ilvl w:val="0"/>
                <w:numId w:val="40"/>
              </w:numPr>
              <w:jc w:val="both"/>
              <w:rPr>
                <w:sz w:val="20"/>
                <w:szCs w:val="20"/>
                <w:lang w:val="en-US"/>
              </w:rPr>
            </w:pPr>
            <w:r w:rsidRPr="00E10392">
              <w:rPr>
                <w:sz w:val="20"/>
                <w:szCs w:val="20"/>
                <w:lang w:val="en-US"/>
              </w:rPr>
              <w:t xml:space="preserve">Software to offer </w:t>
            </w:r>
            <w:r w:rsidR="00851CFF">
              <w:rPr>
                <w:sz w:val="20"/>
                <w:szCs w:val="20"/>
                <w:lang w:val="en-US"/>
              </w:rPr>
              <w:t>laser particle size distributions using Fraunhofer diffraction and Mie compensation for spherical particles as well as modified-Mie compensation for non-spherical particle analysis.</w:t>
            </w:r>
          </w:p>
          <w:p w14:paraId="7878C654" w14:textId="0A040273" w:rsidR="001669B4" w:rsidRPr="00E10392" w:rsidRDefault="001669B4" w:rsidP="003B1532">
            <w:pPr>
              <w:pStyle w:val="ListParagraph"/>
              <w:widowControl/>
              <w:numPr>
                <w:ilvl w:val="0"/>
                <w:numId w:val="40"/>
              </w:numPr>
              <w:spacing w:before="0" w:after="0"/>
              <w:jc w:val="both"/>
              <w:outlineLvl w:val="9"/>
              <w:rPr>
                <w:sz w:val="20"/>
                <w:szCs w:val="20"/>
                <w:lang w:val="en-US"/>
              </w:rPr>
            </w:pPr>
            <w:r w:rsidRPr="00E10392">
              <w:rPr>
                <w:sz w:val="20"/>
                <w:szCs w:val="20"/>
                <w:lang w:val="en-US"/>
              </w:rPr>
              <w:t xml:space="preserve">Computer: Consists of a Windows Computer with the following minimum requirements: 2.0 gigahertz (GHz) or faster, 64-bit (x64) processor </w:t>
            </w:r>
            <w:r w:rsidR="00B14C89">
              <w:rPr>
                <w:sz w:val="20"/>
                <w:szCs w:val="20"/>
                <w:lang w:val="en-US"/>
              </w:rPr>
              <w:t>16</w:t>
            </w:r>
            <w:r w:rsidRPr="00E10392">
              <w:rPr>
                <w:sz w:val="20"/>
                <w:szCs w:val="20"/>
                <w:lang w:val="en-US"/>
              </w:rPr>
              <w:t xml:space="preserve"> GB RAM (64-bit) 500 GB minimum SSD Hard Disk Space, including at least one available Ethernet port for instrument communications, 19-inch or larger Color Monitor (220V).</w:t>
            </w:r>
          </w:p>
        </w:tc>
        <w:tc>
          <w:tcPr>
            <w:tcW w:w="735" w:type="pct"/>
          </w:tcPr>
          <w:p w14:paraId="4C5D7668" w14:textId="77777777" w:rsidR="001669B4" w:rsidRPr="00E10392" w:rsidRDefault="001669B4" w:rsidP="00330186">
            <w:pPr>
              <w:pStyle w:val="aDSPara"/>
              <w:spacing w:before="60" w:after="60"/>
              <w:ind w:left="0"/>
              <w:jc w:val="left"/>
              <w:rPr>
                <w:sz w:val="20"/>
                <w:szCs w:val="20"/>
                <w:lang w:val="en-US"/>
              </w:rPr>
            </w:pPr>
          </w:p>
        </w:tc>
        <w:tc>
          <w:tcPr>
            <w:tcW w:w="1690" w:type="pct"/>
          </w:tcPr>
          <w:p w14:paraId="38945138" w14:textId="77777777" w:rsidR="001669B4" w:rsidRPr="00E10392" w:rsidRDefault="001669B4" w:rsidP="00330186">
            <w:pPr>
              <w:pStyle w:val="aDSPara"/>
              <w:spacing w:before="60" w:after="60"/>
              <w:ind w:left="0"/>
              <w:jc w:val="left"/>
              <w:rPr>
                <w:sz w:val="20"/>
                <w:szCs w:val="20"/>
                <w:lang w:val="en-US"/>
              </w:rPr>
            </w:pPr>
          </w:p>
        </w:tc>
      </w:tr>
      <w:tr w:rsidR="006E6793" w:rsidRPr="00E10392" w14:paraId="65A36903" w14:textId="77777777" w:rsidTr="00330186">
        <w:trPr>
          <w:trHeight w:val="291"/>
        </w:trPr>
        <w:tc>
          <w:tcPr>
            <w:tcW w:w="292" w:type="pct"/>
          </w:tcPr>
          <w:p w14:paraId="61D611D1" w14:textId="0120D102" w:rsidR="006E6793" w:rsidRPr="00E10392" w:rsidRDefault="006E6793" w:rsidP="00330186">
            <w:pPr>
              <w:pStyle w:val="aDSPara"/>
              <w:spacing w:before="60" w:after="60"/>
              <w:ind w:left="0"/>
              <w:jc w:val="center"/>
              <w:rPr>
                <w:sz w:val="20"/>
                <w:szCs w:val="20"/>
                <w:lang w:val="en-US"/>
              </w:rPr>
            </w:pPr>
            <w:r>
              <w:rPr>
                <w:sz w:val="20"/>
                <w:szCs w:val="20"/>
                <w:lang w:val="en-US"/>
              </w:rPr>
              <w:t xml:space="preserve">2. </w:t>
            </w:r>
          </w:p>
        </w:tc>
        <w:tc>
          <w:tcPr>
            <w:tcW w:w="2283" w:type="pct"/>
          </w:tcPr>
          <w:p w14:paraId="6C765F5B" w14:textId="0534F606" w:rsidR="006E6793" w:rsidRPr="009E13AC" w:rsidRDefault="006E6793" w:rsidP="003B1532">
            <w:pPr>
              <w:widowControl/>
              <w:spacing w:before="0" w:after="0"/>
              <w:jc w:val="both"/>
              <w:outlineLvl w:val="9"/>
              <w:rPr>
                <w:sz w:val="20"/>
                <w:szCs w:val="20"/>
                <w:lang w:val="en-US"/>
              </w:rPr>
            </w:pPr>
            <w:r w:rsidRPr="006E6793">
              <w:rPr>
                <w:sz w:val="20"/>
                <w:szCs w:val="20"/>
                <w:lang w:val="en-US"/>
              </w:rPr>
              <w:t>Dry module for dry powder dispersion and analyses</w:t>
            </w:r>
            <w:r>
              <w:rPr>
                <w:sz w:val="20"/>
                <w:szCs w:val="20"/>
                <w:lang w:val="en-US"/>
              </w:rPr>
              <w:t>.</w:t>
            </w:r>
            <w:r w:rsidR="00ED730D">
              <w:rPr>
                <w:sz w:val="20"/>
                <w:szCs w:val="20"/>
                <w:lang w:val="en-US"/>
              </w:rPr>
              <w:t xml:space="preserve"> In addition to particle size,</w:t>
            </w:r>
            <w:r>
              <w:rPr>
                <w:sz w:val="20"/>
                <w:szCs w:val="20"/>
                <w:lang w:val="en-US"/>
              </w:rPr>
              <w:t xml:space="preserve"> </w:t>
            </w:r>
            <w:r w:rsidR="00ED730D">
              <w:rPr>
                <w:sz w:val="20"/>
                <w:szCs w:val="20"/>
                <w:lang w:val="en-US"/>
              </w:rPr>
              <w:t>p</w:t>
            </w:r>
            <w:r>
              <w:rPr>
                <w:sz w:val="20"/>
                <w:szCs w:val="20"/>
                <w:lang w:val="en-US"/>
              </w:rPr>
              <w:t xml:space="preserve">article morphological analyses must also be possible using dry powders. </w:t>
            </w:r>
            <w:r w:rsidR="00895C7B">
              <w:rPr>
                <w:sz w:val="20"/>
                <w:szCs w:val="20"/>
                <w:lang w:val="en-US"/>
              </w:rPr>
              <w:t xml:space="preserve">The module also needs to come with a regulator to keep gas flow at a constant of 50 kPA during feeding and dispersion. </w:t>
            </w:r>
          </w:p>
        </w:tc>
        <w:tc>
          <w:tcPr>
            <w:tcW w:w="735" w:type="pct"/>
          </w:tcPr>
          <w:p w14:paraId="14351D7F" w14:textId="77777777" w:rsidR="006E6793" w:rsidRPr="00E10392" w:rsidRDefault="006E6793" w:rsidP="00330186">
            <w:pPr>
              <w:pStyle w:val="aDSPara"/>
              <w:spacing w:before="60" w:after="60"/>
              <w:ind w:left="0"/>
              <w:jc w:val="left"/>
              <w:rPr>
                <w:sz w:val="20"/>
                <w:szCs w:val="20"/>
                <w:lang w:val="en-US"/>
              </w:rPr>
            </w:pPr>
          </w:p>
        </w:tc>
        <w:tc>
          <w:tcPr>
            <w:tcW w:w="1690" w:type="pct"/>
          </w:tcPr>
          <w:p w14:paraId="54B9594B" w14:textId="77777777" w:rsidR="006E6793" w:rsidRPr="00E10392" w:rsidRDefault="006E6793" w:rsidP="00330186">
            <w:pPr>
              <w:pStyle w:val="aDSPara"/>
              <w:spacing w:before="60" w:after="60"/>
              <w:ind w:left="0"/>
              <w:jc w:val="left"/>
              <w:rPr>
                <w:sz w:val="20"/>
                <w:szCs w:val="20"/>
                <w:lang w:val="en-US"/>
              </w:rPr>
            </w:pPr>
          </w:p>
        </w:tc>
      </w:tr>
      <w:tr w:rsidR="00851CFF" w:rsidRPr="00E10392" w14:paraId="4370B511" w14:textId="77777777" w:rsidTr="00330186">
        <w:trPr>
          <w:trHeight w:val="291"/>
        </w:trPr>
        <w:tc>
          <w:tcPr>
            <w:tcW w:w="292" w:type="pct"/>
          </w:tcPr>
          <w:p w14:paraId="1B8C0232" w14:textId="55DF2DFB" w:rsidR="00851CFF" w:rsidRDefault="00851CFF" w:rsidP="00330186">
            <w:pPr>
              <w:pStyle w:val="aDSPara"/>
              <w:spacing w:before="60" w:after="60"/>
              <w:ind w:left="0"/>
              <w:jc w:val="center"/>
              <w:rPr>
                <w:sz w:val="20"/>
                <w:szCs w:val="20"/>
                <w:lang w:val="en-US"/>
              </w:rPr>
            </w:pPr>
            <w:r>
              <w:rPr>
                <w:sz w:val="20"/>
                <w:szCs w:val="20"/>
                <w:lang w:val="en-US"/>
              </w:rPr>
              <w:t>3</w:t>
            </w:r>
          </w:p>
        </w:tc>
        <w:tc>
          <w:tcPr>
            <w:tcW w:w="2283" w:type="pct"/>
          </w:tcPr>
          <w:p w14:paraId="653CEB57" w14:textId="1BF4A432" w:rsidR="00851CFF" w:rsidRPr="006E6793" w:rsidRDefault="00B14C89" w:rsidP="003B1532">
            <w:pPr>
              <w:widowControl/>
              <w:spacing w:before="0" w:after="0"/>
              <w:jc w:val="both"/>
              <w:outlineLvl w:val="9"/>
              <w:rPr>
                <w:sz w:val="20"/>
                <w:szCs w:val="20"/>
                <w:lang w:val="en-US"/>
              </w:rPr>
            </w:pPr>
            <w:r>
              <w:rPr>
                <w:sz w:val="20"/>
                <w:szCs w:val="20"/>
                <w:lang w:val="en-US"/>
              </w:rPr>
              <w:t xml:space="preserve">Online Pure Sine Wave </w:t>
            </w:r>
            <w:r w:rsidR="00851CFF" w:rsidRPr="00851CFF">
              <w:rPr>
                <w:sz w:val="20"/>
                <w:szCs w:val="20"/>
                <w:lang w:val="en-US"/>
              </w:rPr>
              <w:t>Uninterruptible Power Supply (UPS) provides instant</w:t>
            </w:r>
            <w:r w:rsidR="00851CFF">
              <w:rPr>
                <w:sz w:val="20"/>
                <w:szCs w:val="20"/>
                <w:lang w:val="en-US"/>
              </w:rPr>
              <w:t xml:space="preserve"> and </w:t>
            </w:r>
            <w:r w:rsidR="00851CFF" w:rsidRPr="00851CFF">
              <w:rPr>
                <w:sz w:val="20"/>
                <w:szCs w:val="20"/>
                <w:lang w:val="en-US"/>
              </w:rPr>
              <w:t xml:space="preserve">short-term </w:t>
            </w:r>
            <w:r w:rsidR="00851CFF" w:rsidRPr="00851CFF">
              <w:rPr>
                <w:sz w:val="20"/>
                <w:szCs w:val="20"/>
                <w:lang w:val="en-US"/>
              </w:rPr>
              <w:lastRenderedPageBreak/>
              <w:t>battery backup power</w:t>
            </w:r>
            <w:r>
              <w:rPr>
                <w:sz w:val="20"/>
                <w:szCs w:val="20"/>
                <w:lang w:val="en-US"/>
              </w:rPr>
              <w:t xml:space="preserve"> for the entire system</w:t>
            </w:r>
            <w:r w:rsidR="00ED730D">
              <w:rPr>
                <w:sz w:val="20"/>
                <w:szCs w:val="20"/>
                <w:lang w:val="en-US"/>
              </w:rPr>
              <w:t xml:space="preserve">, for no less than </w:t>
            </w:r>
            <w:r>
              <w:rPr>
                <w:sz w:val="20"/>
                <w:szCs w:val="20"/>
                <w:lang w:val="en-US"/>
              </w:rPr>
              <w:t>3</w:t>
            </w:r>
            <w:r w:rsidR="00ED730D">
              <w:rPr>
                <w:sz w:val="20"/>
                <w:szCs w:val="20"/>
                <w:lang w:val="en-US"/>
              </w:rPr>
              <w:t xml:space="preserve">0 min, for if / </w:t>
            </w:r>
            <w:r w:rsidR="00851CFF" w:rsidRPr="00851CFF">
              <w:rPr>
                <w:sz w:val="20"/>
                <w:szCs w:val="20"/>
                <w:lang w:val="en-US"/>
              </w:rPr>
              <w:t>when the main electricity fails</w:t>
            </w:r>
            <w:r w:rsidR="00851CFF">
              <w:rPr>
                <w:sz w:val="20"/>
                <w:szCs w:val="20"/>
                <w:lang w:val="en-US"/>
              </w:rPr>
              <w:t xml:space="preserve">. </w:t>
            </w:r>
          </w:p>
        </w:tc>
        <w:tc>
          <w:tcPr>
            <w:tcW w:w="735" w:type="pct"/>
          </w:tcPr>
          <w:p w14:paraId="6D1D44C4" w14:textId="77777777" w:rsidR="00851CFF" w:rsidRPr="00E10392" w:rsidRDefault="00851CFF" w:rsidP="00330186">
            <w:pPr>
              <w:pStyle w:val="aDSPara"/>
              <w:spacing w:before="60" w:after="60"/>
              <w:ind w:left="0"/>
              <w:jc w:val="left"/>
              <w:rPr>
                <w:sz w:val="20"/>
                <w:szCs w:val="20"/>
                <w:lang w:val="en-US"/>
              </w:rPr>
            </w:pPr>
          </w:p>
        </w:tc>
        <w:tc>
          <w:tcPr>
            <w:tcW w:w="1690" w:type="pct"/>
          </w:tcPr>
          <w:p w14:paraId="16E3FD14" w14:textId="77777777" w:rsidR="00851CFF" w:rsidRPr="00E10392" w:rsidRDefault="00851CFF" w:rsidP="00330186">
            <w:pPr>
              <w:pStyle w:val="aDSPara"/>
              <w:spacing w:before="60" w:after="60"/>
              <w:ind w:left="0"/>
              <w:jc w:val="left"/>
              <w:rPr>
                <w:sz w:val="20"/>
                <w:szCs w:val="20"/>
                <w:lang w:val="en-US"/>
              </w:rPr>
            </w:pPr>
          </w:p>
        </w:tc>
      </w:tr>
      <w:tr w:rsidR="001669B4" w:rsidRPr="00E10392" w14:paraId="25F1E74E" w14:textId="77777777" w:rsidTr="00330186">
        <w:trPr>
          <w:trHeight w:val="291"/>
        </w:trPr>
        <w:tc>
          <w:tcPr>
            <w:tcW w:w="292" w:type="pct"/>
          </w:tcPr>
          <w:p w14:paraId="7168BC76" w14:textId="22FEFA85" w:rsidR="001669B4" w:rsidRPr="00E10392" w:rsidRDefault="00851CFF" w:rsidP="00330186">
            <w:pPr>
              <w:pStyle w:val="aDSPara"/>
              <w:spacing w:before="60" w:after="60"/>
              <w:ind w:left="0"/>
              <w:jc w:val="center"/>
              <w:rPr>
                <w:sz w:val="20"/>
                <w:szCs w:val="20"/>
                <w:lang w:val="en-US"/>
              </w:rPr>
            </w:pPr>
            <w:r>
              <w:rPr>
                <w:sz w:val="20"/>
                <w:szCs w:val="20"/>
                <w:lang w:val="en-US"/>
              </w:rPr>
              <w:t>4</w:t>
            </w:r>
          </w:p>
        </w:tc>
        <w:tc>
          <w:tcPr>
            <w:tcW w:w="2283" w:type="pct"/>
          </w:tcPr>
          <w:p w14:paraId="5A130170" w14:textId="5F3CFB7A" w:rsidR="001669B4" w:rsidRPr="00E10392" w:rsidRDefault="00851CFF" w:rsidP="003B1532">
            <w:pPr>
              <w:widowControl/>
              <w:spacing w:before="0" w:after="0"/>
              <w:jc w:val="both"/>
              <w:outlineLvl w:val="9"/>
              <w:rPr>
                <w:sz w:val="20"/>
                <w:szCs w:val="20"/>
                <w:lang w:val="en-US"/>
              </w:rPr>
            </w:pPr>
            <w:r>
              <w:rPr>
                <w:sz w:val="20"/>
                <w:szCs w:val="20"/>
                <w:lang w:val="en-US"/>
              </w:rPr>
              <w:t>2</w:t>
            </w:r>
            <w:r w:rsidR="001669B4" w:rsidRPr="00E10392">
              <w:rPr>
                <w:sz w:val="20"/>
                <w:szCs w:val="20"/>
                <w:lang w:val="en-US"/>
              </w:rPr>
              <w:t xml:space="preserve">-year maintenance plan, starting from the date of expiry of the </w:t>
            </w:r>
            <w:r w:rsidR="00B14C89">
              <w:rPr>
                <w:sz w:val="20"/>
                <w:szCs w:val="20"/>
                <w:lang w:val="en-US"/>
              </w:rPr>
              <w:t>3</w:t>
            </w:r>
            <w:r w:rsidR="001669B4" w:rsidRPr="00E10392">
              <w:rPr>
                <w:sz w:val="20"/>
                <w:szCs w:val="20"/>
                <w:lang w:val="en-US"/>
              </w:rPr>
              <w:t xml:space="preserve">-year warranty </w:t>
            </w:r>
            <w:r w:rsidRPr="00E10392">
              <w:rPr>
                <w:sz w:val="20"/>
                <w:szCs w:val="20"/>
                <w:lang w:val="en-US"/>
              </w:rPr>
              <w:t>for</w:t>
            </w:r>
            <w:r w:rsidR="001669B4" w:rsidRPr="00E10392">
              <w:rPr>
                <w:sz w:val="20"/>
                <w:szCs w:val="20"/>
                <w:lang w:val="en-US"/>
              </w:rPr>
              <w:t xml:space="preserve"> the following </w:t>
            </w:r>
            <w:r w:rsidR="001669B4" w:rsidRPr="00E10392">
              <w:rPr>
                <w:sz w:val="20"/>
                <w:szCs w:val="20"/>
                <w:u w:val="single"/>
                <w:lang w:val="en-US"/>
              </w:rPr>
              <w:t>per year</w:t>
            </w:r>
            <w:r w:rsidR="001669B4" w:rsidRPr="00E10392">
              <w:rPr>
                <w:sz w:val="20"/>
                <w:szCs w:val="20"/>
                <w:lang w:val="en-US"/>
              </w:rPr>
              <w:t xml:space="preserve">: </w:t>
            </w:r>
          </w:p>
          <w:p w14:paraId="262B0838" w14:textId="77777777" w:rsidR="001669B4" w:rsidRPr="00E10392" w:rsidRDefault="001669B4" w:rsidP="003B1532">
            <w:pPr>
              <w:pStyle w:val="ListParagraph"/>
              <w:widowControl/>
              <w:numPr>
                <w:ilvl w:val="0"/>
                <w:numId w:val="41"/>
              </w:numPr>
              <w:spacing w:before="0" w:after="0"/>
              <w:jc w:val="both"/>
              <w:outlineLvl w:val="9"/>
              <w:rPr>
                <w:sz w:val="20"/>
                <w:szCs w:val="20"/>
                <w:lang w:val="en-US"/>
              </w:rPr>
            </w:pPr>
            <w:r w:rsidRPr="00E10392">
              <w:rPr>
                <w:sz w:val="20"/>
                <w:szCs w:val="20"/>
                <w:lang w:val="en-US"/>
              </w:rPr>
              <w:t xml:space="preserve">1 x major service, </w:t>
            </w:r>
          </w:p>
          <w:p w14:paraId="5BE720B6" w14:textId="09E100EE" w:rsidR="001669B4" w:rsidRPr="00E10392" w:rsidRDefault="001669B4" w:rsidP="003B1532">
            <w:pPr>
              <w:pStyle w:val="ListParagraph"/>
              <w:widowControl/>
              <w:numPr>
                <w:ilvl w:val="0"/>
                <w:numId w:val="41"/>
              </w:numPr>
              <w:spacing w:before="0" w:after="0"/>
              <w:jc w:val="both"/>
              <w:outlineLvl w:val="9"/>
              <w:rPr>
                <w:sz w:val="20"/>
                <w:szCs w:val="20"/>
                <w:lang w:val="en-US"/>
              </w:rPr>
            </w:pPr>
            <w:r w:rsidRPr="00E10392">
              <w:rPr>
                <w:sz w:val="20"/>
                <w:szCs w:val="20"/>
                <w:lang w:val="en-US"/>
              </w:rPr>
              <w:t xml:space="preserve">1 x minor services according to original equipment </w:t>
            </w:r>
            <w:r w:rsidR="00851CFF" w:rsidRPr="00E10392">
              <w:rPr>
                <w:sz w:val="20"/>
                <w:szCs w:val="20"/>
                <w:lang w:val="en-US"/>
              </w:rPr>
              <w:t>manufacturers’</w:t>
            </w:r>
            <w:r w:rsidRPr="00E10392">
              <w:rPr>
                <w:sz w:val="20"/>
                <w:szCs w:val="20"/>
                <w:lang w:val="en-US"/>
              </w:rPr>
              <w:t xml:space="preserve"> specifications, </w:t>
            </w:r>
          </w:p>
          <w:p w14:paraId="4CDED430" w14:textId="77777777" w:rsidR="001669B4" w:rsidRPr="00E10392" w:rsidRDefault="001669B4" w:rsidP="003B1532">
            <w:pPr>
              <w:pStyle w:val="ListParagraph"/>
              <w:widowControl/>
              <w:numPr>
                <w:ilvl w:val="0"/>
                <w:numId w:val="41"/>
              </w:numPr>
              <w:spacing w:before="0" w:after="0"/>
              <w:jc w:val="both"/>
              <w:outlineLvl w:val="9"/>
              <w:rPr>
                <w:sz w:val="20"/>
                <w:szCs w:val="20"/>
                <w:lang w:val="en-US"/>
              </w:rPr>
            </w:pPr>
            <w:r w:rsidRPr="00E10392">
              <w:rPr>
                <w:sz w:val="20"/>
                <w:szCs w:val="20"/>
                <w:lang w:val="en-US"/>
              </w:rPr>
              <w:t xml:space="preserve">6 x day ad-hoc call outs, </w:t>
            </w:r>
          </w:p>
          <w:p w14:paraId="1B7F08C3" w14:textId="77777777" w:rsidR="001669B4" w:rsidRPr="00E10392" w:rsidRDefault="001669B4" w:rsidP="003B1532">
            <w:pPr>
              <w:pStyle w:val="ListParagraph"/>
              <w:widowControl/>
              <w:numPr>
                <w:ilvl w:val="0"/>
                <w:numId w:val="41"/>
              </w:numPr>
              <w:spacing w:before="0" w:after="0"/>
              <w:jc w:val="both"/>
              <w:outlineLvl w:val="9"/>
              <w:rPr>
                <w:sz w:val="20"/>
                <w:szCs w:val="20"/>
                <w:lang w:val="en-US"/>
              </w:rPr>
            </w:pPr>
            <w:r w:rsidRPr="00E10392">
              <w:rPr>
                <w:sz w:val="20"/>
                <w:szCs w:val="20"/>
                <w:lang w:val="en-US"/>
              </w:rPr>
              <w:t xml:space="preserve">PC backup before every service, and </w:t>
            </w:r>
          </w:p>
          <w:p w14:paraId="737FD3B7" w14:textId="77777777" w:rsidR="001669B4" w:rsidRPr="00E10392" w:rsidRDefault="001669B4" w:rsidP="003B1532">
            <w:pPr>
              <w:pStyle w:val="ListParagraph"/>
              <w:widowControl/>
              <w:numPr>
                <w:ilvl w:val="0"/>
                <w:numId w:val="41"/>
              </w:numPr>
              <w:spacing w:before="0" w:after="0"/>
              <w:jc w:val="both"/>
              <w:outlineLvl w:val="9"/>
              <w:rPr>
                <w:sz w:val="20"/>
                <w:szCs w:val="20"/>
                <w:lang w:val="en-US"/>
              </w:rPr>
            </w:pPr>
            <w:r w:rsidRPr="00E10392">
              <w:rPr>
                <w:sz w:val="20"/>
                <w:szCs w:val="20"/>
                <w:lang w:val="en-US"/>
              </w:rPr>
              <w:t xml:space="preserve">Unlimited e-mail support and unlimited telephonic support.  </w:t>
            </w:r>
          </w:p>
        </w:tc>
        <w:tc>
          <w:tcPr>
            <w:tcW w:w="735" w:type="pct"/>
          </w:tcPr>
          <w:p w14:paraId="09E9FA23" w14:textId="77777777" w:rsidR="001669B4" w:rsidRPr="00E10392" w:rsidRDefault="001669B4" w:rsidP="00330186">
            <w:pPr>
              <w:pStyle w:val="aDSPara"/>
              <w:spacing w:before="60" w:after="60"/>
              <w:ind w:left="0"/>
              <w:jc w:val="left"/>
              <w:rPr>
                <w:sz w:val="20"/>
                <w:szCs w:val="20"/>
                <w:lang w:val="en-US"/>
              </w:rPr>
            </w:pPr>
          </w:p>
        </w:tc>
        <w:tc>
          <w:tcPr>
            <w:tcW w:w="1690" w:type="pct"/>
          </w:tcPr>
          <w:p w14:paraId="702DBE7E" w14:textId="77777777" w:rsidR="001669B4" w:rsidRPr="00E10392" w:rsidRDefault="001669B4" w:rsidP="00330186">
            <w:pPr>
              <w:pStyle w:val="aDSPara"/>
              <w:spacing w:before="60" w:after="60"/>
              <w:ind w:left="0"/>
              <w:jc w:val="left"/>
              <w:rPr>
                <w:sz w:val="20"/>
                <w:szCs w:val="20"/>
                <w:lang w:val="en-US"/>
              </w:rPr>
            </w:pPr>
          </w:p>
        </w:tc>
      </w:tr>
      <w:tr w:rsidR="001669B4" w:rsidRPr="00E10392" w14:paraId="4C40A408" w14:textId="77777777" w:rsidTr="00330186">
        <w:trPr>
          <w:trHeight w:val="291"/>
        </w:trPr>
        <w:tc>
          <w:tcPr>
            <w:tcW w:w="292" w:type="pct"/>
          </w:tcPr>
          <w:p w14:paraId="4C4354CE" w14:textId="0F6A84FF" w:rsidR="001669B4" w:rsidRPr="00E10392" w:rsidRDefault="00851CFF" w:rsidP="00330186">
            <w:pPr>
              <w:pStyle w:val="aDSPara"/>
              <w:spacing w:before="60" w:after="60"/>
              <w:ind w:left="0"/>
              <w:jc w:val="center"/>
              <w:rPr>
                <w:sz w:val="20"/>
                <w:szCs w:val="20"/>
                <w:lang w:val="en-US"/>
              </w:rPr>
            </w:pPr>
            <w:r>
              <w:rPr>
                <w:sz w:val="20"/>
                <w:szCs w:val="20"/>
                <w:lang w:val="en-US"/>
              </w:rPr>
              <w:t>5</w:t>
            </w:r>
          </w:p>
        </w:tc>
        <w:tc>
          <w:tcPr>
            <w:tcW w:w="2283" w:type="pct"/>
          </w:tcPr>
          <w:p w14:paraId="4E1948E3" w14:textId="304EE4AB" w:rsidR="001669B4" w:rsidRPr="00E10392" w:rsidRDefault="001669B4" w:rsidP="003B1532">
            <w:pPr>
              <w:widowControl/>
              <w:spacing w:before="0" w:after="0"/>
              <w:jc w:val="both"/>
              <w:outlineLvl w:val="9"/>
              <w:rPr>
                <w:sz w:val="20"/>
                <w:szCs w:val="20"/>
                <w:lang w:val="en-US"/>
              </w:rPr>
            </w:pPr>
            <w:r w:rsidRPr="00E10392">
              <w:rPr>
                <w:sz w:val="20"/>
                <w:szCs w:val="20"/>
                <w:lang w:val="en-US"/>
              </w:rPr>
              <w:t xml:space="preserve">Training provided by application specialist on site or factory training at manufacturing site to be provided for </w:t>
            </w:r>
            <w:r w:rsidR="00851CFF">
              <w:rPr>
                <w:sz w:val="20"/>
                <w:szCs w:val="20"/>
                <w:lang w:val="en-US"/>
              </w:rPr>
              <w:t>2</w:t>
            </w:r>
            <w:r w:rsidRPr="00E10392">
              <w:rPr>
                <w:sz w:val="20"/>
                <w:szCs w:val="20"/>
                <w:lang w:val="en-US"/>
              </w:rPr>
              <w:t xml:space="preserve"> pe</w:t>
            </w:r>
            <w:r w:rsidR="00851CFF">
              <w:rPr>
                <w:sz w:val="20"/>
                <w:szCs w:val="20"/>
                <w:lang w:val="en-US"/>
              </w:rPr>
              <w:t>ople</w:t>
            </w:r>
            <w:r w:rsidRPr="00E10392">
              <w:rPr>
                <w:sz w:val="20"/>
                <w:szCs w:val="20"/>
                <w:lang w:val="en-US"/>
              </w:rPr>
              <w:t xml:space="preserve"> on </w:t>
            </w:r>
            <w:r w:rsidR="00851CFF" w:rsidRPr="00851CFF">
              <w:rPr>
                <w:sz w:val="20"/>
                <w:szCs w:val="20"/>
                <w:lang w:val="en-US"/>
              </w:rPr>
              <w:t xml:space="preserve">Laser diffraction (particle </w:t>
            </w:r>
            <w:r w:rsidR="00ED730D">
              <w:rPr>
                <w:sz w:val="20"/>
                <w:szCs w:val="20"/>
                <w:lang w:val="en-US"/>
              </w:rPr>
              <w:t>s</w:t>
            </w:r>
            <w:r w:rsidR="00851CFF" w:rsidRPr="00851CFF">
              <w:rPr>
                <w:sz w:val="20"/>
                <w:szCs w:val="20"/>
                <w:lang w:val="en-US"/>
              </w:rPr>
              <w:t xml:space="preserve">ize) with dynamic image (shape) </w:t>
            </w:r>
            <w:r w:rsidR="00851CFF">
              <w:rPr>
                <w:sz w:val="20"/>
                <w:szCs w:val="20"/>
                <w:lang w:val="en-US"/>
              </w:rPr>
              <w:t>analyser</w:t>
            </w:r>
            <w:r w:rsidRPr="00E10392">
              <w:rPr>
                <w:sz w:val="20"/>
                <w:szCs w:val="20"/>
                <w:lang w:val="en-US"/>
              </w:rPr>
              <w:t xml:space="preserve"> operation with training certificates to be issued on completion. Factory training will be preferable.</w:t>
            </w:r>
          </w:p>
        </w:tc>
        <w:tc>
          <w:tcPr>
            <w:tcW w:w="735" w:type="pct"/>
          </w:tcPr>
          <w:p w14:paraId="3B0E1571" w14:textId="77777777" w:rsidR="001669B4" w:rsidRPr="00E10392" w:rsidRDefault="001669B4" w:rsidP="00330186">
            <w:pPr>
              <w:pStyle w:val="aDSPara"/>
              <w:spacing w:before="60" w:after="60"/>
              <w:ind w:left="0"/>
              <w:jc w:val="left"/>
              <w:rPr>
                <w:sz w:val="20"/>
                <w:szCs w:val="20"/>
                <w:lang w:val="en-US"/>
              </w:rPr>
            </w:pPr>
          </w:p>
        </w:tc>
        <w:tc>
          <w:tcPr>
            <w:tcW w:w="1690" w:type="pct"/>
          </w:tcPr>
          <w:p w14:paraId="265955E3" w14:textId="77777777" w:rsidR="001669B4" w:rsidRPr="00E10392" w:rsidRDefault="001669B4" w:rsidP="00330186">
            <w:pPr>
              <w:pStyle w:val="aDSPara"/>
              <w:spacing w:before="60" w:after="60"/>
              <w:ind w:left="0"/>
              <w:jc w:val="left"/>
              <w:rPr>
                <w:sz w:val="20"/>
                <w:szCs w:val="20"/>
                <w:lang w:val="en-US"/>
              </w:rPr>
            </w:pPr>
          </w:p>
        </w:tc>
      </w:tr>
    </w:tbl>
    <w:p w14:paraId="60F8E98F" w14:textId="77777777" w:rsidR="006E6BE0" w:rsidRPr="007A7BBC" w:rsidRDefault="006E6BE0" w:rsidP="004E3330">
      <w:pPr>
        <w:widowControl/>
        <w:spacing w:before="0" w:after="200"/>
        <w:outlineLvl w:val="9"/>
      </w:pPr>
    </w:p>
    <w:sectPr w:rsidR="006E6BE0" w:rsidRPr="007A7BBC" w:rsidSect="0055344F">
      <w:headerReference w:type="default" r:id="rId11"/>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4161" w14:textId="77777777" w:rsidR="00B768B2" w:rsidRDefault="00B768B2" w:rsidP="00CD1845">
      <w:pPr>
        <w:spacing w:before="0" w:after="0" w:line="240" w:lineRule="auto"/>
      </w:pPr>
      <w:r>
        <w:separator/>
      </w:r>
    </w:p>
    <w:p w14:paraId="34BAFEBB" w14:textId="77777777" w:rsidR="00B768B2" w:rsidRDefault="00B768B2"/>
  </w:endnote>
  <w:endnote w:type="continuationSeparator" w:id="0">
    <w:p w14:paraId="7DAEEE8B" w14:textId="77777777" w:rsidR="00B768B2" w:rsidRDefault="00B768B2" w:rsidP="00CD1845">
      <w:pPr>
        <w:spacing w:before="0" w:after="0" w:line="240" w:lineRule="auto"/>
      </w:pPr>
      <w:r>
        <w:continuationSeparator/>
      </w:r>
    </w:p>
    <w:p w14:paraId="3B023857" w14:textId="77777777" w:rsidR="00B768B2" w:rsidRDefault="00B76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A6F4" w14:textId="77777777" w:rsidR="00B768B2" w:rsidRDefault="00B768B2" w:rsidP="00CD1845">
      <w:pPr>
        <w:spacing w:before="0" w:after="0" w:line="240" w:lineRule="auto"/>
      </w:pPr>
      <w:r>
        <w:separator/>
      </w:r>
    </w:p>
    <w:p w14:paraId="3F97B9AE" w14:textId="77777777" w:rsidR="00B768B2" w:rsidRDefault="00B768B2"/>
  </w:footnote>
  <w:footnote w:type="continuationSeparator" w:id="0">
    <w:p w14:paraId="3652D2B3" w14:textId="77777777" w:rsidR="00B768B2" w:rsidRDefault="00B768B2" w:rsidP="00CD1845">
      <w:pPr>
        <w:spacing w:before="0" w:after="0" w:line="240" w:lineRule="auto"/>
      </w:pPr>
      <w:r>
        <w:continuationSeparator/>
      </w:r>
    </w:p>
    <w:p w14:paraId="2269F140" w14:textId="77777777" w:rsidR="00B768B2" w:rsidRDefault="00B76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0C3A" w14:textId="72C54FAE" w:rsidR="007206E0" w:rsidRPr="007206E0" w:rsidRDefault="007206E0">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71093"/>
    <w:multiLevelType w:val="hybridMultilevel"/>
    <w:tmpl w:val="0D4C5E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34CA93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6"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7" w15:restartNumberingAfterBreak="0">
    <w:nsid w:val="5FC30324"/>
    <w:multiLevelType w:val="multilevel"/>
    <w:tmpl w:val="DC66D6FA"/>
    <w:numStyleLink w:val="ACSListStyle"/>
  </w:abstractNum>
  <w:abstractNum w:abstractNumId="28"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0"/>
  </w:num>
  <w:num w:numId="2" w16cid:durableId="1455446398">
    <w:abstractNumId w:val="5"/>
  </w:num>
  <w:num w:numId="3" w16cid:durableId="236675952">
    <w:abstractNumId w:val="4"/>
  </w:num>
  <w:num w:numId="4" w16cid:durableId="1817607055">
    <w:abstractNumId w:val="17"/>
  </w:num>
  <w:num w:numId="5" w16cid:durableId="1050690789">
    <w:abstractNumId w:val="27"/>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9"/>
  </w:num>
  <w:num w:numId="7" w16cid:durableId="1227371664">
    <w:abstractNumId w:val="12"/>
  </w:num>
  <w:num w:numId="8" w16cid:durableId="134614312">
    <w:abstractNumId w:val="25"/>
  </w:num>
  <w:num w:numId="9" w16cid:durableId="1964383686">
    <w:abstractNumId w:val="7"/>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1"/>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8"/>
  </w:num>
  <w:num w:numId="19" w16cid:durableId="674304335">
    <w:abstractNumId w:val="16"/>
  </w:num>
  <w:num w:numId="20" w16cid:durableId="867572746">
    <w:abstractNumId w:val="26"/>
  </w:num>
  <w:num w:numId="21" w16cid:durableId="129981831">
    <w:abstractNumId w:val="24"/>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1"/>
  </w:num>
  <w:num w:numId="27" w16cid:durableId="1744528886">
    <w:abstractNumId w:val="23"/>
  </w:num>
  <w:num w:numId="28" w16cid:durableId="1378238183">
    <w:abstractNumId w:val="18"/>
  </w:num>
  <w:num w:numId="29" w16cid:durableId="1146166041">
    <w:abstractNumId w:val="32"/>
  </w:num>
  <w:num w:numId="30" w16cid:durableId="160128277">
    <w:abstractNumId w:val="10"/>
  </w:num>
  <w:num w:numId="31" w16cid:durableId="324554064">
    <w:abstractNumId w:val="34"/>
  </w:num>
  <w:num w:numId="32" w16cid:durableId="608196441">
    <w:abstractNumId w:val="19"/>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3"/>
  </w:num>
  <w:num w:numId="39" w16cid:durableId="1093815304">
    <w:abstractNumId w:val="22"/>
  </w:num>
  <w:num w:numId="40" w16cid:durableId="705757998">
    <w:abstractNumId w:val="30"/>
  </w:num>
  <w:num w:numId="41" w16cid:durableId="1061097733">
    <w:abstractNumId w:val="8"/>
  </w:num>
  <w:num w:numId="42" w16cid:durableId="11366839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35C5"/>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56F9"/>
    <w:rsid w:val="00076F5E"/>
    <w:rsid w:val="00081095"/>
    <w:rsid w:val="00081E58"/>
    <w:rsid w:val="00084C02"/>
    <w:rsid w:val="00094AF5"/>
    <w:rsid w:val="00094BBA"/>
    <w:rsid w:val="00096AA6"/>
    <w:rsid w:val="00097E34"/>
    <w:rsid w:val="000A211B"/>
    <w:rsid w:val="000A22D6"/>
    <w:rsid w:val="000A6660"/>
    <w:rsid w:val="000B07DB"/>
    <w:rsid w:val="000B095C"/>
    <w:rsid w:val="000B3020"/>
    <w:rsid w:val="000B4937"/>
    <w:rsid w:val="000B4C6E"/>
    <w:rsid w:val="000B7A91"/>
    <w:rsid w:val="000C2C64"/>
    <w:rsid w:val="000C390C"/>
    <w:rsid w:val="000C3A65"/>
    <w:rsid w:val="000C44C2"/>
    <w:rsid w:val="000D4C7D"/>
    <w:rsid w:val="000E070F"/>
    <w:rsid w:val="000E63F3"/>
    <w:rsid w:val="000F6CD7"/>
    <w:rsid w:val="0010102C"/>
    <w:rsid w:val="00101956"/>
    <w:rsid w:val="0010557F"/>
    <w:rsid w:val="0010656A"/>
    <w:rsid w:val="001123AD"/>
    <w:rsid w:val="00114A95"/>
    <w:rsid w:val="001221C6"/>
    <w:rsid w:val="00131B24"/>
    <w:rsid w:val="00133FF7"/>
    <w:rsid w:val="00137086"/>
    <w:rsid w:val="00143076"/>
    <w:rsid w:val="00143AE7"/>
    <w:rsid w:val="001445BC"/>
    <w:rsid w:val="001470DC"/>
    <w:rsid w:val="00153833"/>
    <w:rsid w:val="00155EAC"/>
    <w:rsid w:val="001669B4"/>
    <w:rsid w:val="00174F96"/>
    <w:rsid w:val="0018044C"/>
    <w:rsid w:val="00183AC8"/>
    <w:rsid w:val="001860A0"/>
    <w:rsid w:val="00186582"/>
    <w:rsid w:val="00193C44"/>
    <w:rsid w:val="0019587D"/>
    <w:rsid w:val="00196EE8"/>
    <w:rsid w:val="001A0B85"/>
    <w:rsid w:val="001A1831"/>
    <w:rsid w:val="001A440E"/>
    <w:rsid w:val="001B218A"/>
    <w:rsid w:val="001B5C29"/>
    <w:rsid w:val="001B62A0"/>
    <w:rsid w:val="001C0355"/>
    <w:rsid w:val="001C4EAB"/>
    <w:rsid w:val="001D0780"/>
    <w:rsid w:val="001D0E7C"/>
    <w:rsid w:val="001D3CE3"/>
    <w:rsid w:val="001D4236"/>
    <w:rsid w:val="001D644F"/>
    <w:rsid w:val="001D6A5F"/>
    <w:rsid w:val="001E5E44"/>
    <w:rsid w:val="001F6668"/>
    <w:rsid w:val="001F7EDC"/>
    <w:rsid w:val="00200F33"/>
    <w:rsid w:val="00213098"/>
    <w:rsid w:val="00213B92"/>
    <w:rsid w:val="00215A55"/>
    <w:rsid w:val="0021630F"/>
    <w:rsid w:val="00216F92"/>
    <w:rsid w:val="00222530"/>
    <w:rsid w:val="00230068"/>
    <w:rsid w:val="00230145"/>
    <w:rsid w:val="00231D93"/>
    <w:rsid w:val="00232BB0"/>
    <w:rsid w:val="002336B3"/>
    <w:rsid w:val="00233C07"/>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A791E"/>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87927"/>
    <w:rsid w:val="003900CE"/>
    <w:rsid w:val="003912DA"/>
    <w:rsid w:val="003929E9"/>
    <w:rsid w:val="00395CAC"/>
    <w:rsid w:val="00397AE8"/>
    <w:rsid w:val="003A235B"/>
    <w:rsid w:val="003A6821"/>
    <w:rsid w:val="003A6A8B"/>
    <w:rsid w:val="003B0F32"/>
    <w:rsid w:val="003B1532"/>
    <w:rsid w:val="003B2BDA"/>
    <w:rsid w:val="003B5673"/>
    <w:rsid w:val="003D5ADD"/>
    <w:rsid w:val="003D6F6C"/>
    <w:rsid w:val="003D76A3"/>
    <w:rsid w:val="003E10BA"/>
    <w:rsid w:val="003E57F9"/>
    <w:rsid w:val="003E6760"/>
    <w:rsid w:val="003F3C15"/>
    <w:rsid w:val="003F46AD"/>
    <w:rsid w:val="00401102"/>
    <w:rsid w:val="004027CD"/>
    <w:rsid w:val="00403418"/>
    <w:rsid w:val="00414D47"/>
    <w:rsid w:val="00420AB8"/>
    <w:rsid w:val="00423B45"/>
    <w:rsid w:val="0042653B"/>
    <w:rsid w:val="00434728"/>
    <w:rsid w:val="00442920"/>
    <w:rsid w:val="004513DE"/>
    <w:rsid w:val="0045269F"/>
    <w:rsid w:val="004547A5"/>
    <w:rsid w:val="004554D8"/>
    <w:rsid w:val="00455875"/>
    <w:rsid w:val="004606C1"/>
    <w:rsid w:val="00461119"/>
    <w:rsid w:val="0046111A"/>
    <w:rsid w:val="00466F20"/>
    <w:rsid w:val="0047318E"/>
    <w:rsid w:val="00474489"/>
    <w:rsid w:val="00474D06"/>
    <w:rsid w:val="0047600F"/>
    <w:rsid w:val="00477235"/>
    <w:rsid w:val="004831B8"/>
    <w:rsid w:val="00484FDB"/>
    <w:rsid w:val="00487FAC"/>
    <w:rsid w:val="00492E44"/>
    <w:rsid w:val="004974B5"/>
    <w:rsid w:val="004A1C2F"/>
    <w:rsid w:val="004B22F0"/>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E5C34"/>
    <w:rsid w:val="004F29FF"/>
    <w:rsid w:val="004F457D"/>
    <w:rsid w:val="00501FDB"/>
    <w:rsid w:val="00517220"/>
    <w:rsid w:val="00536661"/>
    <w:rsid w:val="00544FC3"/>
    <w:rsid w:val="00546104"/>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91853"/>
    <w:rsid w:val="005B1AF4"/>
    <w:rsid w:val="005B1E63"/>
    <w:rsid w:val="005B1F78"/>
    <w:rsid w:val="005B5700"/>
    <w:rsid w:val="005B664E"/>
    <w:rsid w:val="005C070C"/>
    <w:rsid w:val="005C3E6E"/>
    <w:rsid w:val="005D49A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778B2"/>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793"/>
    <w:rsid w:val="006E6BE0"/>
    <w:rsid w:val="006E7A53"/>
    <w:rsid w:val="006F01AE"/>
    <w:rsid w:val="006F114D"/>
    <w:rsid w:val="006F1EE6"/>
    <w:rsid w:val="00700DCF"/>
    <w:rsid w:val="0070278B"/>
    <w:rsid w:val="00704AFC"/>
    <w:rsid w:val="00705CCE"/>
    <w:rsid w:val="0071520B"/>
    <w:rsid w:val="007206E0"/>
    <w:rsid w:val="0072398B"/>
    <w:rsid w:val="00730AF7"/>
    <w:rsid w:val="00730C33"/>
    <w:rsid w:val="00731061"/>
    <w:rsid w:val="00734950"/>
    <w:rsid w:val="007358C1"/>
    <w:rsid w:val="00736C07"/>
    <w:rsid w:val="00753D7A"/>
    <w:rsid w:val="0075487B"/>
    <w:rsid w:val="007606C6"/>
    <w:rsid w:val="007622D8"/>
    <w:rsid w:val="007641D7"/>
    <w:rsid w:val="00764497"/>
    <w:rsid w:val="00765515"/>
    <w:rsid w:val="007700C3"/>
    <w:rsid w:val="00770568"/>
    <w:rsid w:val="0077136F"/>
    <w:rsid w:val="00771B0F"/>
    <w:rsid w:val="00774358"/>
    <w:rsid w:val="00776DD7"/>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2FFA"/>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1CFF"/>
    <w:rsid w:val="008536F0"/>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95C7B"/>
    <w:rsid w:val="008A0405"/>
    <w:rsid w:val="008A1DCF"/>
    <w:rsid w:val="008A22D5"/>
    <w:rsid w:val="008A3D02"/>
    <w:rsid w:val="008A615F"/>
    <w:rsid w:val="008B29C4"/>
    <w:rsid w:val="008B398A"/>
    <w:rsid w:val="008B6833"/>
    <w:rsid w:val="008C0230"/>
    <w:rsid w:val="008C100B"/>
    <w:rsid w:val="008C40A7"/>
    <w:rsid w:val="008D46A4"/>
    <w:rsid w:val="008D5104"/>
    <w:rsid w:val="008D6541"/>
    <w:rsid w:val="008E2E29"/>
    <w:rsid w:val="008E588B"/>
    <w:rsid w:val="008F65E8"/>
    <w:rsid w:val="008F6C51"/>
    <w:rsid w:val="008F6DED"/>
    <w:rsid w:val="00903C5D"/>
    <w:rsid w:val="00905170"/>
    <w:rsid w:val="009053E3"/>
    <w:rsid w:val="00905ABB"/>
    <w:rsid w:val="00905AE4"/>
    <w:rsid w:val="00910C2B"/>
    <w:rsid w:val="00910C2C"/>
    <w:rsid w:val="00912D7E"/>
    <w:rsid w:val="00914A4B"/>
    <w:rsid w:val="00916204"/>
    <w:rsid w:val="009171F1"/>
    <w:rsid w:val="00926678"/>
    <w:rsid w:val="00931917"/>
    <w:rsid w:val="00942B8D"/>
    <w:rsid w:val="00966EA2"/>
    <w:rsid w:val="009742E0"/>
    <w:rsid w:val="0097678F"/>
    <w:rsid w:val="0098279B"/>
    <w:rsid w:val="00983E61"/>
    <w:rsid w:val="00985EAD"/>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3AC"/>
    <w:rsid w:val="009E16BF"/>
    <w:rsid w:val="009E22B6"/>
    <w:rsid w:val="009E2B01"/>
    <w:rsid w:val="009F1E71"/>
    <w:rsid w:val="009F2952"/>
    <w:rsid w:val="009F2F70"/>
    <w:rsid w:val="009F70F8"/>
    <w:rsid w:val="00A00833"/>
    <w:rsid w:val="00A0106E"/>
    <w:rsid w:val="00A12620"/>
    <w:rsid w:val="00A1576A"/>
    <w:rsid w:val="00A17B9F"/>
    <w:rsid w:val="00A20A36"/>
    <w:rsid w:val="00A2135F"/>
    <w:rsid w:val="00A276E8"/>
    <w:rsid w:val="00A32C75"/>
    <w:rsid w:val="00A357CF"/>
    <w:rsid w:val="00A369AF"/>
    <w:rsid w:val="00A40B79"/>
    <w:rsid w:val="00A42E16"/>
    <w:rsid w:val="00A4708E"/>
    <w:rsid w:val="00A5183C"/>
    <w:rsid w:val="00A5626A"/>
    <w:rsid w:val="00A63339"/>
    <w:rsid w:val="00A65231"/>
    <w:rsid w:val="00A66E07"/>
    <w:rsid w:val="00A705B6"/>
    <w:rsid w:val="00A745F2"/>
    <w:rsid w:val="00A82F91"/>
    <w:rsid w:val="00A83372"/>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FF4"/>
    <w:rsid w:val="00B14C89"/>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768B2"/>
    <w:rsid w:val="00B83E99"/>
    <w:rsid w:val="00B87664"/>
    <w:rsid w:val="00B87D31"/>
    <w:rsid w:val="00B90128"/>
    <w:rsid w:val="00B95D4B"/>
    <w:rsid w:val="00BB06C4"/>
    <w:rsid w:val="00BB0E4C"/>
    <w:rsid w:val="00BB2597"/>
    <w:rsid w:val="00BB30B8"/>
    <w:rsid w:val="00BB447F"/>
    <w:rsid w:val="00BB592C"/>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6C17"/>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A248C"/>
    <w:rsid w:val="00CB01CB"/>
    <w:rsid w:val="00CB0908"/>
    <w:rsid w:val="00CC7C2E"/>
    <w:rsid w:val="00CD1845"/>
    <w:rsid w:val="00CD3071"/>
    <w:rsid w:val="00CD3A7E"/>
    <w:rsid w:val="00CE0B71"/>
    <w:rsid w:val="00CE212F"/>
    <w:rsid w:val="00CF7841"/>
    <w:rsid w:val="00D116B1"/>
    <w:rsid w:val="00D116CE"/>
    <w:rsid w:val="00D13789"/>
    <w:rsid w:val="00D21C2C"/>
    <w:rsid w:val="00D25348"/>
    <w:rsid w:val="00D2742E"/>
    <w:rsid w:val="00D31FD8"/>
    <w:rsid w:val="00D348D0"/>
    <w:rsid w:val="00D354E0"/>
    <w:rsid w:val="00D36F9C"/>
    <w:rsid w:val="00D43505"/>
    <w:rsid w:val="00D43C55"/>
    <w:rsid w:val="00D44E46"/>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4B1E"/>
    <w:rsid w:val="00E256B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0F25"/>
    <w:rsid w:val="00E854C1"/>
    <w:rsid w:val="00E87E22"/>
    <w:rsid w:val="00E917CE"/>
    <w:rsid w:val="00E9599A"/>
    <w:rsid w:val="00E96F0E"/>
    <w:rsid w:val="00E97EDD"/>
    <w:rsid w:val="00EB32E4"/>
    <w:rsid w:val="00EC0993"/>
    <w:rsid w:val="00EC22C1"/>
    <w:rsid w:val="00EC5BA9"/>
    <w:rsid w:val="00ED0A58"/>
    <w:rsid w:val="00ED41E8"/>
    <w:rsid w:val="00ED5934"/>
    <w:rsid w:val="00ED730D"/>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3E3C"/>
    <w:rsid w:val="00F045D4"/>
    <w:rsid w:val="00F06182"/>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75E02"/>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1D29"/>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 w:type="paragraph" w:styleId="NormalWeb">
    <w:name w:val="Normal (Web)"/>
    <w:basedOn w:val="Normal"/>
    <w:uiPriority w:val="99"/>
    <w:semiHidden/>
    <w:unhideWhenUsed/>
    <w:rsid w:val="00731061"/>
    <w:pPr>
      <w:widowControl/>
      <w:spacing w:before="100" w:beforeAutospacing="1" w:after="100" w:afterAutospacing="1" w:line="240" w:lineRule="auto"/>
      <w:outlineLvl w:val="9"/>
    </w:pPr>
    <w:rPr>
      <w:rFonts w:ascii="Times New Roman" w:hAnsi="Times New Roman" w:cs="Times New Roman"/>
      <w:iCs w:val="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5954</Words>
  <Characters>33941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2026-04-01T09:09:00Z</cp:lastPrinted>
  <dcterms:created xsi:type="dcterms:W3CDTF">2026-05-04T09:48:00Z</dcterms:created>
  <dcterms:modified xsi:type="dcterms:W3CDTF">2026-05-06T17:34:00Z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