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6B9C" w14:textId="77777777" w:rsidR="00274898" w:rsidRPr="00FC26CD" w:rsidRDefault="00274898" w:rsidP="00274898">
      <w:pPr>
        <w:spacing w:after="0" w:line="240" w:lineRule="auto"/>
        <w:outlineLvl w:val="0"/>
        <w:rPr>
          <w:rFonts w:ascii="Tahoma" w:eastAsia="Calibri" w:hAnsi="Tahoma" w:cs="Times New Roman"/>
          <w:sz w:val="24"/>
          <w:szCs w:val="24"/>
          <w:lang w:val="en-US"/>
        </w:rPr>
      </w:pPr>
      <w:r w:rsidRPr="00FC26CD">
        <w:rPr>
          <w:rFonts w:ascii="Tahoma" w:eastAsia="Calibri" w:hAnsi="Tahoma" w:cs="Times New Roman"/>
          <w:noProof/>
          <w:sz w:val="24"/>
          <w:szCs w:val="24"/>
          <w:lang w:eastAsia="en-ZA"/>
        </w:rPr>
        <w:drawing>
          <wp:anchor distT="0" distB="0" distL="114300" distR="114300" simplePos="0" relativeHeight="251659264" behindDoc="1" locked="0" layoutInCell="1" allowOverlap="1" wp14:anchorId="0CDAA3E5" wp14:editId="3ACE3A05">
            <wp:simplePos x="0" y="0"/>
            <wp:positionH relativeFrom="column">
              <wp:posOffset>-57150</wp:posOffset>
            </wp:positionH>
            <wp:positionV relativeFrom="paragraph">
              <wp:posOffset>-34925</wp:posOffset>
            </wp:positionV>
            <wp:extent cx="2626823" cy="844550"/>
            <wp:effectExtent l="0" t="0" r="2540" b="0"/>
            <wp:wrapNone/>
            <wp:docPr id="2" name="Picture 2" descr="Tra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o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823"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6CD">
        <w:rPr>
          <w:rFonts w:ascii="Arial" w:eastAsia="Calibri" w:hAnsi="Arial" w:cs="Arial"/>
          <w:b/>
          <w:noProof/>
          <w:sz w:val="24"/>
          <w:szCs w:val="24"/>
          <w:lang w:eastAsia="en-ZA"/>
        </w:rPr>
        <w:drawing>
          <wp:anchor distT="0" distB="0" distL="114300" distR="114300" simplePos="0" relativeHeight="251660288" behindDoc="1" locked="0" layoutInCell="1" allowOverlap="1" wp14:anchorId="1494A3A4" wp14:editId="25568B8B">
            <wp:simplePos x="0" y="0"/>
            <wp:positionH relativeFrom="column">
              <wp:posOffset>5549900</wp:posOffset>
            </wp:positionH>
            <wp:positionV relativeFrom="paragraph">
              <wp:posOffset>0</wp:posOffset>
            </wp:positionV>
            <wp:extent cx="914400" cy="820420"/>
            <wp:effectExtent l="0" t="0" r="0" b="0"/>
            <wp:wrapNone/>
            <wp:docPr id="3" name="Picture 3" descr="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P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6CD">
        <w:rPr>
          <w:rFonts w:ascii="Tahoma" w:eastAsia="Calibri" w:hAnsi="Tahoma" w:cs="Times New Roman"/>
          <w:sz w:val="24"/>
          <w:szCs w:val="24"/>
          <w:lang w:val="en-US"/>
        </w:rPr>
        <w:tab/>
      </w:r>
    </w:p>
    <w:p w14:paraId="5FEDEEBA" w14:textId="77777777" w:rsidR="00274898" w:rsidRPr="00FC26CD" w:rsidRDefault="00274898" w:rsidP="00274898">
      <w:pPr>
        <w:spacing w:after="0" w:line="240" w:lineRule="auto"/>
        <w:jc w:val="center"/>
        <w:outlineLvl w:val="0"/>
        <w:rPr>
          <w:rFonts w:ascii="Arial" w:eastAsia="Calibri" w:hAnsi="Arial" w:cs="Arial"/>
          <w:b/>
          <w:sz w:val="24"/>
          <w:szCs w:val="24"/>
          <w:lang w:val="en-GB"/>
        </w:rPr>
      </w:pP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r w:rsidRPr="00FC26CD">
        <w:rPr>
          <w:rFonts w:ascii="Arial" w:eastAsia="Calibri" w:hAnsi="Arial" w:cs="Arial"/>
          <w:b/>
          <w:sz w:val="24"/>
          <w:szCs w:val="24"/>
          <w:lang w:val="en-GB"/>
        </w:rPr>
        <w:tab/>
      </w:r>
    </w:p>
    <w:p w14:paraId="45EC321B" w14:textId="77777777" w:rsidR="00274898" w:rsidRPr="00FC26CD" w:rsidRDefault="00274898" w:rsidP="00274898">
      <w:pPr>
        <w:tabs>
          <w:tab w:val="left" w:pos="5856"/>
        </w:tabs>
        <w:spacing w:after="0" w:line="240" w:lineRule="auto"/>
        <w:outlineLvl w:val="0"/>
        <w:rPr>
          <w:rFonts w:ascii="Arial" w:eastAsia="Calibri" w:hAnsi="Arial" w:cs="Arial"/>
          <w:b/>
          <w:sz w:val="24"/>
          <w:szCs w:val="24"/>
          <w:lang w:val="en-GB"/>
        </w:rPr>
      </w:pPr>
      <w:r w:rsidRPr="00FC26CD">
        <w:rPr>
          <w:rFonts w:ascii="Arial" w:eastAsia="Calibri" w:hAnsi="Arial" w:cs="Arial"/>
          <w:b/>
          <w:sz w:val="24"/>
          <w:szCs w:val="24"/>
          <w:lang w:val="en-GB"/>
        </w:rPr>
        <w:tab/>
      </w:r>
    </w:p>
    <w:p w14:paraId="114B1C2A" w14:textId="77777777" w:rsidR="00274898" w:rsidRPr="00FC26CD" w:rsidRDefault="00274898" w:rsidP="00274898">
      <w:pPr>
        <w:spacing w:after="0" w:line="240" w:lineRule="auto"/>
        <w:jc w:val="center"/>
        <w:outlineLvl w:val="0"/>
        <w:rPr>
          <w:rFonts w:ascii="Arial" w:eastAsia="Calibri" w:hAnsi="Arial" w:cs="Arial"/>
          <w:b/>
          <w:sz w:val="24"/>
          <w:szCs w:val="24"/>
          <w:lang w:val="en-GB"/>
        </w:rPr>
      </w:pPr>
    </w:p>
    <w:p w14:paraId="2D315322" w14:textId="77777777" w:rsidR="0028440F" w:rsidRDefault="0028440F">
      <w:pPr>
        <w:spacing w:line="278" w:lineRule="auto"/>
        <w:rPr>
          <w:rFonts w:ascii="Arial" w:eastAsia="Times New Roman" w:hAnsi="Arial" w:cs="Arial"/>
          <w:b/>
          <w:lang w:val="en-GB"/>
        </w:rPr>
      </w:pPr>
    </w:p>
    <w:p w14:paraId="1A84B312" w14:textId="0265D002" w:rsidR="0028440F" w:rsidRPr="00FC26CD" w:rsidRDefault="0028440F" w:rsidP="0028440F">
      <w:pPr>
        <w:spacing w:after="0" w:line="276" w:lineRule="auto"/>
        <w:ind w:left="3600" w:firstLine="720"/>
        <w:rPr>
          <w:rFonts w:ascii="Arial" w:eastAsia="Times New Roman" w:hAnsi="Arial" w:cs="Arial"/>
          <w:b/>
          <w:bCs/>
          <w:i/>
          <w:iCs/>
          <w:sz w:val="28"/>
          <w:szCs w:val="28"/>
        </w:rPr>
      </w:pPr>
      <w:r w:rsidRPr="00FC26CD">
        <w:rPr>
          <w:rFonts w:ascii="Arial" w:eastAsia="Times New Roman" w:hAnsi="Arial" w:cs="Arial"/>
          <w:b/>
          <w:bCs/>
          <w:i/>
          <w:iCs/>
          <w:sz w:val="28"/>
          <w:szCs w:val="28"/>
          <w:lang w:val="en-US"/>
        </w:rPr>
        <w:t xml:space="preserve">TENDER NO: </w:t>
      </w:r>
    </w:p>
    <w:p w14:paraId="6FD67F12" w14:textId="77777777" w:rsidR="0028440F" w:rsidRPr="00FC26CD" w:rsidRDefault="0028440F" w:rsidP="0028440F">
      <w:pPr>
        <w:spacing w:after="0" w:line="276" w:lineRule="auto"/>
        <w:jc w:val="center"/>
        <w:rPr>
          <w:rFonts w:ascii="Arial" w:eastAsia="Times New Roman" w:hAnsi="Arial" w:cs="Arial"/>
          <w:b/>
          <w:bCs/>
          <w:i/>
          <w:iCs/>
          <w:sz w:val="28"/>
          <w:szCs w:val="28"/>
        </w:rPr>
      </w:pPr>
      <w:r w:rsidRPr="00FC26CD">
        <w:rPr>
          <w:rFonts w:ascii="Arial" w:eastAsia="Times New Roman" w:hAnsi="Arial" w:cs="Arial"/>
          <w:b/>
          <w:bCs/>
          <w:i/>
          <w:iCs/>
          <w:sz w:val="28"/>
          <w:szCs w:val="28"/>
        </w:rPr>
        <w:t>DOT/</w:t>
      </w:r>
      <w:r>
        <w:rPr>
          <w:rFonts w:ascii="Arial" w:eastAsia="Times New Roman" w:hAnsi="Arial" w:cs="Arial"/>
          <w:b/>
          <w:bCs/>
          <w:i/>
          <w:iCs/>
          <w:sz w:val="28"/>
          <w:szCs w:val="28"/>
        </w:rPr>
        <w:t>05</w:t>
      </w:r>
      <w:r w:rsidRPr="00FC26CD">
        <w:rPr>
          <w:rFonts w:ascii="Arial" w:eastAsia="Times New Roman" w:hAnsi="Arial" w:cs="Arial"/>
          <w:b/>
          <w:bCs/>
          <w:i/>
          <w:iCs/>
          <w:sz w:val="28"/>
          <w:szCs w:val="28"/>
        </w:rPr>
        <w:t>/202</w:t>
      </w:r>
      <w:r>
        <w:rPr>
          <w:rFonts w:ascii="Arial" w:eastAsia="Times New Roman" w:hAnsi="Arial" w:cs="Arial"/>
          <w:b/>
          <w:bCs/>
          <w:i/>
          <w:iCs/>
          <w:sz w:val="28"/>
          <w:szCs w:val="28"/>
        </w:rPr>
        <w:t>6</w:t>
      </w:r>
      <w:r w:rsidRPr="00FC26CD">
        <w:rPr>
          <w:rFonts w:ascii="Arial" w:eastAsia="Times New Roman" w:hAnsi="Arial" w:cs="Arial"/>
          <w:b/>
          <w:bCs/>
          <w:i/>
          <w:iCs/>
          <w:sz w:val="28"/>
          <w:szCs w:val="28"/>
        </w:rPr>
        <w:t>/</w:t>
      </w:r>
      <w:r>
        <w:rPr>
          <w:rFonts w:ascii="Arial" w:eastAsia="Times New Roman" w:hAnsi="Arial" w:cs="Arial"/>
          <w:b/>
          <w:bCs/>
          <w:i/>
          <w:iCs/>
          <w:sz w:val="28"/>
          <w:szCs w:val="28"/>
        </w:rPr>
        <w:t>CA</w:t>
      </w:r>
    </w:p>
    <w:p w14:paraId="12D5C4F6" w14:textId="77777777" w:rsidR="0028440F" w:rsidRPr="00FC26CD" w:rsidRDefault="0028440F" w:rsidP="0028440F">
      <w:pPr>
        <w:spacing w:after="0" w:line="276" w:lineRule="auto"/>
        <w:jc w:val="center"/>
        <w:rPr>
          <w:rFonts w:ascii="Arial" w:eastAsia="Times New Roman" w:hAnsi="Arial" w:cs="Arial"/>
          <w:b/>
          <w:bCs/>
          <w:i/>
          <w:iCs/>
          <w:sz w:val="28"/>
          <w:szCs w:val="28"/>
          <w:lang w:val="en-US"/>
        </w:rPr>
      </w:pPr>
    </w:p>
    <w:p w14:paraId="2DF1C8BE" w14:textId="77777777" w:rsidR="0028440F" w:rsidRPr="00FC26CD" w:rsidRDefault="0028440F" w:rsidP="0028440F">
      <w:pPr>
        <w:spacing w:after="0" w:line="276" w:lineRule="auto"/>
        <w:jc w:val="center"/>
        <w:rPr>
          <w:rFonts w:ascii="Arial" w:eastAsia="Times New Roman" w:hAnsi="Arial" w:cs="Arial"/>
          <w:b/>
          <w:bCs/>
          <w:i/>
          <w:iCs/>
          <w:sz w:val="28"/>
          <w:szCs w:val="28"/>
          <w:lang w:val="en-US"/>
        </w:rPr>
      </w:pPr>
    </w:p>
    <w:p w14:paraId="2FAEDD6B" w14:textId="77777777" w:rsidR="0028440F" w:rsidRDefault="0028440F" w:rsidP="0028440F">
      <w:pPr>
        <w:spacing w:after="0" w:line="276" w:lineRule="auto"/>
        <w:jc w:val="both"/>
        <w:rPr>
          <w:rFonts w:ascii="Arial" w:eastAsia="Times New Roman" w:hAnsi="Arial" w:cs="Arial"/>
          <w:b/>
          <w:bCs/>
          <w:i/>
          <w:iCs/>
          <w:sz w:val="28"/>
          <w:szCs w:val="28"/>
          <w:lang w:val="en-US"/>
        </w:rPr>
      </w:pPr>
      <w:r w:rsidRPr="00175653">
        <w:rPr>
          <w:rFonts w:ascii="Arial" w:eastAsia="Times New Roman" w:hAnsi="Arial" w:cs="Arial"/>
          <w:b/>
          <w:bCs/>
          <w:i/>
          <w:iCs/>
          <w:sz w:val="28"/>
          <w:szCs w:val="28"/>
          <w:lang w:val="en-US"/>
        </w:rPr>
        <w:t>APPOINTMENT OF A SERVICE PROVIDER TO PROVIDE GLOBAL MARITIME DISTRESS AND SAFETY SYSTEM (GMDSS) INCLUDING MARITIME SAFETY INFORMATION (</w:t>
      </w:r>
      <w:proofErr w:type="spellStart"/>
      <w:r w:rsidRPr="00175653">
        <w:rPr>
          <w:rFonts w:ascii="Arial" w:eastAsia="Times New Roman" w:hAnsi="Arial" w:cs="Arial"/>
          <w:b/>
          <w:bCs/>
          <w:i/>
          <w:iCs/>
          <w:sz w:val="28"/>
          <w:szCs w:val="28"/>
          <w:lang w:val="en-US"/>
        </w:rPr>
        <w:t>MSI</w:t>
      </w:r>
      <w:proofErr w:type="spellEnd"/>
      <w:r w:rsidRPr="00175653">
        <w:rPr>
          <w:rFonts w:ascii="Arial" w:eastAsia="Times New Roman" w:hAnsi="Arial" w:cs="Arial"/>
          <w:b/>
          <w:bCs/>
          <w:i/>
          <w:iCs/>
          <w:sz w:val="28"/>
          <w:szCs w:val="28"/>
          <w:lang w:val="en-US"/>
        </w:rPr>
        <w:t xml:space="preserve">), SERVICES IN TERMS OF THE INTERNATIONAL CONVENTION FOR THE SAFETY OF LIFE AT SEA (SOLAS) AND </w:t>
      </w:r>
      <w:proofErr w:type="spellStart"/>
      <w:r w:rsidRPr="00175653">
        <w:rPr>
          <w:rFonts w:ascii="Arial" w:eastAsia="Times New Roman" w:hAnsi="Arial" w:cs="Arial"/>
          <w:b/>
          <w:bCs/>
          <w:i/>
          <w:iCs/>
          <w:sz w:val="28"/>
          <w:szCs w:val="28"/>
          <w:lang w:val="en-US"/>
        </w:rPr>
        <w:t>COSPAS-SARSAT</w:t>
      </w:r>
      <w:proofErr w:type="spellEnd"/>
      <w:r w:rsidRPr="00175653">
        <w:rPr>
          <w:rFonts w:ascii="Arial" w:eastAsia="Times New Roman" w:hAnsi="Arial" w:cs="Arial"/>
          <w:b/>
          <w:bCs/>
          <w:i/>
          <w:iCs/>
          <w:sz w:val="28"/>
          <w:szCs w:val="28"/>
          <w:lang w:val="en-US"/>
        </w:rPr>
        <w:t xml:space="preserve"> (</w:t>
      </w:r>
      <w:proofErr w:type="spellStart"/>
      <w:r w:rsidRPr="00175653">
        <w:rPr>
          <w:rFonts w:ascii="Arial" w:eastAsia="Times New Roman" w:hAnsi="Arial" w:cs="Arial"/>
          <w:b/>
          <w:bCs/>
          <w:i/>
          <w:iCs/>
          <w:sz w:val="28"/>
          <w:szCs w:val="28"/>
          <w:lang w:val="en-US"/>
        </w:rPr>
        <w:t>LEOSAR</w:t>
      </w:r>
      <w:proofErr w:type="spellEnd"/>
      <w:r w:rsidRPr="00175653">
        <w:rPr>
          <w:rFonts w:ascii="Arial" w:eastAsia="Times New Roman" w:hAnsi="Arial" w:cs="Arial"/>
          <w:b/>
          <w:bCs/>
          <w:i/>
          <w:iCs/>
          <w:sz w:val="28"/>
          <w:szCs w:val="28"/>
          <w:lang w:val="en-US"/>
        </w:rPr>
        <w:t>/</w:t>
      </w:r>
      <w:proofErr w:type="spellStart"/>
      <w:r w:rsidRPr="00175653">
        <w:rPr>
          <w:rFonts w:ascii="Arial" w:eastAsia="Times New Roman" w:hAnsi="Arial" w:cs="Arial"/>
          <w:b/>
          <w:bCs/>
          <w:i/>
          <w:iCs/>
          <w:sz w:val="28"/>
          <w:szCs w:val="28"/>
          <w:lang w:val="en-US"/>
        </w:rPr>
        <w:t>MEOSAR</w:t>
      </w:r>
      <w:proofErr w:type="spellEnd"/>
      <w:r w:rsidRPr="00175653">
        <w:rPr>
          <w:rFonts w:ascii="Arial" w:eastAsia="Times New Roman" w:hAnsi="Arial" w:cs="Arial"/>
          <w:b/>
          <w:bCs/>
          <w:i/>
          <w:iCs/>
          <w:sz w:val="28"/>
          <w:szCs w:val="28"/>
          <w:lang w:val="en-US"/>
        </w:rPr>
        <w:t xml:space="preserve">) GROUND SEGMENT SERVICES AS PER THE INTERNATIONAL </w:t>
      </w:r>
      <w:proofErr w:type="spellStart"/>
      <w:r w:rsidRPr="00175653">
        <w:rPr>
          <w:rFonts w:ascii="Arial" w:eastAsia="Times New Roman" w:hAnsi="Arial" w:cs="Arial"/>
          <w:b/>
          <w:bCs/>
          <w:i/>
          <w:iCs/>
          <w:sz w:val="28"/>
          <w:szCs w:val="28"/>
          <w:lang w:val="en-US"/>
        </w:rPr>
        <w:t>COSPAS-SARSAT</w:t>
      </w:r>
      <w:proofErr w:type="spellEnd"/>
      <w:r w:rsidRPr="00175653">
        <w:rPr>
          <w:rFonts w:ascii="Arial" w:eastAsia="Times New Roman" w:hAnsi="Arial" w:cs="Arial"/>
          <w:b/>
          <w:bCs/>
          <w:i/>
          <w:iCs/>
          <w:sz w:val="28"/>
          <w:szCs w:val="28"/>
          <w:lang w:val="en-US"/>
        </w:rPr>
        <w:t xml:space="preserve"> </w:t>
      </w:r>
      <w:proofErr w:type="spellStart"/>
      <w:r w:rsidRPr="00175653">
        <w:rPr>
          <w:rFonts w:ascii="Arial" w:eastAsia="Times New Roman" w:hAnsi="Arial" w:cs="Arial"/>
          <w:b/>
          <w:bCs/>
          <w:i/>
          <w:iCs/>
          <w:sz w:val="28"/>
          <w:szCs w:val="28"/>
          <w:lang w:val="en-US"/>
        </w:rPr>
        <w:t>PROGRAMME</w:t>
      </w:r>
      <w:proofErr w:type="spellEnd"/>
      <w:r w:rsidRPr="00175653">
        <w:rPr>
          <w:rFonts w:ascii="Arial" w:eastAsia="Times New Roman" w:hAnsi="Arial" w:cs="Arial"/>
          <w:b/>
          <w:bCs/>
          <w:i/>
          <w:iCs/>
          <w:sz w:val="28"/>
          <w:szCs w:val="28"/>
          <w:lang w:val="en-US"/>
        </w:rPr>
        <w:t xml:space="preserve"> FOR THE DEPARTMENT OF TRANSPORT FOR A PERIOD OF FIVE (5) YEARS</w:t>
      </w:r>
    </w:p>
    <w:p w14:paraId="627114C8" w14:textId="77777777" w:rsidR="0028440F" w:rsidRPr="00175653" w:rsidRDefault="0028440F" w:rsidP="0028440F">
      <w:pPr>
        <w:spacing w:after="0" w:line="276" w:lineRule="auto"/>
        <w:jc w:val="both"/>
        <w:rPr>
          <w:rFonts w:ascii="Arial" w:eastAsia="Times New Roman" w:hAnsi="Arial" w:cs="Arial"/>
          <w:b/>
          <w:bCs/>
          <w:i/>
          <w:iCs/>
          <w:sz w:val="28"/>
          <w:szCs w:val="28"/>
          <w:lang w:val="en-US"/>
        </w:rPr>
      </w:pPr>
    </w:p>
    <w:p w14:paraId="27371E5D" w14:textId="77777777" w:rsidR="0028440F" w:rsidRPr="00FC26CD" w:rsidRDefault="0028440F" w:rsidP="0028440F">
      <w:pPr>
        <w:spacing w:after="0" w:line="276" w:lineRule="auto"/>
        <w:jc w:val="both"/>
        <w:rPr>
          <w:rFonts w:ascii="Arial" w:eastAsia="Times New Roman" w:hAnsi="Arial" w:cs="Arial"/>
          <w:b/>
          <w:sz w:val="28"/>
          <w:szCs w:val="28"/>
          <w:lang w:val="en-GB"/>
        </w:rPr>
      </w:pPr>
      <w:r w:rsidRPr="00FC26CD">
        <w:rPr>
          <w:rFonts w:ascii="Arial" w:eastAsia="Times New Roman" w:hAnsi="Arial" w:cs="Arial"/>
          <w:b/>
          <w:sz w:val="28"/>
          <w:szCs w:val="28"/>
          <w:lang w:val="en-GB"/>
        </w:rPr>
        <w:t>BRIEFING NOTES AND</w:t>
      </w:r>
      <w:r>
        <w:rPr>
          <w:rFonts w:ascii="Arial" w:eastAsia="Times New Roman" w:hAnsi="Arial" w:cs="Arial"/>
          <w:b/>
          <w:sz w:val="28"/>
          <w:szCs w:val="28"/>
          <w:lang w:val="en-GB"/>
        </w:rPr>
        <w:t xml:space="preserve"> </w:t>
      </w:r>
      <w:r w:rsidRPr="00FC26CD">
        <w:rPr>
          <w:rFonts w:ascii="Arial" w:eastAsia="Times New Roman" w:hAnsi="Arial" w:cs="Arial"/>
          <w:b/>
          <w:sz w:val="28"/>
          <w:szCs w:val="28"/>
          <w:lang w:val="en-GB"/>
        </w:rPr>
        <w:t>RESPONSES TO ADDITIONAL QUESTIONS</w:t>
      </w:r>
    </w:p>
    <w:p w14:paraId="0894AA3C" w14:textId="77777777" w:rsidR="0028440F" w:rsidRPr="00FC26CD" w:rsidRDefault="0028440F" w:rsidP="0028440F">
      <w:pPr>
        <w:spacing w:after="0" w:line="276" w:lineRule="auto"/>
        <w:jc w:val="both"/>
        <w:rPr>
          <w:rFonts w:ascii="Arial" w:eastAsia="Times New Roman" w:hAnsi="Arial" w:cs="Arial"/>
          <w:b/>
          <w:bCs/>
          <w:sz w:val="28"/>
          <w:szCs w:val="28"/>
        </w:rPr>
      </w:pPr>
      <w:r>
        <w:rPr>
          <w:rFonts w:ascii="Arial" w:eastAsia="Times New Roman" w:hAnsi="Arial" w:cs="Arial"/>
          <w:b/>
          <w:bCs/>
          <w:sz w:val="28"/>
          <w:szCs w:val="28"/>
        </w:rPr>
        <w:t xml:space="preserve">DURING THE VIRTUAL </w:t>
      </w:r>
      <w:r w:rsidRPr="00FC26CD">
        <w:rPr>
          <w:rFonts w:ascii="Arial" w:eastAsia="Times New Roman" w:hAnsi="Arial" w:cs="Arial"/>
          <w:b/>
          <w:bCs/>
          <w:sz w:val="28"/>
          <w:szCs w:val="28"/>
        </w:rPr>
        <w:t xml:space="preserve">BRIEFING SESSION: </w:t>
      </w:r>
      <w:r>
        <w:rPr>
          <w:rFonts w:ascii="Arial" w:eastAsia="Times New Roman" w:hAnsi="Arial" w:cs="Arial"/>
          <w:b/>
          <w:bCs/>
          <w:sz w:val="28"/>
          <w:szCs w:val="28"/>
        </w:rPr>
        <w:t xml:space="preserve">07 JULY 2026 </w:t>
      </w:r>
    </w:p>
    <w:p w14:paraId="4A53681C" w14:textId="77777777" w:rsidR="0028440F" w:rsidRPr="00FC26CD" w:rsidRDefault="0028440F" w:rsidP="0028440F">
      <w:pPr>
        <w:spacing w:after="0" w:line="276" w:lineRule="auto"/>
        <w:jc w:val="both"/>
        <w:rPr>
          <w:rFonts w:ascii="Arial" w:eastAsia="Times New Roman" w:hAnsi="Arial" w:cs="Arial"/>
          <w:b/>
          <w:bCs/>
          <w:sz w:val="24"/>
          <w:szCs w:val="24"/>
        </w:rPr>
      </w:pPr>
      <w:r w:rsidRPr="00FC26CD">
        <w:rPr>
          <w:rFonts w:ascii="Arial" w:eastAsia="Times New Roman" w:hAnsi="Arial" w:cs="Arial"/>
          <w:b/>
          <w:bCs/>
          <w:sz w:val="24"/>
          <w:szCs w:val="24"/>
        </w:rPr>
        <w:t>SECTION A: INTRODUCTION</w:t>
      </w:r>
    </w:p>
    <w:p w14:paraId="7CCDC95E" w14:textId="77777777" w:rsidR="0028440F" w:rsidRPr="00FC26CD" w:rsidRDefault="0028440F" w:rsidP="0028440F">
      <w:pPr>
        <w:spacing w:after="0" w:line="276" w:lineRule="auto"/>
        <w:jc w:val="both"/>
        <w:rPr>
          <w:rFonts w:ascii="Arial" w:eastAsia="Times New Roman" w:hAnsi="Arial" w:cs="Arial"/>
          <w:b/>
          <w:bCs/>
        </w:rPr>
      </w:pPr>
    </w:p>
    <w:p w14:paraId="7DB31B1F" w14:textId="77777777" w:rsidR="0028440F" w:rsidRPr="00FC26CD" w:rsidRDefault="0028440F" w:rsidP="0028440F">
      <w:pPr>
        <w:numPr>
          <w:ilvl w:val="0"/>
          <w:numId w:val="1"/>
        </w:numPr>
        <w:spacing w:after="0" w:line="276" w:lineRule="auto"/>
        <w:jc w:val="both"/>
        <w:rPr>
          <w:rFonts w:ascii="Arial" w:eastAsia="Times New Roman" w:hAnsi="Arial" w:cs="Arial"/>
          <w:b/>
          <w:lang w:val="en-GB"/>
        </w:rPr>
      </w:pPr>
      <w:r w:rsidRPr="00FC26CD">
        <w:rPr>
          <w:rFonts w:ascii="Arial" w:eastAsia="Times New Roman" w:hAnsi="Arial" w:cs="Arial"/>
          <w:b/>
          <w:lang w:val="en-GB"/>
        </w:rPr>
        <w:t>Introduction</w:t>
      </w:r>
    </w:p>
    <w:p w14:paraId="5B247DC1" w14:textId="77777777" w:rsidR="0028440F" w:rsidRPr="00FC26CD" w:rsidRDefault="0028440F" w:rsidP="0028440F">
      <w:pPr>
        <w:spacing w:after="0" w:line="276" w:lineRule="auto"/>
        <w:jc w:val="both"/>
        <w:rPr>
          <w:rFonts w:ascii="Arial" w:eastAsia="Times New Roman" w:hAnsi="Arial" w:cs="Arial"/>
          <w:b/>
          <w:lang w:val="en-GB"/>
        </w:rPr>
      </w:pPr>
    </w:p>
    <w:p w14:paraId="21F93AF1" w14:textId="77777777" w:rsidR="0028440F" w:rsidRPr="00FC26CD" w:rsidRDefault="0028440F" w:rsidP="0028440F">
      <w:pPr>
        <w:spacing w:after="0" w:line="276" w:lineRule="auto"/>
        <w:jc w:val="both"/>
        <w:rPr>
          <w:rFonts w:ascii="Arial" w:eastAsia="Times New Roman" w:hAnsi="Arial" w:cs="Arial"/>
          <w:lang w:val="en-GB"/>
        </w:rPr>
      </w:pPr>
      <w:r w:rsidRPr="00FC26CD">
        <w:rPr>
          <w:rFonts w:ascii="Arial" w:eastAsia="Times New Roman" w:hAnsi="Arial" w:cs="Arial"/>
          <w:lang w:val="en-GB"/>
        </w:rPr>
        <w:t xml:space="preserve">These Briefing Notes are issued in terms of the Department of Transport’s </w:t>
      </w:r>
      <w:r>
        <w:rPr>
          <w:rFonts w:ascii="Arial" w:eastAsia="Times New Roman" w:hAnsi="Arial" w:cs="Arial"/>
          <w:bCs/>
        </w:rPr>
        <w:t>Compulsory</w:t>
      </w:r>
      <w:r w:rsidRPr="00FC26CD">
        <w:rPr>
          <w:rFonts w:ascii="Arial" w:eastAsia="Times New Roman" w:hAnsi="Arial" w:cs="Arial"/>
          <w:bCs/>
        </w:rPr>
        <w:t xml:space="preserve"> Briefing Session held on 0</w:t>
      </w:r>
      <w:r>
        <w:rPr>
          <w:rFonts w:ascii="Arial" w:eastAsia="Times New Roman" w:hAnsi="Arial" w:cs="Arial"/>
          <w:bCs/>
        </w:rPr>
        <w:t>7 July</w:t>
      </w:r>
      <w:r w:rsidRPr="00FC26CD">
        <w:rPr>
          <w:rFonts w:ascii="Arial" w:eastAsia="Times New Roman" w:hAnsi="Arial" w:cs="Arial"/>
          <w:bCs/>
        </w:rPr>
        <w:t xml:space="preserve"> 202</w:t>
      </w:r>
      <w:r>
        <w:rPr>
          <w:rFonts w:ascii="Arial" w:eastAsia="Times New Roman" w:hAnsi="Arial" w:cs="Arial"/>
          <w:bCs/>
        </w:rPr>
        <w:t>6</w:t>
      </w:r>
      <w:r w:rsidRPr="00FC26CD">
        <w:rPr>
          <w:rFonts w:ascii="Arial" w:eastAsia="Times New Roman" w:hAnsi="Arial" w:cs="Arial"/>
          <w:bCs/>
        </w:rPr>
        <w:t xml:space="preserve"> for the above-mentioned tender,</w:t>
      </w:r>
      <w:r w:rsidRPr="00FC26CD">
        <w:rPr>
          <w:rFonts w:ascii="Arial" w:eastAsia="Times New Roman" w:hAnsi="Arial" w:cs="Arial"/>
          <w:lang w:val="en-GB"/>
        </w:rPr>
        <w:t xml:space="preserve"> as the formal step in a procurement process and is subject to all the terms and conditions contained in the TOR.</w:t>
      </w:r>
    </w:p>
    <w:p w14:paraId="7157039E" w14:textId="77777777" w:rsidR="0028440F" w:rsidRPr="00FC26CD" w:rsidRDefault="0028440F" w:rsidP="0028440F">
      <w:pPr>
        <w:spacing w:after="0" w:line="276" w:lineRule="auto"/>
        <w:jc w:val="both"/>
        <w:rPr>
          <w:rFonts w:ascii="Arial" w:eastAsia="Times New Roman" w:hAnsi="Arial" w:cs="Arial"/>
          <w:lang w:val="en-GB"/>
        </w:rPr>
      </w:pPr>
    </w:p>
    <w:p w14:paraId="3232BCF6" w14:textId="77777777" w:rsidR="0028440F" w:rsidRPr="00FC26CD" w:rsidRDefault="0028440F" w:rsidP="0028440F">
      <w:pPr>
        <w:spacing w:after="0" w:line="276" w:lineRule="auto"/>
        <w:jc w:val="both"/>
        <w:rPr>
          <w:rFonts w:ascii="Arial" w:eastAsia="Times New Roman" w:hAnsi="Arial" w:cs="Arial"/>
          <w:lang w:val="en-GB"/>
        </w:rPr>
      </w:pPr>
      <w:r w:rsidRPr="00FC26CD">
        <w:rPr>
          <w:rFonts w:ascii="Arial" w:eastAsia="Times New Roman" w:hAnsi="Arial" w:cs="Arial"/>
          <w:lang w:val="en-GB"/>
        </w:rPr>
        <w:t>Unless otherwise expressly stated, or the context otherwise requires, words and expressions defined in the TOR shall bear the same meanings in these Briefing Notes as those ascribed to them in the TOR.</w:t>
      </w:r>
    </w:p>
    <w:p w14:paraId="5F87E6E2" w14:textId="77777777" w:rsidR="0028440F" w:rsidRPr="00FC26CD" w:rsidRDefault="0028440F" w:rsidP="0028440F">
      <w:pPr>
        <w:spacing w:after="0" w:line="276" w:lineRule="auto"/>
        <w:jc w:val="both"/>
        <w:rPr>
          <w:rFonts w:ascii="Arial" w:eastAsia="Times New Roman" w:hAnsi="Arial" w:cs="Arial"/>
          <w:b/>
          <w:lang w:val="en-GB"/>
        </w:rPr>
      </w:pPr>
    </w:p>
    <w:p w14:paraId="7BB14ACF" w14:textId="77777777" w:rsidR="0028440F" w:rsidRPr="00FC26CD" w:rsidRDefault="0028440F" w:rsidP="0028440F">
      <w:pPr>
        <w:numPr>
          <w:ilvl w:val="0"/>
          <w:numId w:val="1"/>
        </w:numPr>
        <w:spacing w:after="0" w:line="276" w:lineRule="auto"/>
        <w:jc w:val="both"/>
        <w:rPr>
          <w:rFonts w:ascii="Arial" w:eastAsia="Times New Roman" w:hAnsi="Arial" w:cs="Arial"/>
          <w:b/>
          <w:lang w:val="en-GB"/>
        </w:rPr>
      </w:pPr>
      <w:r w:rsidRPr="00FC26CD">
        <w:rPr>
          <w:rFonts w:ascii="Arial" w:eastAsia="Times New Roman" w:hAnsi="Arial" w:cs="Arial"/>
          <w:b/>
          <w:lang w:val="en-GB"/>
        </w:rPr>
        <w:t>Purpose of the Briefing Notes</w:t>
      </w:r>
    </w:p>
    <w:p w14:paraId="5B8FD7D1" w14:textId="77777777" w:rsidR="0028440F" w:rsidRPr="00FC26CD" w:rsidRDefault="0028440F" w:rsidP="0028440F">
      <w:pPr>
        <w:spacing w:after="0" w:line="276" w:lineRule="auto"/>
        <w:jc w:val="both"/>
        <w:rPr>
          <w:rFonts w:ascii="Arial" w:eastAsia="Times New Roman" w:hAnsi="Arial" w:cs="Arial"/>
          <w:b/>
          <w:lang w:val="en-GB"/>
        </w:rPr>
      </w:pPr>
    </w:p>
    <w:p w14:paraId="38574711" w14:textId="77777777" w:rsidR="0028440F" w:rsidRPr="00FC26CD" w:rsidRDefault="0028440F" w:rsidP="0028440F">
      <w:pPr>
        <w:spacing w:after="0" w:line="276" w:lineRule="auto"/>
        <w:jc w:val="both"/>
        <w:rPr>
          <w:rFonts w:ascii="Arial" w:eastAsia="Times New Roman" w:hAnsi="Arial" w:cs="Arial"/>
          <w:lang w:val="en-GB"/>
        </w:rPr>
      </w:pPr>
      <w:r w:rsidRPr="00FC26CD">
        <w:rPr>
          <w:rFonts w:ascii="Arial" w:eastAsia="Times New Roman" w:hAnsi="Arial" w:cs="Arial"/>
          <w:lang w:val="en-GB"/>
        </w:rPr>
        <w:t>The purpose of this Briefing Notes is to:</w:t>
      </w:r>
    </w:p>
    <w:p w14:paraId="074E1E5D" w14:textId="77777777" w:rsidR="0028440F" w:rsidRPr="00FC26CD" w:rsidRDefault="0028440F" w:rsidP="0028440F">
      <w:pPr>
        <w:spacing w:after="0" w:line="276" w:lineRule="auto"/>
        <w:jc w:val="both"/>
        <w:rPr>
          <w:rFonts w:ascii="Arial" w:eastAsia="Times New Roman" w:hAnsi="Arial" w:cs="Arial"/>
          <w:lang w:val="en-GB"/>
        </w:rPr>
      </w:pPr>
    </w:p>
    <w:p w14:paraId="5AEF7853" w14:textId="77777777" w:rsidR="0028440F" w:rsidRPr="00FC26CD" w:rsidRDefault="0028440F" w:rsidP="0028440F">
      <w:pPr>
        <w:numPr>
          <w:ilvl w:val="1"/>
          <w:numId w:val="1"/>
        </w:numPr>
        <w:spacing w:after="0" w:line="276" w:lineRule="auto"/>
        <w:ind w:left="567" w:hanging="567"/>
        <w:jc w:val="both"/>
        <w:rPr>
          <w:rFonts w:ascii="Arial" w:eastAsia="Times New Roman" w:hAnsi="Arial" w:cs="Arial"/>
          <w:lang w:val="en-GB"/>
        </w:rPr>
      </w:pPr>
      <w:r w:rsidRPr="00FC26CD">
        <w:rPr>
          <w:rFonts w:ascii="Arial" w:eastAsia="Times New Roman" w:hAnsi="Arial" w:cs="Arial"/>
          <w:lang w:val="en-GB"/>
        </w:rPr>
        <w:t xml:space="preserve">Provide bidders responses to their questions during the </w:t>
      </w:r>
      <w:r>
        <w:rPr>
          <w:rFonts w:ascii="Arial" w:eastAsia="Times New Roman" w:hAnsi="Arial" w:cs="Arial"/>
          <w:lang w:val="en-GB"/>
        </w:rPr>
        <w:t>compulsory</w:t>
      </w:r>
      <w:r w:rsidRPr="00FC26CD">
        <w:rPr>
          <w:rFonts w:ascii="Arial" w:eastAsia="Times New Roman" w:hAnsi="Arial" w:cs="Arial"/>
          <w:lang w:val="en-GB"/>
        </w:rPr>
        <w:t xml:space="preserve"> briefing session</w:t>
      </w:r>
    </w:p>
    <w:p w14:paraId="2FE7FE3E" w14:textId="77777777" w:rsidR="0028440F" w:rsidRPr="00FC26CD" w:rsidRDefault="0028440F" w:rsidP="0028440F">
      <w:pPr>
        <w:spacing w:after="0" w:line="276" w:lineRule="auto"/>
        <w:jc w:val="both"/>
        <w:rPr>
          <w:rFonts w:ascii="Arial" w:eastAsia="Times New Roman" w:hAnsi="Arial" w:cs="Arial"/>
          <w:b/>
          <w:lang w:val="en-GB"/>
        </w:rPr>
      </w:pPr>
    </w:p>
    <w:p w14:paraId="72114E30" w14:textId="77777777" w:rsidR="0028440F" w:rsidRPr="00FC26CD" w:rsidRDefault="0028440F" w:rsidP="0028440F">
      <w:pPr>
        <w:numPr>
          <w:ilvl w:val="0"/>
          <w:numId w:val="1"/>
        </w:numPr>
        <w:spacing w:after="0" w:line="276" w:lineRule="auto"/>
        <w:jc w:val="both"/>
        <w:rPr>
          <w:rFonts w:ascii="Arial" w:eastAsia="Times New Roman" w:hAnsi="Arial" w:cs="Arial"/>
          <w:b/>
          <w:lang w:val="en-GB"/>
        </w:rPr>
      </w:pPr>
      <w:r w:rsidRPr="00FC26CD">
        <w:rPr>
          <w:rFonts w:ascii="Arial" w:eastAsia="Times New Roman" w:hAnsi="Arial" w:cs="Arial"/>
          <w:b/>
          <w:lang w:val="en-GB"/>
        </w:rPr>
        <w:t>Schedule of Briefing Notes issued</w:t>
      </w:r>
    </w:p>
    <w:p w14:paraId="1CF17416" w14:textId="77777777" w:rsidR="0028440F" w:rsidRPr="00FC26CD" w:rsidRDefault="0028440F" w:rsidP="0028440F">
      <w:pPr>
        <w:spacing w:after="0" w:line="276" w:lineRule="auto"/>
        <w:jc w:val="both"/>
        <w:rPr>
          <w:rFonts w:ascii="Arial" w:eastAsia="Times New Roman" w:hAnsi="Arial" w:cs="Arial"/>
          <w:b/>
          <w:lang w:val="en-GB"/>
        </w:rPr>
      </w:pPr>
    </w:p>
    <w:p w14:paraId="75FF3227" w14:textId="77777777" w:rsidR="0028440F" w:rsidRPr="00FC26CD" w:rsidRDefault="0028440F" w:rsidP="0028440F">
      <w:pPr>
        <w:spacing w:after="0" w:line="276" w:lineRule="auto"/>
        <w:jc w:val="both"/>
        <w:rPr>
          <w:rFonts w:ascii="Arial" w:eastAsia="Times New Roman" w:hAnsi="Arial" w:cs="Arial"/>
          <w:lang w:val="en-GB"/>
        </w:rPr>
      </w:pPr>
      <w:r w:rsidRPr="00FC26CD">
        <w:rPr>
          <w:rFonts w:ascii="Arial" w:eastAsia="Times New Roman" w:hAnsi="Arial" w:cs="Arial"/>
          <w:lang w:val="en-GB"/>
        </w:rPr>
        <w:t xml:space="preserve">Briefing Notes 1: </w:t>
      </w:r>
    </w:p>
    <w:p w14:paraId="5A33EAEB" w14:textId="77777777" w:rsidR="0028440F" w:rsidRPr="00FC26CD" w:rsidRDefault="0028440F" w:rsidP="0028440F">
      <w:pPr>
        <w:numPr>
          <w:ilvl w:val="1"/>
          <w:numId w:val="1"/>
        </w:numPr>
        <w:spacing w:after="0" w:line="276" w:lineRule="auto"/>
        <w:ind w:left="567" w:hanging="567"/>
        <w:jc w:val="both"/>
        <w:rPr>
          <w:rFonts w:ascii="Arial" w:eastAsia="Times New Roman" w:hAnsi="Arial" w:cs="Arial"/>
          <w:lang w:val="en-GB"/>
        </w:rPr>
      </w:pPr>
      <w:r w:rsidRPr="00FC26CD">
        <w:rPr>
          <w:rFonts w:ascii="Arial" w:eastAsia="Times New Roman" w:hAnsi="Arial" w:cs="Arial"/>
          <w:lang w:val="en-GB"/>
        </w:rPr>
        <w:t xml:space="preserve">Responses to bidder’s queries up to </w:t>
      </w:r>
      <w:r>
        <w:rPr>
          <w:rFonts w:ascii="Arial" w:eastAsia="Times New Roman" w:hAnsi="Arial" w:cs="Arial"/>
          <w:lang w:val="en-GB"/>
        </w:rPr>
        <w:t>16 July 2026</w:t>
      </w:r>
      <w:r w:rsidRPr="00FC26CD">
        <w:rPr>
          <w:rFonts w:ascii="Arial" w:eastAsia="Times New Roman" w:hAnsi="Arial" w:cs="Arial"/>
          <w:lang w:val="en-GB"/>
        </w:rPr>
        <w:t>.</w:t>
      </w:r>
    </w:p>
    <w:p w14:paraId="14C810D1" w14:textId="77777777" w:rsidR="0028440F" w:rsidRPr="00FC26CD" w:rsidRDefault="0028440F" w:rsidP="0028440F">
      <w:pPr>
        <w:spacing w:after="0" w:line="276" w:lineRule="auto"/>
        <w:ind w:left="567"/>
        <w:jc w:val="both"/>
        <w:rPr>
          <w:rFonts w:ascii="Arial" w:eastAsia="Times New Roman" w:hAnsi="Arial" w:cs="Arial"/>
          <w:lang w:val="en-GB"/>
        </w:rPr>
      </w:pPr>
    </w:p>
    <w:p w14:paraId="5A39D46D" w14:textId="77777777" w:rsidR="0028440F" w:rsidRPr="00FC26CD" w:rsidRDefault="0028440F" w:rsidP="0028440F">
      <w:pPr>
        <w:spacing w:after="0" w:line="276" w:lineRule="auto"/>
        <w:jc w:val="both"/>
        <w:rPr>
          <w:rFonts w:ascii="Arial" w:eastAsia="Times New Roman" w:hAnsi="Arial" w:cs="Arial"/>
          <w:b/>
          <w:lang w:val="en-GB"/>
        </w:rPr>
      </w:pPr>
    </w:p>
    <w:p w14:paraId="779743C5" w14:textId="77777777" w:rsidR="0028440F" w:rsidRPr="00FC26CD" w:rsidRDefault="0028440F" w:rsidP="0028440F">
      <w:pPr>
        <w:numPr>
          <w:ilvl w:val="0"/>
          <w:numId w:val="1"/>
        </w:numPr>
        <w:spacing w:after="0" w:line="276" w:lineRule="auto"/>
        <w:jc w:val="both"/>
        <w:rPr>
          <w:rFonts w:ascii="Arial" w:eastAsia="Times New Roman" w:hAnsi="Arial" w:cs="Arial"/>
          <w:b/>
          <w:lang w:val="en-GB"/>
        </w:rPr>
      </w:pPr>
      <w:r w:rsidRPr="00FC26CD">
        <w:rPr>
          <w:rFonts w:ascii="Arial" w:eastAsia="Times New Roman" w:hAnsi="Arial" w:cs="Arial"/>
          <w:b/>
          <w:lang w:val="en-GB"/>
        </w:rPr>
        <w:t>Disclaimer</w:t>
      </w:r>
    </w:p>
    <w:p w14:paraId="010FC52C" w14:textId="77777777" w:rsidR="0028440F" w:rsidRPr="00FC26CD" w:rsidRDefault="0028440F" w:rsidP="0028440F">
      <w:pPr>
        <w:spacing w:after="0" w:line="276" w:lineRule="auto"/>
        <w:jc w:val="both"/>
        <w:rPr>
          <w:rFonts w:ascii="Arial" w:eastAsia="Times New Roman" w:hAnsi="Arial" w:cs="Arial"/>
          <w:b/>
          <w:lang w:val="en-GB"/>
        </w:rPr>
      </w:pPr>
    </w:p>
    <w:p w14:paraId="409D08FE" w14:textId="063D8D63" w:rsidR="0028440F" w:rsidRPr="0028440F" w:rsidRDefault="0028440F" w:rsidP="0028440F">
      <w:pPr>
        <w:spacing w:after="0" w:line="276" w:lineRule="auto"/>
        <w:jc w:val="both"/>
        <w:rPr>
          <w:rFonts w:ascii="Arial" w:eastAsia="Times New Roman" w:hAnsi="Arial" w:cs="Arial"/>
          <w:lang w:val="en-GB"/>
        </w:rPr>
      </w:pPr>
      <w:r w:rsidRPr="00FC26CD">
        <w:rPr>
          <w:rFonts w:ascii="Arial" w:eastAsia="Times New Roman" w:hAnsi="Arial" w:cs="Arial"/>
          <w:lang w:val="en-GB"/>
        </w:rPr>
        <w:t xml:space="preserve">Note that all responses are provided in good faith and without prejudice to the Department. The Department however reserves the right to review any or </w:t>
      </w:r>
      <w:proofErr w:type="gramStart"/>
      <w:r w:rsidRPr="00FC26CD">
        <w:rPr>
          <w:rFonts w:ascii="Arial" w:eastAsia="Times New Roman" w:hAnsi="Arial" w:cs="Arial"/>
          <w:lang w:val="en-GB"/>
        </w:rPr>
        <w:t>all of</w:t>
      </w:r>
      <w:proofErr w:type="gramEnd"/>
      <w:r w:rsidRPr="00FC26CD">
        <w:rPr>
          <w:rFonts w:ascii="Arial" w:eastAsia="Times New Roman" w:hAnsi="Arial" w:cs="Arial"/>
          <w:lang w:val="en-GB"/>
        </w:rPr>
        <w:t xml:space="preserve"> the responses depending on actual proposal submissions received. </w:t>
      </w:r>
    </w:p>
    <w:p w14:paraId="2002C062" w14:textId="1EEDF036" w:rsidR="00274898" w:rsidRPr="0028440F" w:rsidRDefault="00274898" w:rsidP="0028440F">
      <w:pPr>
        <w:spacing w:after="0" w:line="276" w:lineRule="auto"/>
        <w:jc w:val="both"/>
        <w:rPr>
          <w:rFonts w:ascii="Arial" w:eastAsia="Times New Roman" w:hAnsi="Arial" w:cs="Arial"/>
          <w:b/>
          <w:lang w:val="en-GB"/>
        </w:rPr>
      </w:pPr>
    </w:p>
    <w:p w14:paraId="262B9BE4" w14:textId="77777777" w:rsidR="002F797F" w:rsidRDefault="002F797F" w:rsidP="00274898">
      <w:pPr>
        <w:spacing w:after="0" w:line="276" w:lineRule="auto"/>
        <w:jc w:val="both"/>
        <w:rPr>
          <w:rFonts w:ascii="Arial" w:eastAsia="Times New Roman" w:hAnsi="Arial" w:cs="Arial"/>
          <w:lang w:val="en-GB"/>
        </w:rPr>
        <w:sectPr w:rsidR="002F797F" w:rsidSect="002F797F">
          <w:footerReference w:type="default" r:id="rId9"/>
          <w:pgSz w:w="11906" w:h="16838"/>
          <w:pgMar w:top="851" w:right="851" w:bottom="851" w:left="851" w:header="708" w:footer="708" w:gutter="0"/>
          <w:cols w:space="708"/>
          <w:docGrid w:linePitch="360"/>
        </w:sectPr>
      </w:pPr>
    </w:p>
    <w:p w14:paraId="24653645" w14:textId="77777777" w:rsidR="004332E0" w:rsidRDefault="004332E0" w:rsidP="00274898">
      <w:pPr>
        <w:spacing w:after="0" w:line="276" w:lineRule="auto"/>
        <w:jc w:val="both"/>
        <w:rPr>
          <w:rFonts w:ascii="Arial" w:eastAsia="Times New Roman" w:hAnsi="Arial" w:cs="Arial"/>
          <w:lang w:val="en-GB"/>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84"/>
        <w:gridCol w:w="7607"/>
      </w:tblGrid>
      <w:tr w:rsidR="004332E0" w:rsidRPr="00F22DEF" w14:paraId="38E943F7" w14:textId="77777777" w:rsidTr="00A32108">
        <w:trPr>
          <w:tblHeader/>
        </w:trPr>
        <w:tc>
          <w:tcPr>
            <w:tcW w:w="5524" w:type="dxa"/>
            <w:shd w:val="clear" w:color="auto" w:fill="FFC000"/>
          </w:tcPr>
          <w:p w14:paraId="72949843" w14:textId="77777777" w:rsidR="004332E0" w:rsidRPr="00F22DEF" w:rsidRDefault="004332E0" w:rsidP="00A32108">
            <w:pPr>
              <w:jc w:val="center"/>
              <w:rPr>
                <w:rFonts w:ascii="Arial" w:hAnsi="Arial" w:cs="Arial"/>
                <w:b/>
                <w:lang w:val="en-GB"/>
              </w:rPr>
            </w:pPr>
            <w:r w:rsidRPr="00F22DEF">
              <w:rPr>
                <w:rFonts w:ascii="Arial" w:hAnsi="Arial" w:cs="Arial"/>
                <w:b/>
                <w:lang w:val="en-GB"/>
              </w:rPr>
              <w:t>Questions / Comments for Clarification</w:t>
            </w:r>
          </w:p>
        </w:tc>
        <w:tc>
          <w:tcPr>
            <w:tcW w:w="1984" w:type="dxa"/>
            <w:shd w:val="clear" w:color="auto" w:fill="FFC000"/>
          </w:tcPr>
          <w:p w14:paraId="49A22E9C" w14:textId="77777777" w:rsidR="004332E0" w:rsidRPr="00F22DEF" w:rsidRDefault="004332E0" w:rsidP="00A32108">
            <w:pPr>
              <w:jc w:val="center"/>
              <w:rPr>
                <w:rFonts w:ascii="Arial" w:hAnsi="Arial" w:cs="Arial"/>
                <w:b/>
                <w:lang w:val="en-GB"/>
              </w:rPr>
            </w:pPr>
            <w:r w:rsidRPr="00F22DEF">
              <w:rPr>
                <w:rFonts w:ascii="Arial" w:hAnsi="Arial" w:cs="Arial"/>
                <w:b/>
                <w:lang w:val="en-GB"/>
              </w:rPr>
              <w:t>Reference</w:t>
            </w:r>
          </w:p>
        </w:tc>
        <w:tc>
          <w:tcPr>
            <w:tcW w:w="7607" w:type="dxa"/>
            <w:shd w:val="clear" w:color="auto" w:fill="FFC000"/>
          </w:tcPr>
          <w:p w14:paraId="6DE302A4" w14:textId="77777777" w:rsidR="004332E0" w:rsidRPr="00F22DEF" w:rsidRDefault="004332E0" w:rsidP="00A32108">
            <w:pPr>
              <w:jc w:val="center"/>
              <w:rPr>
                <w:rFonts w:ascii="Arial" w:hAnsi="Arial" w:cs="Arial"/>
                <w:b/>
                <w:lang w:val="en-GB"/>
              </w:rPr>
            </w:pPr>
            <w:r w:rsidRPr="00F22DEF">
              <w:rPr>
                <w:rFonts w:ascii="Arial" w:hAnsi="Arial" w:cs="Arial"/>
                <w:b/>
                <w:lang w:val="en-GB"/>
              </w:rPr>
              <w:t xml:space="preserve">Responses </w:t>
            </w:r>
          </w:p>
        </w:tc>
      </w:tr>
      <w:tr w:rsidR="002F797F" w:rsidRPr="00343337" w14:paraId="3D210532" w14:textId="77777777" w:rsidTr="0071531D">
        <w:tc>
          <w:tcPr>
            <w:tcW w:w="5524" w:type="dxa"/>
          </w:tcPr>
          <w:p w14:paraId="6DCA11A3" w14:textId="56D4E4DA" w:rsidR="002F797F" w:rsidRPr="0076064A" w:rsidRDefault="002F797F" w:rsidP="002F797F">
            <w:pPr>
              <w:rPr>
                <w:rFonts w:ascii="Arial" w:hAnsi="Arial" w:cs="Arial"/>
                <w:color w:val="FF0000"/>
                <w:lang w:val="en-GB"/>
              </w:rPr>
            </w:pPr>
            <w:r w:rsidRPr="0076064A">
              <w:rPr>
                <w:rFonts w:ascii="Arial" w:hAnsi="Arial" w:cs="Arial"/>
              </w:rPr>
              <w:t>Annexure D missing from Pack to respond to 5A</w:t>
            </w:r>
          </w:p>
        </w:tc>
        <w:tc>
          <w:tcPr>
            <w:tcW w:w="1984" w:type="dxa"/>
          </w:tcPr>
          <w:p w14:paraId="1717E38C" w14:textId="12830367" w:rsidR="002F797F" w:rsidRPr="0076064A" w:rsidRDefault="002F797F" w:rsidP="002F797F">
            <w:pPr>
              <w:jc w:val="center"/>
              <w:rPr>
                <w:rFonts w:ascii="Arial" w:hAnsi="Arial" w:cs="Arial"/>
                <w:color w:val="000000" w:themeColor="text1"/>
                <w:lang w:val="en-GB"/>
              </w:rPr>
            </w:pPr>
            <w:r w:rsidRPr="0076064A">
              <w:rPr>
                <w:rFonts w:ascii="Arial" w:hAnsi="Arial" w:cs="Arial"/>
                <w:color w:val="000000" w:themeColor="text1"/>
                <w:lang w:val="en-GB"/>
              </w:rPr>
              <w:t>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34304397" w14:textId="77777777" w:rsidR="00715E8A" w:rsidRDefault="0071531D" w:rsidP="0071531D">
            <w:pPr>
              <w:rPr>
                <w:rFonts w:ascii="Arial" w:hAnsi="Arial" w:cs="Arial"/>
              </w:rPr>
            </w:pPr>
            <w:r w:rsidRPr="0076064A">
              <w:rPr>
                <w:rFonts w:ascii="Arial" w:hAnsi="Arial" w:cs="Arial"/>
              </w:rPr>
              <w:t xml:space="preserve">Annexure D forms part of the tender pack and must be used where the TOR requires bidders to complete the prescribed templates for company experience, team experience and compliance with deliverables. </w:t>
            </w:r>
          </w:p>
          <w:p w14:paraId="161E7F19" w14:textId="77777777" w:rsidR="002F797F" w:rsidRDefault="00705285" w:rsidP="0071531D">
            <w:pPr>
              <w:rPr>
                <w:rFonts w:ascii="Arial" w:hAnsi="Arial" w:cs="Arial"/>
              </w:rPr>
            </w:pPr>
            <w:r>
              <w:rPr>
                <w:rFonts w:ascii="Arial" w:hAnsi="Arial" w:cs="Arial"/>
              </w:rPr>
              <w:t xml:space="preserve">Annexure D </w:t>
            </w:r>
            <w:r w:rsidR="00B7783B">
              <w:rPr>
                <w:rFonts w:ascii="Arial" w:hAnsi="Arial" w:cs="Arial"/>
              </w:rPr>
              <w:t xml:space="preserve">was uploaded on the </w:t>
            </w:r>
            <w:proofErr w:type="spellStart"/>
            <w:r w:rsidR="0071531D" w:rsidRPr="0076064A">
              <w:rPr>
                <w:rFonts w:ascii="Arial" w:hAnsi="Arial" w:cs="Arial"/>
              </w:rPr>
              <w:t>eTender</w:t>
            </w:r>
            <w:proofErr w:type="spellEnd"/>
            <w:r w:rsidR="0071531D" w:rsidRPr="0076064A">
              <w:rPr>
                <w:rFonts w:ascii="Arial" w:hAnsi="Arial" w:cs="Arial"/>
              </w:rPr>
              <w:t xml:space="preserve"> portal for access by all prospective bidders</w:t>
            </w:r>
            <w:r w:rsidR="00B7783B">
              <w:rPr>
                <w:rFonts w:ascii="Arial" w:hAnsi="Arial" w:cs="Arial"/>
              </w:rPr>
              <w:t xml:space="preserve"> on </w:t>
            </w:r>
            <w:r w:rsidR="00CF2938">
              <w:rPr>
                <w:rFonts w:ascii="Arial" w:hAnsi="Arial" w:cs="Arial"/>
              </w:rPr>
              <w:t>03 July 2026.</w:t>
            </w:r>
          </w:p>
          <w:p w14:paraId="03E1BEF2" w14:textId="77777777" w:rsidR="00D43143" w:rsidRDefault="00D43143" w:rsidP="0071531D">
            <w:pPr>
              <w:rPr>
                <w:rFonts w:ascii="Arial" w:hAnsi="Arial" w:cs="Arial"/>
              </w:rPr>
            </w:pPr>
          </w:p>
          <w:p w14:paraId="1BD7B3FF" w14:textId="22430A64" w:rsidR="00D43143" w:rsidRPr="0076064A" w:rsidRDefault="00D43143" w:rsidP="0071531D">
            <w:pPr>
              <w:rPr>
                <w:rFonts w:ascii="Arial" w:hAnsi="Arial" w:cs="Arial"/>
                <w:color w:val="FF0000"/>
                <w:lang w:val="en-GB"/>
              </w:rPr>
            </w:pPr>
          </w:p>
        </w:tc>
      </w:tr>
      <w:tr w:rsidR="002F797F" w:rsidRPr="00343337" w14:paraId="3A052A1F" w14:textId="77777777" w:rsidTr="0076064A">
        <w:tc>
          <w:tcPr>
            <w:tcW w:w="5524" w:type="dxa"/>
          </w:tcPr>
          <w:p w14:paraId="696E30E0" w14:textId="405C64E0" w:rsidR="002F797F" w:rsidRPr="0076064A" w:rsidRDefault="002F797F" w:rsidP="002F797F">
            <w:pPr>
              <w:rPr>
                <w:rFonts w:ascii="Arial" w:hAnsi="Arial" w:cs="Arial"/>
                <w:color w:val="FF0000"/>
                <w:lang w:val="en-GB"/>
              </w:rPr>
            </w:pPr>
            <w:r w:rsidRPr="0076064A">
              <w:rPr>
                <w:rFonts w:ascii="Arial" w:hAnsi="Arial" w:cs="Arial"/>
              </w:rPr>
              <w:t>Company experience: when you refer to Similar projects, please clarify as DoT is the only company in SA to provide Maritime Services? But 5 letters required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55DDE9" w14:textId="6FC2D202"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8.5.1, criterion 1(b);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1446F846" w14:textId="77777777" w:rsidR="0071531D" w:rsidRPr="0076064A" w:rsidRDefault="0071531D">
            <w:pPr>
              <w:rPr>
                <w:rFonts w:ascii="Arial" w:hAnsi="Arial" w:cs="Arial"/>
                <w:lang w:eastAsia="en-ZA"/>
              </w:rPr>
            </w:pPr>
            <w:r w:rsidRPr="0076064A">
              <w:rPr>
                <w:rFonts w:ascii="Arial" w:hAnsi="Arial" w:cs="Arial"/>
              </w:rPr>
              <w:t xml:space="preserve">The reference to “similar projects” is not limited only to an identical Department of Transport contract. Bidders may submit reference letters for services that are similar in nature, complexity, technical environment or deliverables to those required in the TOR, including GMDSS, </w:t>
            </w:r>
            <w:proofErr w:type="spellStart"/>
            <w:r w:rsidRPr="0076064A">
              <w:rPr>
                <w:rFonts w:ascii="Arial" w:hAnsi="Arial" w:cs="Arial"/>
              </w:rPr>
              <w:t>MSI</w:t>
            </w:r>
            <w:proofErr w:type="spellEnd"/>
            <w:r w:rsidRPr="0076064A">
              <w:rPr>
                <w:rFonts w:ascii="Arial" w:hAnsi="Arial" w:cs="Arial"/>
              </w:rPr>
              <w:t xml:space="preserve">, </w:t>
            </w:r>
            <w:proofErr w:type="spellStart"/>
            <w:r w:rsidRPr="0076064A">
              <w:rPr>
                <w:rFonts w:ascii="Arial" w:hAnsi="Arial" w:cs="Arial"/>
              </w:rPr>
              <w:t>COSPAS-SARSAT</w:t>
            </w:r>
            <w:proofErr w:type="spellEnd"/>
            <w:r w:rsidRPr="0076064A">
              <w:rPr>
                <w:rFonts w:ascii="Arial" w:hAnsi="Arial" w:cs="Arial"/>
              </w:rPr>
              <w:t xml:space="preserve">, </w:t>
            </w:r>
            <w:proofErr w:type="spellStart"/>
            <w:r w:rsidRPr="0076064A">
              <w:rPr>
                <w:rFonts w:ascii="Arial" w:hAnsi="Arial" w:cs="Arial"/>
              </w:rPr>
              <w:t>SAFREP</w:t>
            </w:r>
            <w:proofErr w:type="spellEnd"/>
            <w:r w:rsidRPr="0076064A">
              <w:rPr>
                <w:rFonts w:ascii="Arial" w:hAnsi="Arial" w:cs="Arial"/>
              </w:rPr>
              <w:t>, maritime radio communications, search and rescue communications, safety information dissemination, operational monitoring, maintenance or related support services.</w:t>
            </w:r>
          </w:p>
          <w:p w14:paraId="21986D53" w14:textId="77777777" w:rsidR="00FE681E" w:rsidRDefault="0071531D" w:rsidP="0071531D">
            <w:pPr>
              <w:rPr>
                <w:rFonts w:ascii="Arial" w:hAnsi="Arial" w:cs="Arial"/>
              </w:rPr>
            </w:pPr>
            <w:r w:rsidRPr="0076064A">
              <w:rPr>
                <w:rFonts w:ascii="Arial" w:hAnsi="Arial" w:cs="Arial"/>
              </w:rPr>
              <w:t xml:space="preserve">The TOR does not prescribe a maximum age for reference letters. Accordingly, bidders may submit more than one reference letter from the same client, provided each letter relates to a separate contract, service period, project phase or clearly distinguishable scope of work and confirms successful delivery. </w:t>
            </w:r>
          </w:p>
          <w:p w14:paraId="502F19FF" w14:textId="0951C8FE" w:rsidR="00083B63" w:rsidRPr="0076064A" w:rsidRDefault="0071531D" w:rsidP="0071531D">
            <w:pPr>
              <w:rPr>
                <w:rFonts w:ascii="Arial" w:hAnsi="Arial" w:cs="Arial"/>
                <w:color w:val="FF0000"/>
                <w:lang w:val="en-GB"/>
              </w:rPr>
            </w:pPr>
            <w:r w:rsidRPr="0076064A">
              <w:rPr>
                <w:rFonts w:ascii="Arial" w:hAnsi="Arial" w:cs="Arial"/>
              </w:rPr>
              <w:t>Appointment letters will not be accepted as reference letters.</w:t>
            </w:r>
          </w:p>
        </w:tc>
      </w:tr>
      <w:tr w:rsidR="002F797F" w:rsidRPr="00343337" w14:paraId="2E599F04" w14:textId="77777777" w:rsidTr="0076064A">
        <w:tc>
          <w:tcPr>
            <w:tcW w:w="5524" w:type="dxa"/>
          </w:tcPr>
          <w:p w14:paraId="07D3060D" w14:textId="3396AB82" w:rsidR="002F797F" w:rsidRPr="0076064A" w:rsidRDefault="002F797F" w:rsidP="002F797F">
            <w:pPr>
              <w:rPr>
                <w:rFonts w:ascii="Arial" w:hAnsi="Arial" w:cs="Arial"/>
                <w:color w:val="FF0000"/>
                <w:lang w:val="en-GB"/>
              </w:rPr>
            </w:pPr>
            <w:r w:rsidRPr="0076064A">
              <w:rPr>
                <w:rFonts w:ascii="Arial" w:hAnsi="Arial" w:cs="Arial"/>
              </w:rPr>
              <w:t>The SLA contract provided is this just for information? Does it need to be completed?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59BDD0A" w14:textId="70A50BFC"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9.3; Annexure C: SLA</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6E149653" w14:textId="77777777" w:rsidR="00FE681E" w:rsidRDefault="0071531D" w:rsidP="0071531D">
            <w:pPr>
              <w:rPr>
                <w:rFonts w:ascii="Arial" w:hAnsi="Arial" w:cs="Arial"/>
              </w:rPr>
            </w:pPr>
            <w:r w:rsidRPr="0076064A">
              <w:rPr>
                <w:rFonts w:ascii="Arial" w:hAnsi="Arial" w:cs="Arial"/>
              </w:rPr>
              <w:t xml:space="preserve">The draft Service Level Agreement is provided for information and familiarisation purposes at bidding stage. Bidders are not required to complete or sign the SLA as part of the bid submission unless expressly instructed elsewhere in the bid documents. </w:t>
            </w:r>
          </w:p>
          <w:p w14:paraId="077BAAF1" w14:textId="6FA6D3B4" w:rsidR="002F797F" w:rsidRPr="0076064A" w:rsidRDefault="0071531D" w:rsidP="0071531D">
            <w:pPr>
              <w:rPr>
                <w:rFonts w:ascii="Arial" w:hAnsi="Arial" w:cs="Arial"/>
                <w:color w:val="FF0000"/>
                <w:lang w:val="en-GB"/>
              </w:rPr>
            </w:pPr>
            <w:r w:rsidRPr="0076064A">
              <w:rPr>
                <w:rFonts w:ascii="Arial" w:hAnsi="Arial" w:cs="Arial"/>
              </w:rPr>
              <w:t>The final SLA will be concluded with the successful bidder after award and will be aligned to the TOR, the accepted proposal, agreed service levels, reporting obligations, penalties and implementation arrangements.</w:t>
            </w:r>
          </w:p>
        </w:tc>
      </w:tr>
      <w:tr w:rsidR="002F797F" w:rsidRPr="00343337" w14:paraId="57F479AD" w14:textId="77777777" w:rsidTr="0076064A">
        <w:tc>
          <w:tcPr>
            <w:tcW w:w="5524" w:type="dxa"/>
          </w:tcPr>
          <w:p w14:paraId="363E74AA" w14:textId="77777777" w:rsidR="002F797F" w:rsidRPr="0076064A" w:rsidRDefault="002F797F" w:rsidP="002F797F">
            <w:pPr>
              <w:spacing w:line="240" w:lineRule="auto"/>
              <w:rPr>
                <w:rFonts w:ascii="Arial" w:hAnsi="Arial" w:cs="Arial"/>
              </w:rPr>
            </w:pPr>
            <w:r w:rsidRPr="0076064A">
              <w:rPr>
                <w:rFonts w:ascii="Arial" w:hAnsi="Arial" w:cs="Arial"/>
              </w:rPr>
              <w:lastRenderedPageBreak/>
              <w:t>Under the heading:  8.5 EVALUATION CRITERIA</w:t>
            </w:r>
          </w:p>
          <w:p w14:paraId="150E80D1" w14:textId="77777777" w:rsidR="002F797F" w:rsidRPr="0076064A" w:rsidRDefault="002F797F" w:rsidP="002F797F">
            <w:pPr>
              <w:spacing w:line="240" w:lineRule="auto"/>
              <w:rPr>
                <w:rFonts w:ascii="Arial" w:hAnsi="Arial" w:cs="Arial"/>
              </w:rPr>
            </w:pPr>
            <w:r w:rsidRPr="0076064A">
              <w:rPr>
                <w:rFonts w:ascii="Arial" w:hAnsi="Arial" w:cs="Arial"/>
              </w:rPr>
              <w:t xml:space="preserve">8.5.1 DETAILED CRITERIA TECHNICAL </w:t>
            </w:r>
            <w:proofErr w:type="spellStart"/>
            <w:r w:rsidRPr="0076064A">
              <w:rPr>
                <w:rFonts w:ascii="Arial" w:hAnsi="Arial" w:cs="Arial"/>
              </w:rPr>
              <w:t>EVAULTION</w:t>
            </w:r>
            <w:proofErr w:type="spellEnd"/>
          </w:p>
          <w:p w14:paraId="68708A58" w14:textId="77777777" w:rsidR="002F797F" w:rsidRPr="0076064A" w:rsidRDefault="002F797F" w:rsidP="002F797F">
            <w:pPr>
              <w:spacing w:line="240" w:lineRule="auto"/>
              <w:rPr>
                <w:rFonts w:ascii="Arial" w:hAnsi="Arial" w:cs="Arial"/>
              </w:rPr>
            </w:pPr>
          </w:p>
          <w:p w14:paraId="4078498E" w14:textId="77777777" w:rsidR="002F797F" w:rsidRPr="0076064A" w:rsidRDefault="002F797F" w:rsidP="002F797F">
            <w:pPr>
              <w:spacing w:line="240" w:lineRule="auto"/>
              <w:rPr>
                <w:rFonts w:ascii="Arial" w:hAnsi="Arial" w:cs="Arial"/>
              </w:rPr>
            </w:pPr>
            <w:r w:rsidRPr="0076064A">
              <w:rPr>
                <w:rFonts w:ascii="Arial" w:hAnsi="Arial" w:cs="Arial"/>
              </w:rPr>
              <w:t>The scoring adds up to 130.</w:t>
            </w:r>
          </w:p>
          <w:p w14:paraId="61AAA287" w14:textId="77777777" w:rsidR="002F797F" w:rsidRPr="0076064A" w:rsidRDefault="002F797F" w:rsidP="002F797F">
            <w:pPr>
              <w:spacing w:line="240" w:lineRule="auto"/>
              <w:rPr>
                <w:rFonts w:ascii="Arial" w:hAnsi="Arial" w:cs="Arial"/>
              </w:rPr>
            </w:pPr>
            <w:r w:rsidRPr="0076064A">
              <w:rPr>
                <w:rFonts w:ascii="Arial" w:hAnsi="Arial" w:cs="Arial"/>
              </w:rPr>
              <w:t>The document shows a total score of 160. There seems to be a missing 30pts?</w:t>
            </w:r>
          </w:p>
          <w:p w14:paraId="3283C374" w14:textId="6A29FBFE" w:rsidR="002F797F" w:rsidRPr="0076064A" w:rsidRDefault="002F797F" w:rsidP="002F797F">
            <w:pPr>
              <w:rPr>
                <w:rFonts w:ascii="Arial" w:hAnsi="Arial" w:cs="Arial"/>
                <w:color w:val="FF0000"/>
                <w:lang w:val="en-GB"/>
              </w:rPr>
            </w:pPr>
            <w:r w:rsidRPr="0076064A">
              <w:rPr>
                <w:rFonts w:ascii="Arial" w:hAnsi="Arial" w:cs="Arial"/>
              </w:rPr>
              <w:t>There also seem to a missing page #12 and a point #2 missing.</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3EE0785" w14:textId="4897BFCB"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8.4.5 and 8.5.1;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4455F103" w14:textId="77777777" w:rsidR="00FE681E" w:rsidRDefault="0071531D">
            <w:pPr>
              <w:rPr>
                <w:rFonts w:ascii="Arial" w:hAnsi="Arial" w:cs="Arial"/>
              </w:rPr>
            </w:pPr>
            <w:r w:rsidRPr="0076064A">
              <w:rPr>
                <w:rFonts w:ascii="Arial" w:hAnsi="Arial" w:cs="Arial"/>
              </w:rPr>
              <w:t xml:space="preserve">The functional evaluation score in the TOR is 160 points, with a minimum qualifying threshold of 104 points. This is equivalent to 65% of the total functionality score. </w:t>
            </w:r>
          </w:p>
          <w:p w14:paraId="50F9B32D" w14:textId="26D7EAC3" w:rsidR="0071531D" w:rsidRPr="0076064A" w:rsidRDefault="0071531D">
            <w:pPr>
              <w:rPr>
                <w:rFonts w:ascii="Arial" w:hAnsi="Arial" w:cs="Arial"/>
                <w:lang w:eastAsia="en-ZA"/>
              </w:rPr>
            </w:pPr>
            <w:r w:rsidRPr="0076064A">
              <w:rPr>
                <w:rFonts w:ascii="Arial" w:hAnsi="Arial" w:cs="Arial"/>
              </w:rPr>
              <w:t>The evaluation includes the Project Leader criteria under item 2, namely 2(a) qualification and certification, weighted at 10 points, and 2(b) relevant project management and maritime radio communications experience, weighted at 20 points. These two criteria account for the 30 points queried.</w:t>
            </w:r>
          </w:p>
          <w:p w14:paraId="5DA32CA4" w14:textId="165B93E0" w:rsidR="004F2A6A" w:rsidRPr="0076064A" w:rsidRDefault="0071531D" w:rsidP="0071531D">
            <w:pPr>
              <w:rPr>
                <w:rFonts w:ascii="Arial" w:hAnsi="Arial" w:cs="Arial"/>
                <w:color w:val="FF0000"/>
                <w:lang w:val="en-GB"/>
              </w:rPr>
            </w:pPr>
            <w:r w:rsidRPr="0076064A">
              <w:rPr>
                <w:rFonts w:ascii="Arial" w:hAnsi="Arial" w:cs="Arial"/>
              </w:rPr>
              <w:t xml:space="preserve">If a bidder’s copy of the tender pack appears to omit pages containing item 2 or any related scoring detail, bidders must download the complete tender pack and any briefing note attachments from the </w:t>
            </w:r>
            <w:proofErr w:type="spellStart"/>
            <w:r w:rsidRPr="0076064A">
              <w:rPr>
                <w:rFonts w:ascii="Arial" w:hAnsi="Arial" w:cs="Arial"/>
              </w:rPr>
              <w:t>eTender</w:t>
            </w:r>
            <w:proofErr w:type="spellEnd"/>
            <w:r w:rsidRPr="0076064A">
              <w:rPr>
                <w:rFonts w:ascii="Arial" w:hAnsi="Arial" w:cs="Arial"/>
              </w:rPr>
              <w:t xml:space="preserve"> portal. The Department will ensure that the relevant missing page or annexure is made available to all bidders through the same official platform.</w:t>
            </w:r>
          </w:p>
        </w:tc>
      </w:tr>
      <w:tr w:rsidR="002F797F" w:rsidRPr="00343337" w14:paraId="764E6CA5" w14:textId="77777777" w:rsidTr="0076064A">
        <w:tc>
          <w:tcPr>
            <w:tcW w:w="5524" w:type="dxa"/>
          </w:tcPr>
          <w:p w14:paraId="67B52F24" w14:textId="77777777" w:rsidR="002F797F" w:rsidRPr="0076064A" w:rsidRDefault="002F797F" w:rsidP="002F797F">
            <w:pPr>
              <w:spacing w:line="240" w:lineRule="auto"/>
              <w:rPr>
                <w:rFonts w:ascii="Arial" w:hAnsi="Arial" w:cs="Arial"/>
              </w:rPr>
            </w:pPr>
            <w:r w:rsidRPr="0076064A">
              <w:rPr>
                <w:rFonts w:ascii="Arial" w:hAnsi="Arial" w:cs="Arial"/>
              </w:rPr>
              <w:t>Please clarify scoring criterion on 3a and 3b. Is this understanding correct: Document 1 asks, "Is the team qualified and certified?"</w:t>
            </w:r>
          </w:p>
          <w:p w14:paraId="2CDE5930" w14:textId="77777777" w:rsidR="002F797F" w:rsidRPr="0076064A" w:rsidRDefault="002F797F" w:rsidP="002F797F">
            <w:pPr>
              <w:spacing w:line="240" w:lineRule="auto"/>
              <w:rPr>
                <w:rFonts w:ascii="Arial" w:hAnsi="Arial" w:cs="Arial"/>
              </w:rPr>
            </w:pPr>
            <w:r w:rsidRPr="0076064A">
              <w:rPr>
                <w:rFonts w:ascii="Arial" w:hAnsi="Arial" w:cs="Arial"/>
              </w:rPr>
              <w:t>Document 2 asks, "How experienced is the team in performing the required work?"</w:t>
            </w:r>
          </w:p>
          <w:p w14:paraId="4E7EFB20" w14:textId="6910497F" w:rsidR="002F797F" w:rsidRPr="0076064A" w:rsidRDefault="002F797F" w:rsidP="002F797F">
            <w:pPr>
              <w:rPr>
                <w:rFonts w:ascii="Arial" w:hAnsi="Arial" w:cs="Arial"/>
                <w:color w:val="FF0000"/>
                <w:lang w:val="en-GB"/>
              </w:rPr>
            </w:pPr>
            <w:r w:rsidRPr="0076064A">
              <w:rPr>
                <w:rFonts w:ascii="Arial" w:hAnsi="Arial" w:cs="Arial"/>
              </w:rPr>
              <w:t>A bidder could score well in Document 1 by having the right qualifications and certifications but still score poorly in Document 2 if the team lacks sufficient years of relevant experience.</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874D7C2" w14:textId="5DD1E854"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8.5.1, criteria 3(a) and 3(b);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53945B89" w14:textId="77777777" w:rsidR="00FE681E" w:rsidRDefault="0071531D" w:rsidP="0071531D">
            <w:pPr>
              <w:rPr>
                <w:rFonts w:ascii="Arial" w:hAnsi="Arial" w:cs="Arial"/>
              </w:rPr>
            </w:pPr>
            <w:r w:rsidRPr="0076064A">
              <w:rPr>
                <w:rFonts w:ascii="Arial" w:hAnsi="Arial" w:cs="Arial"/>
              </w:rPr>
              <w:t xml:space="preserve">The understanding is correct. Criterion 3(a) evaluates whether the proposed project team collectively holds the required qualifications and certifications specified in the TOR. </w:t>
            </w:r>
          </w:p>
          <w:p w14:paraId="769CBF1C" w14:textId="77777777" w:rsidR="00FE681E" w:rsidRDefault="0071531D" w:rsidP="0071531D">
            <w:pPr>
              <w:rPr>
                <w:rFonts w:ascii="Arial" w:hAnsi="Arial" w:cs="Arial"/>
              </w:rPr>
            </w:pPr>
            <w:r w:rsidRPr="0076064A">
              <w:rPr>
                <w:rFonts w:ascii="Arial" w:hAnsi="Arial" w:cs="Arial"/>
              </w:rPr>
              <w:t xml:space="preserve">Criterion 3(b) evaluates the relevant experience of the proposed team members in the specific competency areas listed in the TOR. </w:t>
            </w:r>
          </w:p>
          <w:p w14:paraId="35862537" w14:textId="7D88727A" w:rsidR="002F797F" w:rsidRPr="0076064A" w:rsidRDefault="0071531D" w:rsidP="0071531D">
            <w:pPr>
              <w:rPr>
                <w:rFonts w:ascii="Arial" w:hAnsi="Arial" w:cs="Arial"/>
                <w:color w:val="FF0000"/>
                <w:lang w:val="en-GB"/>
              </w:rPr>
            </w:pPr>
            <w:r w:rsidRPr="0076064A">
              <w:rPr>
                <w:rFonts w:ascii="Arial" w:hAnsi="Arial" w:cs="Arial"/>
              </w:rPr>
              <w:t xml:space="preserve">A bidder may therefore score well under 3(a) if the team has the required qualifications and </w:t>
            </w:r>
            <w:proofErr w:type="gramStart"/>
            <w:r w:rsidRPr="0076064A">
              <w:rPr>
                <w:rFonts w:ascii="Arial" w:hAnsi="Arial" w:cs="Arial"/>
              </w:rPr>
              <w:t>certifications, but</w:t>
            </w:r>
            <w:proofErr w:type="gramEnd"/>
            <w:r w:rsidRPr="0076064A">
              <w:rPr>
                <w:rFonts w:ascii="Arial" w:hAnsi="Arial" w:cs="Arial"/>
              </w:rPr>
              <w:t xml:space="preserve"> may score lower under 3(b) if the submitted CVs do not demonstrate sufficient years of relevant experience in the required competency areas.</w:t>
            </w:r>
          </w:p>
        </w:tc>
      </w:tr>
      <w:tr w:rsidR="002F797F" w:rsidRPr="00343337" w14:paraId="2DF95FC4" w14:textId="77777777" w:rsidTr="0076064A">
        <w:tc>
          <w:tcPr>
            <w:tcW w:w="5524" w:type="dxa"/>
          </w:tcPr>
          <w:p w14:paraId="230F0156" w14:textId="30E07CC8" w:rsidR="002F797F" w:rsidRPr="0076064A" w:rsidRDefault="002F797F" w:rsidP="002F797F">
            <w:pPr>
              <w:rPr>
                <w:rFonts w:ascii="Arial" w:hAnsi="Arial" w:cs="Arial"/>
                <w:color w:val="FF0000"/>
                <w:lang w:val="en-GB"/>
              </w:rPr>
            </w:pPr>
            <w:r w:rsidRPr="0076064A">
              <w:rPr>
                <w:rFonts w:ascii="Arial" w:hAnsi="Arial" w:cs="Arial"/>
              </w:rPr>
              <w:t>TOR Document page 8 missing after 2.2.13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1B2F2BF" w14:textId="65CC484C"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2.2.14 to 2.2.20; Complete TOR</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54DC03A9" w14:textId="77777777" w:rsidR="00FE681E" w:rsidRDefault="0071531D" w:rsidP="0071531D">
            <w:pPr>
              <w:rPr>
                <w:rFonts w:ascii="Arial" w:hAnsi="Arial" w:cs="Arial"/>
              </w:rPr>
            </w:pPr>
            <w:r w:rsidRPr="0076064A">
              <w:rPr>
                <w:rFonts w:ascii="Arial" w:hAnsi="Arial" w:cs="Arial"/>
              </w:rPr>
              <w:t xml:space="preserve">The missing page will be issued to all prospective bidders through the </w:t>
            </w:r>
            <w:proofErr w:type="spellStart"/>
            <w:r w:rsidRPr="0076064A">
              <w:rPr>
                <w:rFonts w:ascii="Arial" w:hAnsi="Arial" w:cs="Arial"/>
              </w:rPr>
              <w:t>eTender</w:t>
            </w:r>
            <w:proofErr w:type="spellEnd"/>
            <w:r w:rsidRPr="0076064A">
              <w:rPr>
                <w:rFonts w:ascii="Arial" w:hAnsi="Arial" w:cs="Arial"/>
              </w:rPr>
              <w:t xml:space="preserve"> portal. </w:t>
            </w:r>
          </w:p>
          <w:p w14:paraId="19174D33" w14:textId="765C7AB2" w:rsidR="002F797F" w:rsidRPr="0076064A" w:rsidRDefault="0071531D" w:rsidP="0071531D">
            <w:pPr>
              <w:rPr>
                <w:rFonts w:ascii="Arial" w:hAnsi="Arial" w:cs="Arial"/>
                <w:color w:val="FF0000"/>
                <w:lang w:val="en-GB"/>
              </w:rPr>
            </w:pPr>
            <w:r w:rsidRPr="0076064A">
              <w:rPr>
                <w:rFonts w:ascii="Arial" w:hAnsi="Arial" w:cs="Arial"/>
              </w:rPr>
              <w:t>Bidders must ensure that their submissions are prepared using the complete tender pack, including any pages or annexures issued through briefing notes or official addenda.</w:t>
            </w:r>
          </w:p>
        </w:tc>
      </w:tr>
      <w:tr w:rsidR="002F797F" w:rsidRPr="00343337" w14:paraId="7BF33356" w14:textId="77777777" w:rsidTr="0076064A">
        <w:tc>
          <w:tcPr>
            <w:tcW w:w="5524" w:type="dxa"/>
          </w:tcPr>
          <w:p w14:paraId="4ADC9335" w14:textId="2F1FD0DC" w:rsidR="002F797F" w:rsidRPr="0076064A" w:rsidRDefault="002F797F" w:rsidP="002F797F">
            <w:pPr>
              <w:rPr>
                <w:rFonts w:ascii="Arial" w:hAnsi="Arial" w:cs="Arial"/>
                <w:color w:val="FF0000"/>
                <w:lang w:val="en-GB"/>
              </w:rPr>
            </w:pPr>
            <w:r w:rsidRPr="0076064A">
              <w:rPr>
                <w:rFonts w:ascii="Arial" w:hAnsi="Arial" w:cs="Arial"/>
              </w:rPr>
              <w:t>Page 49 PDF Pack Annexure E:  page missing after meeting reports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B082B81" w14:textId="64ACC961"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9.5; Annexure E</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70F8E80D" w14:textId="77777777" w:rsidR="00FE681E" w:rsidRDefault="0071531D" w:rsidP="0071531D">
            <w:pPr>
              <w:rPr>
                <w:rFonts w:ascii="Arial" w:hAnsi="Arial" w:cs="Arial"/>
              </w:rPr>
            </w:pPr>
            <w:r w:rsidRPr="0076064A">
              <w:rPr>
                <w:rFonts w:ascii="Arial" w:hAnsi="Arial" w:cs="Arial"/>
              </w:rPr>
              <w:t xml:space="preserve">The missing Annexure E page will be issued to all prospective bidders through the </w:t>
            </w:r>
            <w:proofErr w:type="spellStart"/>
            <w:r w:rsidRPr="0076064A">
              <w:rPr>
                <w:rFonts w:ascii="Arial" w:hAnsi="Arial" w:cs="Arial"/>
              </w:rPr>
              <w:t>eTender</w:t>
            </w:r>
            <w:proofErr w:type="spellEnd"/>
            <w:r w:rsidRPr="0076064A">
              <w:rPr>
                <w:rFonts w:ascii="Arial" w:hAnsi="Arial" w:cs="Arial"/>
              </w:rPr>
              <w:t xml:space="preserve"> portal. </w:t>
            </w:r>
          </w:p>
          <w:p w14:paraId="53799FC5" w14:textId="1785541F" w:rsidR="002F797F" w:rsidRPr="0076064A" w:rsidRDefault="0071531D" w:rsidP="0071531D">
            <w:pPr>
              <w:rPr>
                <w:rFonts w:ascii="Arial" w:hAnsi="Arial" w:cs="Arial"/>
                <w:color w:val="FF0000"/>
                <w:lang w:val="en-GB"/>
              </w:rPr>
            </w:pPr>
            <w:r w:rsidRPr="0076064A">
              <w:rPr>
                <w:rFonts w:ascii="Arial" w:hAnsi="Arial" w:cs="Arial"/>
              </w:rPr>
              <w:lastRenderedPageBreak/>
              <w:t xml:space="preserve">Bidders must </w:t>
            </w:r>
            <w:proofErr w:type="gramStart"/>
            <w:r w:rsidRPr="0076064A">
              <w:rPr>
                <w:rFonts w:ascii="Arial" w:hAnsi="Arial" w:cs="Arial"/>
              </w:rPr>
              <w:t>take into account</w:t>
            </w:r>
            <w:proofErr w:type="gramEnd"/>
            <w:r w:rsidRPr="0076064A">
              <w:rPr>
                <w:rFonts w:ascii="Arial" w:hAnsi="Arial" w:cs="Arial"/>
              </w:rPr>
              <w:t xml:space="preserve"> all official briefing notes, addenda and annexures issued by the Department when preparing their submissions.</w:t>
            </w:r>
          </w:p>
        </w:tc>
      </w:tr>
      <w:tr w:rsidR="002F797F" w:rsidRPr="00343337" w14:paraId="2C56C08F" w14:textId="77777777" w:rsidTr="0076064A">
        <w:tc>
          <w:tcPr>
            <w:tcW w:w="5524" w:type="dxa"/>
          </w:tcPr>
          <w:p w14:paraId="3FA95EFF" w14:textId="729C5758" w:rsidR="002F797F" w:rsidRPr="0076064A" w:rsidRDefault="002F797F" w:rsidP="002F797F">
            <w:pPr>
              <w:rPr>
                <w:rFonts w:ascii="Arial" w:hAnsi="Arial" w:cs="Arial"/>
                <w:color w:val="FF0000"/>
                <w:lang w:val="en-GB"/>
              </w:rPr>
            </w:pPr>
            <w:r w:rsidRPr="0076064A">
              <w:rPr>
                <w:rFonts w:ascii="Arial" w:hAnsi="Arial" w:cs="Arial"/>
              </w:rPr>
              <w:lastRenderedPageBreak/>
              <w:t>SBD 4: This declares that our directors / shareholders and partners have no controlling interests in DOT. The briefing session alluded to us declaring business with other entities of state, please can this be clarified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FAE4024" w14:textId="1EE23507"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SBD 4; Annexure A: Rules of Bidding</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31BCDBD6" w14:textId="77777777" w:rsidR="00FE681E" w:rsidRDefault="0071531D" w:rsidP="0071531D">
            <w:pPr>
              <w:rPr>
                <w:rFonts w:ascii="Arial" w:hAnsi="Arial" w:cs="Arial"/>
              </w:rPr>
            </w:pPr>
            <w:r w:rsidRPr="0076064A">
              <w:rPr>
                <w:rFonts w:ascii="Arial" w:hAnsi="Arial" w:cs="Arial"/>
              </w:rPr>
              <w:t xml:space="preserve">Bidders must complete SBD 4 fully and accurately. The declaration requires disclosure of interests, relationships and possible conflicts involving persons in the service of the state, including any business conducted with organs of state where required by the form. </w:t>
            </w:r>
          </w:p>
          <w:p w14:paraId="3ADF874F" w14:textId="17EB1CCE" w:rsidR="002F797F" w:rsidRPr="0076064A" w:rsidRDefault="0071531D" w:rsidP="0071531D">
            <w:pPr>
              <w:rPr>
                <w:rFonts w:ascii="Arial" w:hAnsi="Arial" w:cs="Arial"/>
                <w:color w:val="FF0000"/>
                <w:lang w:val="en-GB"/>
              </w:rPr>
            </w:pPr>
            <w:r w:rsidRPr="0076064A">
              <w:rPr>
                <w:rFonts w:ascii="Arial" w:hAnsi="Arial" w:cs="Arial"/>
              </w:rPr>
              <w:t>The purpose is to enable the Department to assess potential conflicts of interest and ensure transparency in the procurement process. Bidders must not limit their disclosure only to interests in the Department of Transport if the SBD 4 form requires broader disclosure.</w:t>
            </w:r>
          </w:p>
        </w:tc>
      </w:tr>
      <w:tr w:rsidR="002F797F" w:rsidRPr="00343337" w14:paraId="45076793" w14:textId="77777777" w:rsidTr="0076064A">
        <w:tc>
          <w:tcPr>
            <w:tcW w:w="5524" w:type="dxa"/>
          </w:tcPr>
          <w:p w14:paraId="1AF04E16" w14:textId="72CFB97C" w:rsidR="002F797F" w:rsidRPr="0076064A" w:rsidRDefault="002F797F" w:rsidP="002F797F">
            <w:pPr>
              <w:rPr>
                <w:rFonts w:ascii="Arial" w:hAnsi="Arial" w:cs="Arial"/>
                <w:color w:val="FF0000"/>
                <w:lang w:val="en-GB"/>
              </w:rPr>
            </w:pPr>
            <w:r w:rsidRPr="0076064A">
              <w:rPr>
                <w:rFonts w:ascii="Arial" w:hAnsi="Arial" w:cs="Arial"/>
              </w:rPr>
              <w:t>Do we need all GMDSS certificates or just those only with 6 years and above experience</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FF06E7F" w14:textId="5419C4C9"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8.5.1, criteria 3(a) and 3(b);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0196029D" w14:textId="77777777" w:rsidR="00FE681E" w:rsidRDefault="00B90E1C">
            <w:pPr>
              <w:rPr>
                <w:rFonts w:ascii="Arial" w:hAnsi="Arial" w:cs="Arial"/>
              </w:rPr>
            </w:pPr>
            <w:r w:rsidRPr="0076064A">
              <w:rPr>
                <w:rFonts w:ascii="Arial" w:hAnsi="Arial" w:cs="Arial"/>
              </w:rPr>
              <w:t xml:space="preserve">The requirement must be read with the relevant evaluation criteria. For the Project Team, criterion 3(a) assesses whether the proposed team collectively holds the required qualifications and certifications specified in the TOR. </w:t>
            </w:r>
          </w:p>
          <w:p w14:paraId="51895565" w14:textId="77777777" w:rsidR="00FE681E" w:rsidRDefault="00B90E1C">
            <w:pPr>
              <w:rPr>
                <w:rFonts w:ascii="Arial" w:hAnsi="Arial" w:cs="Arial"/>
              </w:rPr>
            </w:pPr>
            <w:r w:rsidRPr="0076064A">
              <w:rPr>
                <w:rFonts w:ascii="Arial" w:hAnsi="Arial" w:cs="Arial"/>
              </w:rPr>
              <w:t xml:space="preserve">The minimum team composition refers to an Electrical or Electronic Engineer with GOC, support personnel, an IT security governance specialist and a GMDSS professional with GOC. </w:t>
            </w:r>
          </w:p>
          <w:p w14:paraId="745EEE6F" w14:textId="72EEE30D" w:rsidR="00B90E1C" w:rsidRPr="0076064A" w:rsidRDefault="00B90E1C">
            <w:pPr>
              <w:rPr>
                <w:rFonts w:ascii="Arial" w:hAnsi="Arial" w:cs="Arial"/>
                <w:lang w:eastAsia="en-ZA"/>
              </w:rPr>
            </w:pPr>
            <w:r w:rsidRPr="0076064A">
              <w:rPr>
                <w:rFonts w:ascii="Arial" w:hAnsi="Arial" w:cs="Arial"/>
              </w:rPr>
              <w:t>Collectively, the team must have the required Electrical or Electronic Engineering qualification with GOC, GMDSS certification and IT security governance certification.</w:t>
            </w:r>
          </w:p>
          <w:p w14:paraId="711FE6DE" w14:textId="77777777" w:rsidR="00FE681E" w:rsidRDefault="00B90E1C">
            <w:pPr>
              <w:rPr>
                <w:rFonts w:ascii="Arial" w:hAnsi="Arial" w:cs="Arial"/>
              </w:rPr>
            </w:pPr>
            <w:r w:rsidRPr="0076064A">
              <w:rPr>
                <w:rFonts w:ascii="Arial" w:hAnsi="Arial" w:cs="Arial"/>
              </w:rPr>
              <w:t xml:space="preserve">Bidders must therefore submit the relevant certificates and qualifications for the personnel relied upon for scoring under criterion 3(a). </w:t>
            </w:r>
          </w:p>
          <w:p w14:paraId="4E503096" w14:textId="77777777" w:rsidR="00FE681E" w:rsidRDefault="00B90E1C">
            <w:pPr>
              <w:rPr>
                <w:rFonts w:ascii="Arial" w:hAnsi="Arial" w:cs="Arial"/>
              </w:rPr>
            </w:pPr>
            <w:r w:rsidRPr="0076064A">
              <w:rPr>
                <w:rFonts w:ascii="Arial" w:hAnsi="Arial" w:cs="Arial"/>
              </w:rPr>
              <w:t xml:space="preserve">These certificates are not required only for persons with six or more years’ experience. </w:t>
            </w:r>
          </w:p>
          <w:p w14:paraId="78EDFC47" w14:textId="6FE8BAB9" w:rsidR="00B90E1C" w:rsidRPr="0076064A" w:rsidRDefault="00B90E1C">
            <w:pPr>
              <w:rPr>
                <w:rFonts w:ascii="Arial" w:hAnsi="Arial" w:cs="Arial"/>
              </w:rPr>
            </w:pPr>
            <w:r w:rsidRPr="0076064A">
              <w:rPr>
                <w:rFonts w:ascii="Arial" w:hAnsi="Arial" w:cs="Arial"/>
              </w:rPr>
              <w:t>Qualifications and certifications are assessed under criterion 3(a), while years of relevant experience are assessed separately under criterion 3(b).</w:t>
            </w:r>
          </w:p>
          <w:p w14:paraId="5CF4159E" w14:textId="77777777" w:rsidR="00B90E1C" w:rsidRDefault="00B90E1C">
            <w:pPr>
              <w:rPr>
                <w:rFonts w:ascii="Arial" w:hAnsi="Arial" w:cs="Arial"/>
              </w:rPr>
            </w:pPr>
            <w:r w:rsidRPr="0076064A">
              <w:rPr>
                <w:rFonts w:ascii="Arial" w:hAnsi="Arial" w:cs="Arial"/>
              </w:rPr>
              <w:t>For illustration purposes only, the following examples explain how criterion 3(a) may be applied:</w:t>
            </w:r>
          </w:p>
          <w:p w14:paraId="346E1254" w14:textId="77777777" w:rsidR="00FE681E" w:rsidRPr="0076064A" w:rsidRDefault="00FE681E">
            <w:pPr>
              <w:rPr>
                <w:rFonts w:ascii="Arial" w:hAnsi="Arial" w:cs="Arial"/>
              </w:rPr>
            </w:pPr>
          </w:p>
          <w:p w14:paraId="1AEE48E9" w14:textId="77777777" w:rsidR="00B90E1C" w:rsidRPr="0076064A" w:rsidRDefault="00B90E1C" w:rsidP="00B90E1C">
            <w:pPr>
              <w:pStyle w:val="ListParagraph"/>
              <w:numPr>
                <w:ilvl w:val="0"/>
                <w:numId w:val="6"/>
              </w:numPr>
              <w:rPr>
                <w:rFonts w:ascii="Arial" w:hAnsi="Arial" w:cs="Arial"/>
              </w:rPr>
            </w:pPr>
            <w:r w:rsidRPr="0076064A">
              <w:rPr>
                <w:rFonts w:ascii="Arial" w:hAnsi="Arial" w:cs="Arial"/>
              </w:rPr>
              <w:t>Bidder A proposes an Electrical Engineer with GOC, a GMDSS professional with GOC, an IT security governance specialist with a recognised IT security governance certification, and support personnel with no additional relevant qualification or certification. If the submission supports three qualifications and three certifications, the bidder may score 14 points.</w:t>
            </w:r>
          </w:p>
          <w:p w14:paraId="426FC572" w14:textId="77777777" w:rsidR="00B90E1C" w:rsidRPr="0076064A" w:rsidRDefault="00B90E1C" w:rsidP="00B90E1C">
            <w:pPr>
              <w:pStyle w:val="ListParagraph"/>
              <w:numPr>
                <w:ilvl w:val="0"/>
                <w:numId w:val="6"/>
              </w:numPr>
              <w:rPr>
                <w:rFonts w:ascii="Arial" w:hAnsi="Arial" w:cs="Arial"/>
              </w:rPr>
            </w:pPr>
            <w:r w:rsidRPr="0076064A">
              <w:rPr>
                <w:rFonts w:ascii="Arial" w:hAnsi="Arial" w:cs="Arial"/>
              </w:rPr>
              <w:t xml:space="preserve">Bidder B proposes an Electrical or Electronic Engineer with GOC and a GMDSS professional with </w:t>
            </w:r>
            <w:proofErr w:type="gramStart"/>
            <w:r w:rsidRPr="0076064A">
              <w:rPr>
                <w:rFonts w:ascii="Arial" w:hAnsi="Arial" w:cs="Arial"/>
              </w:rPr>
              <w:t>GOC, but</w:t>
            </w:r>
            <w:proofErr w:type="gramEnd"/>
            <w:r w:rsidRPr="0076064A">
              <w:rPr>
                <w:rFonts w:ascii="Arial" w:hAnsi="Arial" w:cs="Arial"/>
              </w:rPr>
              <w:t xml:space="preserve"> does not submit an IT security governance certification or sufficient proof for the support personnel. If the submission supports two qualifications and two certifications, the bidder may score 10 points.</w:t>
            </w:r>
          </w:p>
          <w:p w14:paraId="54F68619" w14:textId="77777777" w:rsidR="00B90E1C" w:rsidRPr="0076064A" w:rsidRDefault="00B90E1C" w:rsidP="00B90E1C">
            <w:pPr>
              <w:pStyle w:val="ListParagraph"/>
              <w:numPr>
                <w:ilvl w:val="0"/>
                <w:numId w:val="6"/>
              </w:numPr>
              <w:rPr>
                <w:rFonts w:ascii="Arial" w:hAnsi="Arial" w:cs="Arial"/>
              </w:rPr>
            </w:pPr>
            <w:r w:rsidRPr="0076064A">
              <w:rPr>
                <w:rFonts w:ascii="Arial" w:hAnsi="Arial" w:cs="Arial"/>
              </w:rPr>
              <w:t>Bidder C proposes an Electrical or Electronic Engineer with GOC, a GMDSS professional with GOC, an IT security governance specialist with a recognised certification, and additional support personnel or team members with further relevant qualifications and certifications. If the submission supports more than four certifications and four qualifications, the bidder may score 20 points.</w:t>
            </w:r>
          </w:p>
          <w:p w14:paraId="15CBC313" w14:textId="10834533" w:rsidR="00E73840" w:rsidRPr="0076064A" w:rsidRDefault="00B90E1C" w:rsidP="00B90E1C">
            <w:pPr>
              <w:rPr>
                <w:rFonts w:ascii="Arial" w:hAnsi="Arial" w:cs="Arial"/>
                <w:color w:val="FF0000"/>
                <w:lang w:val="en-GB"/>
              </w:rPr>
            </w:pPr>
            <w:r w:rsidRPr="0076064A">
              <w:rPr>
                <w:rFonts w:ascii="Arial" w:hAnsi="Arial" w:cs="Arial"/>
              </w:rPr>
              <w:t>The examples are provided only to clarify the scoring approach. Final scoring will be based on the actual qualifications, certifications and supporting documents submitted by each bidder and verified during evaluation.</w:t>
            </w:r>
          </w:p>
        </w:tc>
      </w:tr>
      <w:tr w:rsidR="002F797F" w:rsidRPr="00343337" w14:paraId="7024170E" w14:textId="77777777" w:rsidTr="0076064A">
        <w:tc>
          <w:tcPr>
            <w:tcW w:w="5524" w:type="dxa"/>
          </w:tcPr>
          <w:p w14:paraId="1C27948E" w14:textId="260BC741" w:rsidR="002F797F" w:rsidRPr="0076064A" w:rsidRDefault="002F797F" w:rsidP="002F797F">
            <w:pPr>
              <w:rPr>
                <w:rFonts w:ascii="Arial" w:hAnsi="Arial" w:cs="Arial"/>
                <w:color w:val="FF0000"/>
                <w:lang w:val="en-GB"/>
              </w:rPr>
            </w:pPr>
            <w:r w:rsidRPr="0076064A">
              <w:rPr>
                <w:rFonts w:ascii="Arial" w:hAnsi="Arial" w:cs="Arial"/>
              </w:rPr>
              <w:lastRenderedPageBreak/>
              <w:t>We note that criterion 1(b) awards points based on the number of reference letters submitted. As the service being procured is highly specialized and we are currently the sole provider of this service type, we have only one client reference available despite having extensive experience and a successful service delivery record. Could the employer please clarify how unique or sole-source service providers will be evaluated under this criterion, as the requirement for multiple reference letters may unintentionally disadvantage bidders operating in highly specialized markets?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7AD491" w14:textId="3C13A752"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8.5.1, criterion 1(b);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16384087" w14:textId="77777777" w:rsidR="00FE681E" w:rsidRDefault="0071531D">
            <w:pPr>
              <w:rPr>
                <w:rFonts w:ascii="Arial" w:hAnsi="Arial" w:cs="Arial"/>
              </w:rPr>
            </w:pPr>
            <w:r w:rsidRPr="0076064A">
              <w:rPr>
                <w:rFonts w:ascii="Arial" w:hAnsi="Arial" w:cs="Arial"/>
              </w:rPr>
              <w:t xml:space="preserve">The criterion will be applied as stated in the TOR. Reference letters may be submitted for similar services and are not limited to an identical contract with the Department of Transport. </w:t>
            </w:r>
          </w:p>
          <w:p w14:paraId="11E400DB" w14:textId="77777777" w:rsidR="00FE681E" w:rsidRDefault="0071531D">
            <w:pPr>
              <w:rPr>
                <w:rFonts w:ascii="Arial" w:hAnsi="Arial" w:cs="Arial"/>
              </w:rPr>
            </w:pPr>
            <w:r w:rsidRPr="0076064A">
              <w:rPr>
                <w:rFonts w:ascii="Arial" w:hAnsi="Arial" w:cs="Arial"/>
              </w:rPr>
              <w:t xml:space="preserve">Where a bidder operates in a specialised market, it may submit multiple reference letters from the same client if the letters relate to different contracts, service periods, project phases or distinguishable scopes of work. </w:t>
            </w:r>
          </w:p>
          <w:p w14:paraId="61811A5E" w14:textId="0710283B" w:rsidR="0071531D" w:rsidRPr="0076064A" w:rsidRDefault="0071531D">
            <w:pPr>
              <w:rPr>
                <w:rFonts w:ascii="Arial" w:hAnsi="Arial" w:cs="Arial"/>
                <w:lang w:eastAsia="en-ZA"/>
              </w:rPr>
            </w:pPr>
            <w:r w:rsidRPr="0076064A">
              <w:rPr>
                <w:rFonts w:ascii="Arial" w:hAnsi="Arial" w:cs="Arial"/>
              </w:rPr>
              <w:t>The letters must confirm successful completion or delivery and include sufficient information to enable verification, including the nature of the work, duration and contactable reference details.</w:t>
            </w:r>
          </w:p>
          <w:p w14:paraId="4439955E" w14:textId="30DD6E34" w:rsidR="00457369" w:rsidRPr="0076064A" w:rsidRDefault="0071531D" w:rsidP="0071531D">
            <w:pPr>
              <w:rPr>
                <w:rFonts w:ascii="Arial" w:hAnsi="Arial" w:cs="Arial"/>
                <w:color w:val="FF0000"/>
                <w:lang w:val="en-GB"/>
              </w:rPr>
            </w:pPr>
            <w:r w:rsidRPr="0076064A">
              <w:rPr>
                <w:rFonts w:ascii="Arial" w:hAnsi="Arial" w:cs="Arial"/>
              </w:rPr>
              <w:t>The Department cannot amend the scoring methodology through this clarification response. Bidders must therefore submit the best available evidence that meets the requirements of criterion 1(b), noting that appointment letters will not be treated as reference letters.</w:t>
            </w:r>
          </w:p>
        </w:tc>
      </w:tr>
      <w:tr w:rsidR="002F797F" w:rsidRPr="00343337" w14:paraId="39FF9ED7" w14:textId="77777777" w:rsidTr="0076064A">
        <w:tc>
          <w:tcPr>
            <w:tcW w:w="5524" w:type="dxa"/>
          </w:tcPr>
          <w:p w14:paraId="0DE68708" w14:textId="2CE7D02C" w:rsidR="002F797F" w:rsidRPr="0076064A" w:rsidRDefault="002F797F" w:rsidP="002F797F">
            <w:pPr>
              <w:rPr>
                <w:rFonts w:ascii="Arial" w:hAnsi="Arial" w:cs="Arial"/>
                <w:color w:val="FF0000"/>
                <w:lang w:val="en-GB"/>
              </w:rPr>
            </w:pPr>
            <w:r w:rsidRPr="0076064A">
              <w:rPr>
                <w:rFonts w:ascii="Arial" w:hAnsi="Arial" w:cs="Arial"/>
              </w:rPr>
              <w:t>Can you please confirm the Electrical or Electronic Engineer with (General Operator Certificate - GOC) or (General Engineering Certificate - GEC)? On 3b of Scoring Criterion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FD6F6DA" w14:textId="1288C9CB"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8.5.1, criteria 3(a) and 3(b); Annexure D</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1C6ABB2B" w14:textId="77777777" w:rsidR="00FE681E" w:rsidRDefault="0071531D" w:rsidP="0071531D">
            <w:pPr>
              <w:rPr>
                <w:rFonts w:ascii="Arial" w:hAnsi="Arial" w:cs="Arial"/>
              </w:rPr>
            </w:pPr>
            <w:r w:rsidRPr="0076064A">
              <w:rPr>
                <w:rFonts w:ascii="Arial" w:hAnsi="Arial" w:cs="Arial"/>
              </w:rPr>
              <w:t xml:space="preserve">The requirement refers to an Electrical or Electronic Engineer with a General Operator Certificate (GOC), not a General Engineering Certificate (GEC). </w:t>
            </w:r>
          </w:p>
          <w:p w14:paraId="54C8E4D5" w14:textId="7301857B" w:rsidR="00FF521B" w:rsidRPr="0076064A" w:rsidRDefault="0071531D" w:rsidP="0071531D">
            <w:pPr>
              <w:rPr>
                <w:rFonts w:ascii="Arial" w:hAnsi="Arial" w:cs="Arial"/>
                <w:color w:val="FF0000"/>
                <w:lang w:val="en-GB"/>
              </w:rPr>
            </w:pPr>
            <w:r w:rsidRPr="0076064A">
              <w:rPr>
                <w:rFonts w:ascii="Arial" w:hAnsi="Arial" w:cs="Arial"/>
              </w:rPr>
              <w:t>Bidders must submit supporting documentation that demonstrates compliance with this requirement where the person is relied upon for scoring under the relevant criterion.</w:t>
            </w:r>
          </w:p>
        </w:tc>
      </w:tr>
      <w:tr w:rsidR="002F797F" w:rsidRPr="00343337" w14:paraId="0DC7B03C" w14:textId="77777777" w:rsidTr="0076064A">
        <w:tc>
          <w:tcPr>
            <w:tcW w:w="5524" w:type="dxa"/>
          </w:tcPr>
          <w:p w14:paraId="44C50617" w14:textId="5429ED5E" w:rsidR="002F797F" w:rsidRPr="0076064A" w:rsidRDefault="002F797F" w:rsidP="002F797F">
            <w:pPr>
              <w:rPr>
                <w:rFonts w:ascii="Arial" w:hAnsi="Arial" w:cs="Arial"/>
                <w:color w:val="FF0000"/>
                <w:lang w:val="en-GB"/>
              </w:rPr>
            </w:pPr>
            <w:r w:rsidRPr="0076064A">
              <w:rPr>
                <w:rFonts w:ascii="Arial" w:hAnsi="Arial" w:cs="Arial"/>
              </w:rPr>
              <w:t>The current DoT assets which are at their end-of-life state, is providing the maritime services under a best-effort agreement. When the current contract with the existing service provider ends on 30 September 2026 there is a high risk of system failure from inception of the new contract to the implementation of the new solution. Will the new service provider be absolved from penalties for</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58787D5" w14:textId="2E2E24F9"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sections 6 and 7; Annexure C: SLA; Annexure G</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6B58BDFD" w14:textId="77777777" w:rsidR="00FE681E" w:rsidRDefault="0071531D">
            <w:pPr>
              <w:rPr>
                <w:rFonts w:ascii="Arial" w:hAnsi="Arial" w:cs="Arial"/>
              </w:rPr>
            </w:pPr>
            <w:r w:rsidRPr="0076064A">
              <w:rPr>
                <w:rFonts w:ascii="Arial" w:hAnsi="Arial" w:cs="Arial"/>
              </w:rPr>
              <w:t xml:space="preserve">The TOR requires the successful service provider to provide continuous and uninterrupted services in accordance with the agreed service levels. The Department-owned assets listed in the TOR are optional for utilisation by the service provider. </w:t>
            </w:r>
          </w:p>
          <w:p w14:paraId="5B09ACB1" w14:textId="459B2149" w:rsidR="0071531D" w:rsidRPr="0076064A" w:rsidRDefault="0071531D">
            <w:pPr>
              <w:rPr>
                <w:rFonts w:ascii="Arial" w:hAnsi="Arial" w:cs="Arial"/>
                <w:lang w:eastAsia="en-ZA"/>
              </w:rPr>
            </w:pPr>
            <w:r w:rsidRPr="0076064A">
              <w:rPr>
                <w:rFonts w:ascii="Arial" w:hAnsi="Arial" w:cs="Arial"/>
              </w:rPr>
              <w:t>The successful bidder remains responsible for ensuring that it can meet the contractual obligations, whether by using its own infrastructure or any Department-owned assets it elects to utilise.</w:t>
            </w:r>
          </w:p>
          <w:p w14:paraId="5AFA4BD9" w14:textId="77777777" w:rsidR="00FE681E" w:rsidRDefault="0071531D" w:rsidP="0071531D">
            <w:pPr>
              <w:rPr>
                <w:rFonts w:ascii="Arial" w:hAnsi="Arial" w:cs="Arial"/>
              </w:rPr>
            </w:pPr>
            <w:r w:rsidRPr="0076064A">
              <w:rPr>
                <w:rFonts w:ascii="Arial" w:hAnsi="Arial" w:cs="Arial"/>
              </w:rPr>
              <w:lastRenderedPageBreak/>
              <w:t xml:space="preserve">A bidder will therefore not be automatically absolved from penalties merely because existing Department-owned assets are at end-of-life or are used on a best-effort basis. </w:t>
            </w:r>
          </w:p>
          <w:p w14:paraId="4B72CA4C" w14:textId="467D9642" w:rsidR="00B550BB" w:rsidRPr="0076064A" w:rsidRDefault="0071531D" w:rsidP="0071531D">
            <w:pPr>
              <w:rPr>
                <w:rFonts w:ascii="Arial" w:hAnsi="Arial" w:cs="Arial"/>
                <w:color w:val="FF0000"/>
                <w:lang w:val="en-GB"/>
              </w:rPr>
            </w:pPr>
            <w:r w:rsidRPr="0076064A">
              <w:rPr>
                <w:rFonts w:ascii="Arial" w:hAnsi="Arial" w:cs="Arial"/>
              </w:rPr>
              <w:t>The detailed implementation arrangements, transition requirements, applicable service levels, penalty triggers and deemed failures will be addressed during inception and finalisation of the SLA with the successful bidder, without derogating from the continuous service obligations set out in the TOR.</w:t>
            </w:r>
          </w:p>
        </w:tc>
      </w:tr>
      <w:tr w:rsidR="002F797F" w:rsidRPr="00343337" w14:paraId="090E6246" w14:textId="77777777" w:rsidTr="0076064A">
        <w:tc>
          <w:tcPr>
            <w:tcW w:w="5524" w:type="dxa"/>
          </w:tcPr>
          <w:p w14:paraId="18BCA3A8" w14:textId="4E271A3B" w:rsidR="002F797F" w:rsidRPr="0076064A" w:rsidRDefault="002F797F" w:rsidP="002F797F">
            <w:pPr>
              <w:rPr>
                <w:rFonts w:ascii="Arial" w:hAnsi="Arial" w:cs="Arial"/>
              </w:rPr>
            </w:pPr>
            <w:r w:rsidRPr="0076064A">
              <w:rPr>
                <w:rFonts w:ascii="Arial" w:hAnsi="Arial" w:cs="Arial"/>
              </w:rPr>
              <w:lastRenderedPageBreak/>
              <w:t>In the event of a new incumbent how would the transition period be paid to ensure business continuity</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7DF2E96" w14:textId="65A5BB3A"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2.3.2 and 2.3.3; Annexure C: SLA</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67425592" w14:textId="77777777" w:rsidR="00FE681E" w:rsidRDefault="0071531D">
            <w:pPr>
              <w:rPr>
                <w:rFonts w:ascii="Arial" w:hAnsi="Arial" w:cs="Arial"/>
              </w:rPr>
            </w:pPr>
            <w:r w:rsidRPr="0076064A">
              <w:rPr>
                <w:rFonts w:ascii="Arial" w:hAnsi="Arial" w:cs="Arial"/>
              </w:rPr>
              <w:t xml:space="preserve">Any incoming service provider may only be paid in accordance with a valid contract concluded with the Department and for services rendered in terms of that contract. </w:t>
            </w:r>
          </w:p>
          <w:p w14:paraId="400BAFDD" w14:textId="4F3CB6EC" w:rsidR="0071531D" w:rsidRPr="0076064A" w:rsidRDefault="0071531D">
            <w:pPr>
              <w:rPr>
                <w:rFonts w:ascii="Arial" w:hAnsi="Arial" w:cs="Arial"/>
                <w:lang w:eastAsia="en-ZA"/>
              </w:rPr>
            </w:pPr>
            <w:r w:rsidRPr="0076064A">
              <w:rPr>
                <w:rFonts w:ascii="Arial" w:hAnsi="Arial" w:cs="Arial"/>
              </w:rPr>
              <w:t>Transition planning, implementation, knowledge transfer and handover requirements must be addressed in the bidder’s proposal and, where applicable, in the inception process and SLA.</w:t>
            </w:r>
          </w:p>
          <w:p w14:paraId="680B0010" w14:textId="1B668A9A" w:rsidR="002F797F" w:rsidRPr="0076064A" w:rsidRDefault="0071531D" w:rsidP="0071531D">
            <w:pPr>
              <w:rPr>
                <w:rFonts w:ascii="Arial" w:hAnsi="Arial" w:cs="Arial"/>
                <w:color w:val="FF0000"/>
                <w:lang w:val="en-GB"/>
              </w:rPr>
            </w:pPr>
            <w:r w:rsidRPr="0076064A">
              <w:rPr>
                <w:rFonts w:ascii="Arial" w:hAnsi="Arial" w:cs="Arial"/>
              </w:rPr>
              <w:t>Any arrangements required to maintain business continuity with the current service provider are contractual matters outside the scope of this tender process and will be dealt with separately by the Department where necessary.</w:t>
            </w:r>
          </w:p>
        </w:tc>
      </w:tr>
      <w:tr w:rsidR="002F797F" w:rsidRPr="00343337" w14:paraId="068A0195" w14:textId="77777777" w:rsidTr="0076064A">
        <w:tc>
          <w:tcPr>
            <w:tcW w:w="5524" w:type="dxa"/>
          </w:tcPr>
          <w:p w14:paraId="27372384" w14:textId="4D2628BE" w:rsidR="002F797F" w:rsidRPr="0076064A" w:rsidRDefault="002F797F" w:rsidP="002F797F">
            <w:pPr>
              <w:rPr>
                <w:rFonts w:ascii="Arial" w:hAnsi="Arial" w:cs="Arial"/>
              </w:rPr>
            </w:pPr>
            <w:r w:rsidRPr="0076064A">
              <w:rPr>
                <w:rFonts w:ascii="Arial" w:hAnsi="Arial" w:cs="Arial"/>
              </w:rPr>
              <w:t>Please clarify 8.4.5 on stage 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95A4564" w14:textId="24CF2AB6" w:rsidR="002F797F" w:rsidRPr="0076064A" w:rsidRDefault="0076064A" w:rsidP="0076064A">
            <w:pPr>
              <w:jc w:val="center"/>
              <w:rPr>
                <w:rFonts w:ascii="Arial" w:hAnsi="Arial" w:cs="Arial"/>
                <w:color w:val="000000" w:themeColor="text1"/>
                <w:lang w:val="en-GB"/>
              </w:rPr>
            </w:pPr>
            <w:r w:rsidRPr="0076064A">
              <w:rPr>
                <w:rFonts w:ascii="Arial" w:hAnsi="Arial" w:cs="Arial"/>
                <w:color w:val="000000" w:themeColor="text1"/>
                <w:lang w:val="en-GB"/>
              </w:rPr>
              <w:t>TOR 8.4.5; TOR 8.6.1</w:t>
            </w:r>
          </w:p>
        </w:tc>
        <w:tc>
          <w:tcPr>
            <w:tcW w:w="7607" w:type="dxa"/>
            <w:tcBorders>
              <w:top w:val="nil"/>
              <w:left w:val="nil"/>
              <w:bottom w:val="single" w:sz="8" w:space="0" w:color="auto"/>
              <w:right w:val="single" w:sz="8" w:space="0" w:color="auto"/>
            </w:tcBorders>
            <w:tcMar>
              <w:top w:w="0" w:type="dxa"/>
              <w:left w:w="108" w:type="dxa"/>
              <w:bottom w:w="0" w:type="dxa"/>
              <w:right w:w="108" w:type="dxa"/>
            </w:tcMar>
            <w:hideMark/>
          </w:tcPr>
          <w:p w14:paraId="19C4444B" w14:textId="77777777" w:rsidR="00FE681E" w:rsidRDefault="0071531D" w:rsidP="0071531D">
            <w:pPr>
              <w:rPr>
                <w:rFonts w:ascii="Arial" w:hAnsi="Arial" w:cs="Arial"/>
              </w:rPr>
            </w:pPr>
            <w:r w:rsidRPr="0076064A">
              <w:rPr>
                <w:rFonts w:ascii="Arial" w:hAnsi="Arial" w:cs="Arial"/>
              </w:rPr>
              <w:t xml:space="preserve">Clause 8.4.5 means that a bidder must achieve at least 65% for functionality before its bid may proceed to evaluation under the Preference Points System. </w:t>
            </w:r>
          </w:p>
          <w:p w14:paraId="6724B6E9" w14:textId="76D9BA12" w:rsidR="00C32CF8" w:rsidRPr="0076064A" w:rsidRDefault="0071531D" w:rsidP="0071531D">
            <w:pPr>
              <w:rPr>
                <w:rFonts w:ascii="Arial" w:hAnsi="Arial" w:cs="Arial"/>
                <w:color w:val="FF0000"/>
                <w:lang w:val="en-GB"/>
              </w:rPr>
            </w:pPr>
            <w:r w:rsidRPr="0076064A">
              <w:rPr>
                <w:rFonts w:ascii="Arial" w:hAnsi="Arial" w:cs="Arial"/>
              </w:rPr>
              <w:t>As the functionality criteria total 160 points, the 65% threshold is 104 points. Bidders scoring below 104 out of 160 will not proceed to the next stage of evaluation.</w:t>
            </w:r>
          </w:p>
        </w:tc>
      </w:tr>
    </w:tbl>
    <w:p w14:paraId="7537A3D2" w14:textId="77777777" w:rsidR="004332E0" w:rsidRDefault="004332E0" w:rsidP="00274898">
      <w:pPr>
        <w:spacing w:after="0" w:line="276" w:lineRule="auto"/>
        <w:jc w:val="both"/>
      </w:pPr>
    </w:p>
    <w:sectPr w:rsidR="004332E0" w:rsidSect="002F797F">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1F3F" w14:textId="77777777" w:rsidR="009D6116" w:rsidRDefault="009D6116" w:rsidP="000B09D8">
      <w:pPr>
        <w:spacing w:after="0" w:line="240" w:lineRule="auto"/>
      </w:pPr>
      <w:r>
        <w:separator/>
      </w:r>
    </w:p>
  </w:endnote>
  <w:endnote w:type="continuationSeparator" w:id="0">
    <w:p w14:paraId="39846FEF" w14:textId="77777777" w:rsidR="009D6116" w:rsidRDefault="009D6116" w:rsidP="000B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78059"/>
      <w:docPartObj>
        <w:docPartGallery w:val="Page Numbers (Bottom of Page)"/>
        <w:docPartUnique/>
      </w:docPartObj>
    </w:sdtPr>
    <w:sdtEndPr>
      <w:rPr>
        <w:rFonts w:ascii="Arial" w:hAnsi="Arial" w:cs="Arial"/>
        <w:b/>
        <w:bCs/>
        <w:noProof/>
        <w:sz w:val="16"/>
        <w:szCs w:val="16"/>
      </w:rPr>
    </w:sdtEndPr>
    <w:sdtContent>
      <w:p w14:paraId="4FE4052E" w14:textId="77777777" w:rsidR="000B09D8" w:rsidRPr="00715E8A" w:rsidRDefault="000B09D8" w:rsidP="0076064A">
        <w:pPr>
          <w:pStyle w:val="Footer"/>
          <w:jc w:val="right"/>
          <w:rPr>
            <w:rFonts w:ascii="Arial" w:hAnsi="Arial" w:cs="Arial"/>
            <w:b/>
            <w:bCs/>
            <w:sz w:val="16"/>
            <w:szCs w:val="16"/>
          </w:rPr>
        </w:pPr>
        <w:r w:rsidRPr="00715E8A">
          <w:rPr>
            <w:rFonts w:ascii="Arial" w:hAnsi="Arial" w:cs="Arial"/>
            <w:b/>
            <w:bCs/>
            <w:sz w:val="16"/>
            <w:szCs w:val="16"/>
          </w:rPr>
          <w:fldChar w:fldCharType="begin"/>
        </w:r>
        <w:r w:rsidRPr="00715E8A">
          <w:rPr>
            <w:rFonts w:ascii="Arial" w:hAnsi="Arial" w:cs="Arial"/>
            <w:b/>
            <w:bCs/>
            <w:sz w:val="16"/>
            <w:szCs w:val="16"/>
          </w:rPr>
          <w:instrText xml:space="preserve"> PAGE   \* MERGEFORMAT </w:instrText>
        </w:r>
        <w:r w:rsidRPr="00715E8A">
          <w:rPr>
            <w:rFonts w:ascii="Arial" w:hAnsi="Arial" w:cs="Arial"/>
            <w:b/>
            <w:bCs/>
            <w:sz w:val="16"/>
            <w:szCs w:val="16"/>
          </w:rPr>
          <w:fldChar w:fldCharType="separate"/>
        </w:r>
        <w:r w:rsidRPr="00715E8A">
          <w:rPr>
            <w:rFonts w:ascii="Arial" w:hAnsi="Arial" w:cs="Arial"/>
            <w:b/>
            <w:bCs/>
            <w:noProof/>
            <w:sz w:val="16"/>
            <w:szCs w:val="16"/>
          </w:rPr>
          <w:t>2</w:t>
        </w:r>
        <w:r w:rsidRPr="00715E8A">
          <w:rPr>
            <w:rFonts w:ascii="Arial" w:hAnsi="Arial" w:cs="Arial"/>
            <w:b/>
            <w:bCs/>
            <w:noProof/>
            <w:sz w:val="16"/>
            <w:szCs w:val="16"/>
          </w:rPr>
          <w:fldChar w:fldCharType="end"/>
        </w:r>
      </w:p>
    </w:sdtContent>
  </w:sdt>
  <w:p w14:paraId="79A78CED" w14:textId="02278186" w:rsidR="000B09D8" w:rsidRPr="00715E8A" w:rsidRDefault="00715E8A" w:rsidP="00715E8A">
    <w:pPr>
      <w:pStyle w:val="Footer"/>
      <w:jc w:val="center"/>
      <w:rPr>
        <w:rFonts w:ascii="Arial" w:hAnsi="Arial" w:cs="Arial"/>
        <w:b/>
        <w:bCs/>
        <w:sz w:val="16"/>
        <w:szCs w:val="16"/>
      </w:rPr>
    </w:pPr>
    <w:r w:rsidRPr="00715E8A">
      <w:rPr>
        <w:rFonts w:ascii="Arial" w:hAnsi="Arial" w:cs="Arial"/>
        <w:b/>
        <w:bCs/>
        <w:sz w:val="16"/>
        <w:szCs w:val="16"/>
      </w:rPr>
      <w:t xml:space="preserve">DOT/07/2025/CA: </w:t>
    </w:r>
    <w:proofErr w:type="gramStart"/>
    <w:r w:rsidR="0076064A" w:rsidRPr="00715E8A">
      <w:rPr>
        <w:rFonts w:ascii="Arial" w:hAnsi="Arial" w:cs="Arial"/>
        <w:b/>
        <w:bCs/>
        <w:sz w:val="16"/>
        <w:szCs w:val="16"/>
      </w:rPr>
      <w:t xml:space="preserve">SOLAS </w:t>
    </w:r>
    <w:r w:rsidRPr="00715E8A">
      <w:rPr>
        <w:rFonts w:ascii="Arial" w:hAnsi="Arial" w:cs="Arial"/>
        <w:b/>
        <w:bCs/>
        <w:sz w:val="16"/>
        <w:szCs w:val="16"/>
      </w:rPr>
      <w:t xml:space="preserve"> -</w:t>
    </w:r>
    <w:proofErr w:type="gramEnd"/>
    <w:r w:rsidRPr="00715E8A">
      <w:rPr>
        <w:rFonts w:ascii="Arial" w:hAnsi="Arial" w:cs="Arial"/>
        <w:b/>
        <w:bCs/>
        <w:sz w:val="16"/>
        <w:szCs w:val="16"/>
      </w:rPr>
      <w:t xml:space="preserve"> </w:t>
    </w:r>
    <w:r w:rsidR="0076064A" w:rsidRPr="00715E8A">
      <w:rPr>
        <w:rFonts w:ascii="Arial" w:hAnsi="Arial" w:cs="Arial"/>
        <w:b/>
        <w:bCs/>
        <w:sz w:val="16"/>
        <w:szCs w:val="16"/>
      </w:rPr>
      <w:t>BRIEFING NOTES AND ADDITIONAL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A0A8" w14:textId="77777777" w:rsidR="009D6116" w:rsidRDefault="009D6116" w:rsidP="000B09D8">
      <w:pPr>
        <w:spacing w:after="0" w:line="240" w:lineRule="auto"/>
      </w:pPr>
      <w:r>
        <w:separator/>
      </w:r>
    </w:p>
  </w:footnote>
  <w:footnote w:type="continuationSeparator" w:id="0">
    <w:p w14:paraId="3402192B" w14:textId="77777777" w:rsidR="009D6116" w:rsidRDefault="009D6116" w:rsidP="000B0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CB4"/>
    <w:multiLevelType w:val="multilevel"/>
    <w:tmpl w:val="CE705720"/>
    <w:lvl w:ilvl="0">
      <w:start w:val="1"/>
      <w:numFmt w:val="bullet"/>
      <w:lvlText w:val=""/>
      <w:lvlJc w:val="left"/>
      <w:pPr>
        <w:tabs>
          <w:tab w:val="num" w:pos="2847"/>
        </w:tabs>
        <w:ind w:left="2847" w:hanging="360"/>
      </w:pPr>
      <w:rPr>
        <w:rFonts w:ascii="Symbol" w:hAnsi="Symbol" w:hint="default"/>
        <w:sz w:val="20"/>
      </w:rPr>
    </w:lvl>
    <w:lvl w:ilvl="1" w:tentative="1">
      <w:start w:val="1"/>
      <w:numFmt w:val="bullet"/>
      <w:lvlText w:val="o"/>
      <w:lvlJc w:val="left"/>
      <w:pPr>
        <w:tabs>
          <w:tab w:val="num" w:pos="3567"/>
        </w:tabs>
        <w:ind w:left="3567" w:hanging="360"/>
      </w:pPr>
      <w:rPr>
        <w:rFonts w:ascii="Courier New" w:hAnsi="Courier New" w:hint="default"/>
        <w:sz w:val="20"/>
      </w:rPr>
    </w:lvl>
    <w:lvl w:ilvl="2" w:tentative="1">
      <w:start w:val="1"/>
      <w:numFmt w:val="bullet"/>
      <w:lvlText w:val=""/>
      <w:lvlJc w:val="left"/>
      <w:pPr>
        <w:tabs>
          <w:tab w:val="num" w:pos="4287"/>
        </w:tabs>
        <w:ind w:left="4287" w:hanging="360"/>
      </w:pPr>
      <w:rPr>
        <w:rFonts w:ascii="Wingdings" w:hAnsi="Wingdings" w:hint="default"/>
        <w:sz w:val="20"/>
      </w:rPr>
    </w:lvl>
    <w:lvl w:ilvl="3" w:tentative="1">
      <w:start w:val="1"/>
      <w:numFmt w:val="bullet"/>
      <w:lvlText w:val=""/>
      <w:lvlJc w:val="left"/>
      <w:pPr>
        <w:tabs>
          <w:tab w:val="num" w:pos="5007"/>
        </w:tabs>
        <w:ind w:left="5007" w:hanging="360"/>
      </w:pPr>
      <w:rPr>
        <w:rFonts w:ascii="Wingdings" w:hAnsi="Wingdings" w:hint="default"/>
        <w:sz w:val="20"/>
      </w:rPr>
    </w:lvl>
    <w:lvl w:ilvl="4" w:tentative="1">
      <w:start w:val="1"/>
      <w:numFmt w:val="bullet"/>
      <w:lvlText w:val=""/>
      <w:lvlJc w:val="left"/>
      <w:pPr>
        <w:tabs>
          <w:tab w:val="num" w:pos="5727"/>
        </w:tabs>
        <w:ind w:left="5727" w:hanging="360"/>
      </w:pPr>
      <w:rPr>
        <w:rFonts w:ascii="Wingdings" w:hAnsi="Wingdings" w:hint="default"/>
        <w:sz w:val="20"/>
      </w:rPr>
    </w:lvl>
    <w:lvl w:ilvl="5" w:tentative="1">
      <w:start w:val="1"/>
      <w:numFmt w:val="bullet"/>
      <w:lvlText w:val=""/>
      <w:lvlJc w:val="left"/>
      <w:pPr>
        <w:tabs>
          <w:tab w:val="num" w:pos="6447"/>
        </w:tabs>
        <w:ind w:left="6447" w:hanging="360"/>
      </w:pPr>
      <w:rPr>
        <w:rFonts w:ascii="Wingdings" w:hAnsi="Wingdings" w:hint="default"/>
        <w:sz w:val="20"/>
      </w:rPr>
    </w:lvl>
    <w:lvl w:ilvl="6" w:tentative="1">
      <w:start w:val="1"/>
      <w:numFmt w:val="bullet"/>
      <w:lvlText w:val=""/>
      <w:lvlJc w:val="left"/>
      <w:pPr>
        <w:tabs>
          <w:tab w:val="num" w:pos="7167"/>
        </w:tabs>
        <w:ind w:left="7167" w:hanging="360"/>
      </w:pPr>
      <w:rPr>
        <w:rFonts w:ascii="Wingdings" w:hAnsi="Wingdings" w:hint="default"/>
        <w:sz w:val="20"/>
      </w:rPr>
    </w:lvl>
    <w:lvl w:ilvl="7" w:tentative="1">
      <w:start w:val="1"/>
      <w:numFmt w:val="bullet"/>
      <w:lvlText w:val=""/>
      <w:lvlJc w:val="left"/>
      <w:pPr>
        <w:tabs>
          <w:tab w:val="num" w:pos="7887"/>
        </w:tabs>
        <w:ind w:left="7887" w:hanging="360"/>
      </w:pPr>
      <w:rPr>
        <w:rFonts w:ascii="Wingdings" w:hAnsi="Wingdings" w:hint="default"/>
        <w:sz w:val="20"/>
      </w:rPr>
    </w:lvl>
    <w:lvl w:ilvl="8" w:tentative="1">
      <w:start w:val="1"/>
      <w:numFmt w:val="bullet"/>
      <w:lvlText w:val=""/>
      <w:lvlJc w:val="left"/>
      <w:pPr>
        <w:tabs>
          <w:tab w:val="num" w:pos="8607"/>
        </w:tabs>
        <w:ind w:left="8607" w:hanging="360"/>
      </w:pPr>
      <w:rPr>
        <w:rFonts w:ascii="Wingdings" w:hAnsi="Wingdings" w:hint="default"/>
        <w:sz w:val="20"/>
      </w:rPr>
    </w:lvl>
  </w:abstractNum>
  <w:abstractNum w:abstractNumId="1" w15:restartNumberingAfterBreak="0">
    <w:nsid w:val="1C3D7818"/>
    <w:multiLevelType w:val="hybridMultilevel"/>
    <w:tmpl w:val="6FAEFD16"/>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CEF12AB"/>
    <w:multiLevelType w:val="hybridMultilevel"/>
    <w:tmpl w:val="6FAEFD16"/>
    <w:lvl w:ilvl="0" w:tplc="25E04958">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2372E04"/>
    <w:multiLevelType w:val="hybridMultilevel"/>
    <w:tmpl w:val="9B221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E0A3B3A"/>
    <w:multiLevelType w:val="multilevel"/>
    <w:tmpl w:val="BE2C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62592"/>
    <w:multiLevelType w:val="hybridMultilevel"/>
    <w:tmpl w:val="F48AEA36"/>
    <w:lvl w:ilvl="0" w:tplc="05C8043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00155676">
    <w:abstractNumId w:val="2"/>
  </w:num>
  <w:num w:numId="2" w16cid:durableId="1718163660">
    <w:abstractNumId w:val="3"/>
  </w:num>
  <w:num w:numId="3" w16cid:durableId="1779250128">
    <w:abstractNumId w:val="5"/>
  </w:num>
  <w:num w:numId="4" w16cid:durableId="1217665967">
    <w:abstractNumId w:val="4"/>
  </w:num>
  <w:num w:numId="5" w16cid:durableId="39014835">
    <w:abstractNumId w:val="1"/>
  </w:num>
  <w:num w:numId="6" w16cid:durableId="17010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98"/>
    <w:rsid w:val="00000F83"/>
    <w:rsid w:val="00003B30"/>
    <w:rsid w:val="00024391"/>
    <w:rsid w:val="00043868"/>
    <w:rsid w:val="00083B63"/>
    <w:rsid w:val="00085F71"/>
    <w:rsid w:val="00092126"/>
    <w:rsid w:val="000A1726"/>
    <w:rsid w:val="000B09D8"/>
    <w:rsid w:val="000B4E00"/>
    <w:rsid w:val="000C4B5C"/>
    <w:rsid w:val="000F3EAF"/>
    <w:rsid w:val="000F647F"/>
    <w:rsid w:val="00154FF3"/>
    <w:rsid w:val="001846E4"/>
    <w:rsid w:val="00186ECA"/>
    <w:rsid w:val="001B706B"/>
    <w:rsid w:val="001C13A3"/>
    <w:rsid w:val="001C559A"/>
    <w:rsid w:val="001D6C62"/>
    <w:rsid w:val="001F6ABD"/>
    <w:rsid w:val="00220073"/>
    <w:rsid w:val="00260AD5"/>
    <w:rsid w:val="00260DA2"/>
    <w:rsid w:val="00263761"/>
    <w:rsid w:val="00274898"/>
    <w:rsid w:val="0028440F"/>
    <w:rsid w:val="00294B34"/>
    <w:rsid w:val="002A6F92"/>
    <w:rsid w:val="002F25C0"/>
    <w:rsid w:val="002F797F"/>
    <w:rsid w:val="00310ACD"/>
    <w:rsid w:val="00320E74"/>
    <w:rsid w:val="003217FB"/>
    <w:rsid w:val="00346061"/>
    <w:rsid w:val="003528A2"/>
    <w:rsid w:val="0037378B"/>
    <w:rsid w:val="0038199D"/>
    <w:rsid w:val="004049DB"/>
    <w:rsid w:val="0040567E"/>
    <w:rsid w:val="00427490"/>
    <w:rsid w:val="004332E0"/>
    <w:rsid w:val="004500A4"/>
    <w:rsid w:val="00457369"/>
    <w:rsid w:val="00457524"/>
    <w:rsid w:val="00464A29"/>
    <w:rsid w:val="00471F9B"/>
    <w:rsid w:val="0048066C"/>
    <w:rsid w:val="00496CFA"/>
    <w:rsid w:val="004A23F4"/>
    <w:rsid w:val="004B270E"/>
    <w:rsid w:val="004C1972"/>
    <w:rsid w:val="004E51C6"/>
    <w:rsid w:val="004F2A6A"/>
    <w:rsid w:val="004F6769"/>
    <w:rsid w:val="00507D6D"/>
    <w:rsid w:val="005150D5"/>
    <w:rsid w:val="00527AC2"/>
    <w:rsid w:val="00532D53"/>
    <w:rsid w:val="005865A6"/>
    <w:rsid w:val="005C4C8C"/>
    <w:rsid w:val="005C7F26"/>
    <w:rsid w:val="005E3875"/>
    <w:rsid w:val="005E67D8"/>
    <w:rsid w:val="00617801"/>
    <w:rsid w:val="0062102B"/>
    <w:rsid w:val="00635E35"/>
    <w:rsid w:val="0063682F"/>
    <w:rsid w:val="00651C19"/>
    <w:rsid w:val="00663FA8"/>
    <w:rsid w:val="00673AE1"/>
    <w:rsid w:val="00680323"/>
    <w:rsid w:val="00682812"/>
    <w:rsid w:val="00697303"/>
    <w:rsid w:val="006A12BD"/>
    <w:rsid w:val="00705285"/>
    <w:rsid w:val="0071531D"/>
    <w:rsid w:val="00715E8A"/>
    <w:rsid w:val="0076064A"/>
    <w:rsid w:val="00770CF6"/>
    <w:rsid w:val="007872DB"/>
    <w:rsid w:val="007B3256"/>
    <w:rsid w:val="007E3307"/>
    <w:rsid w:val="007F3B8A"/>
    <w:rsid w:val="0081080D"/>
    <w:rsid w:val="0081435C"/>
    <w:rsid w:val="00824DC7"/>
    <w:rsid w:val="008338F1"/>
    <w:rsid w:val="00875383"/>
    <w:rsid w:val="008E6BF8"/>
    <w:rsid w:val="00933FC5"/>
    <w:rsid w:val="00936DF1"/>
    <w:rsid w:val="00942B19"/>
    <w:rsid w:val="0095679B"/>
    <w:rsid w:val="009C6208"/>
    <w:rsid w:val="009D6116"/>
    <w:rsid w:val="009F3CCA"/>
    <w:rsid w:val="009F45A2"/>
    <w:rsid w:val="00A53F5E"/>
    <w:rsid w:val="00A63BDA"/>
    <w:rsid w:val="00A672E7"/>
    <w:rsid w:val="00A71E83"/>
    <w:rsid w:val="00A82E21"/>
    <w:rsid w:val="00AE29B3"/>
    <w:rsid w:val="00B03E9D"/>
    <w:rsid w:val="00B1778F"/>
    <w:rsid w:val="00B2549E"/>
    <w:rsid w:val="00B3089C"/>
    <w:rsid w:val="00B36950"/>
    <w:rsid w:val="00B550BB"/>
    <w:rsid w:val="00B77076"/>
    <w:rsid w:val="00B7783B"/>
    <w:rsid w:val="00B90E1C"/>
    <w:rsid w:val="00B94880"/>
    <w:rsid w:val="00BC58C0"/>
    <w:rsid w:val="00BE644C"/>
    <w:rsid w:val="00C32CF8"/>
    <w:rsid w:val="00C62AE2"/>
    <w:rsid w:val="00C62B52"/>
    <w:rsid w:val="00C707CF"/>
    <w:rsid w:val="00CA079B"/>
    <w:rsid w:val="00CC0A90"/>
    <w:rsid w:val="00CC1683"/>
    <w:rsid w:val="00CC5066"/>
    <w:rsid w:val="00CD17D0"/>
    <w:rsid w:val="00CF2938"/>
    <w:rsid w:val="00D02CE3"/>
    <w:rsid w:val="00D23E92"/>
    <w:rsid w:val="00D43143"/>
    <w:rsid w:val="00D443A2"/>
    <w:rsid w:val="00D83B9E"/>
    <w:rsid w:val="00D86C88"/>
    <w:rsid w:val="00D903FE"/>
    <w:rsid w:val="00DA0D2C"/>
    <w:rsid w:val="00DC5FC8"/>
    <w:rsid w:val="00E360A1"/>
    <w:rsid w:val="00E44DB1"/>
    <w:rsid w:val="00E5699E"/>
    <w:rsid w:val="00E73840"/>
    <w:rsid w:val="00E755F8"/>
    <w:rsid w:val="00EA6E04"/>
    <w:rsid w:val="00EB7E69"/>
    <w:rsid w:val="00ED4760"/>
    <w:rsid w:val="00F0449E"/>
    <w:rsid w:val="00F06695"/>
    <w:rsid w:val="00F22A67"/>
    <w:rsid w:val="00F54191"/>
    <w:rsid w:val="00F6669A"/>
    <w:rsid w:val="00F77016"/>
    <w:rsid w:val="00FB6A86"/>
    <w:rsid w:val="00FB74F1"/>
    <w:rsid w:val="00FE681E"/>
    <w:rsid w:val="00FF52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33C9"/>
  <w15:chartTrackingRefBased/>
  <w15:docId w15:val="{4F339582-4F51-4175-A40F-6BCBAB2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9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4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898"/>
    <w:rPr>
      <w:rFonts w:eastAsiaTheme="majorEastAsia" w:cstheme="majorBidi"/>
      <w:color w:val="272727" w:themeColor="text1" w:themeTint="D8"/>
    </w:rPr>
  </w:style>
  <w:style w:type="paragraph" w:styleId="Title">
    <w:name w:val="Title"/>
    <w:basedOn w:val="Normal"/>
    <w:next w:val="Normal"/>
    <w:link w:val="TitleChar"/>
    <w:uiPriority w:val="10"/>
    <w:qFormat/>
    <w:rsid w:val="00274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898"/>
    <w:pPr>
      <w:spacing w:before="160"/>
      <w:jc w:val="center"/>
    </w:pPr>
    <w:rPr>
      <w:i/>
      <w:iCs/>
      <w:color w:val="404040" w:themeColor="text1" w:themeTint="BF"/>
    </w:rPr>
  </w:style>
  <w:style w:type="character" w:customStyle="1" w:styleId="QuoteChar">
    <w:name w:val="Quote Char"/>
    <w:basedOn w:val="DefaultParagraphFont"/>
    <w:link w:val="Quote"/>
    <w:uiPriority w:val="29"/>
    <w:rsid w:val="00274898"/>
    <w:rPr>
      <w:i/>
      <w:iCs/>
      <w:color w:val="404040" w:themeColor="text1" w:themeTint="BF"/>
    </w:rPr>
  </w:style>
  <w:style w:type="paragraph" w:styleId="ListParagraph">
    <w:name w:val="List Paragraph"/>
    <w:basedOn w:val="Normal"/>
    <w:uiPriority w:val="34"/>
    <w:qFormat/>
    <w:rsid w:val="00274898"/>
    <w:pPr>
      <w:ind w:left="720"/>
      <w:contextualSpacing/>
    </w:pPr>
  </w:style>
  <w:style w:type="character" w:styleId="IntenseEmphasis">
    <w:name w:val="Intense Emphasis"/>
    <w:basedOn w:val="DefaultParagraphFont"/>
    <w:uiPriority w:val="21"/>
    <w:qFormat/>
    <w:rsid w:val="00274898"/>
    <w:rPr>
      <w:i/>
      <w:iCs/>
      <w:color w:val="0F4761" w:themeColor="accent1" w:themeShade="BF"/>
    </w:rPr>
  </w:style>
  <w:style w:type="paragraph" w:styleId="IntenseQuote">
    <w:name w:val="Intense Quote"/>
    <w:basedOn w:val="Normal"/>
    <w:next w:val="Normal"/>
    <w:link w:val="IntenseQuoteChar"/>
    <w:uiPriority w:val="30"/>
    <w:qFormat/>
    <w:rsid w:val="00274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898"/>
    <w:rPr>
      <w:i/>
      <w:iCs/>
      <w:color w:val="0F4761" w:themeColor="accent1" w:themeShade="BF"/>
    </w:rPr>
  </w:style>
  <w:style w:type="character" w:styleId="IntenseReference">
    <w:name w:val="Intense Reference"/>
    <w:basedOn w:val="DefaultParagraphFont"/>
    <w:uiPriority w:val="32"/>
    <w:qFormat/>
    <w:rsid w:val="00274898"/>
    <w:rPr>
      <w:b/>
      <w:bCs/>
      <w:smallCaps/>
      <w:color w:val="0F4761" w:themeColor="accent1" w:themeShade="BF"/>
      <w:spacing w:val="5"/>
    </w:rPr>
  </w:style>
  <w:style w:type="table" w:styleId="TableGrid">
    <w:name w:val="Table Grid"/>
    <w:basedOn w:val="TableNormal"/>
    <w:uiPriority w:val="39"/>
    <w:rsid w:val="0027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073"/>
    <w:pPr>
      <w:spacing w:before="100" w:beforeAutospacing="1" w:after="100" w:afterAutospacing="1" w:line="240" w:lineRule="auto"/>
    </w:pPr>
    <w:rPr>
      <w:rFonts w:ascii="Aptos" w:hAnsi="Aptos" w:cs="Aptos"/>
      <w:sz w:val="24"/>
      <w:szCs w:val="24"/>
      <w:lang w:eastAsia="en-ZA"/>
    </w:rPr>
  </w:style>
  <w:style w:type="table" w:customStyle="1" w:styleId="TableGrid1">
    <w:name w:val="Table Grid1"/>
    <w:basedOn w:val="TableNormal"/>
    <w:next w:val="TableGrid"/>
    <w:uiPriority w:val="39"/>
    <w:rsid w:val="002200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71E83"/>
    <w:pPr>
      <w:spacing w:after="0" w:line="240" w:lineRule="auto"/>
    </w:pPr>
    <w:rPr>
      <w:rFonts w:ascii="Aptos" w:hAnsi="Aptos" w:cs="Aptos"/>
      <w:sz w:val="24"/>
      <w:szCs w:val="24"/>
      <w:lang w:eastAsia="en-ZA"/>
    </w:rPr>
  </w:style>
  <w:style w:type="character" w:styleId="Hyperlink">
    <w:name w:val="Hyperlink"/>
    <w:basedOn w:val="DefaultParagraphFont"/>
    <w:uiPriority w:val="99"/>
    <w:unhideWhenUsed/>
    <w:rsid w:val="00092126"/>
    <w:rPr>
      <w:color w:val="467886" w:themeColor="hyperlink"/>
      <w:u w:val="single"/>
    </w:rPr>
  </w:style>
  <w:style w:type="character" w:styleId="UnresolvedMention">
    <w:name w:val="Unresolved Mention"/>
    <w:basedOn w:val="DefaultParagraphFont"/>
    <w:uiPriority w:val="99"/>
    <w:semiHidden/>
    <w:unhideWhenUsed/>
    <w:rsid w:val="00092126"/>
    <w:rPr>
      <w:color w:val="605E5C"/>
      <w:shd w:val="clear" w:color="auto" w:fill="E1DFDD"/>
    </w:rPr>
  </w:style>
  <w:style w:type="paragraph" w:styleId="Header">
    <w:name w:val="header"/>
    <w:basedOn w:val="Normal"/>
    <w:link w:val="HeaderChar"/>
    <w:uiPriority w:val="99"/>
    <w:unhideWhenUsed/>
    <w:rsid w:val="000B0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9D8"/>
    <w:rPr>
      <w:kern w:val="0"/>
      <w:sz w:val="22"/>
      <w:szCs w:val="22"/>
      <w14:ligatures w14:val="none"/>
    </w:rPr>
  </w:style>
  <w:style w:type="paragraph" w:styleId="Footer">
    <w:name w:val="footer"/>
    <w:basedOn w:val="Normal"/>
    <w:link w:val="FooterChar"/>
    <w:uiPriority w:val="99"/>
    <w:unhideWhenUsed/>
    <w:rsid w:val="000B0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9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350980">
      <w:bodyDiv w:val="1"/>
      <w:marLeft w:val="0"/>
      <w:marRight w:val="0"/>
      <w:marTop w:val="0"/>
      <w:marBottom w:val="0"/>
      <w:divBdr>
        <w:top w:val="none" w:sz="0" w:space="0" w:color="auto"/>
        <w:left w:val="none" w:sz="0" w:space="0" w:color="auto"/>
        <w:bottom w:val="none" w:sz="0" w:space="0" w:color="auto"/>
        <w:right w:val="none" w:sz="0" w:space="0" w:color="auto"/>
      </w:divBdr>
    </w:div>
    <w:div w:id="1061055558">
      <w:bodyDiv w:val="1"/>
      <w:marLeft w:val="0"/>
      <w:marRight w:val="0"/>
      <w:marTop w:val="0"/>
      <w:marBottom w:val="0"/>
      <w:divBdr>
        <w:top w:val="none" w:sz="0" w:space="0" w:color="auto"/>
        <w:left w:val="none" w:sz="0" w:space="0" w:color="auto"/>
        <w:bottom w:val="none" w:sz="0" w:space="0" w:color="auto"/>
        <w:right w:val="none" w:sz="0" w:space="0" w:color="auto"/>
      </w:divBdr>
    </w:div>
    <w:div w:id="1542590180">
      <w:bodyDiv w:val="1"/>
      <w:marLeft w:val="0"/>
      <w:marRight w:val="0"/>
      <w:marTop w:val="0"/>
      <w:marBottom w:val="0"/>
      <w:divBdr>
        <w:top w:val="none" w:sz="0" w:space="0" w:color="auto"/>
        <w:left w:val="none" w:sz="0" w:space="0" w:color="auto"/>
        <w:bottom w:val="none" w:sz="0" w:space="0" w:color="auto"/>
        <w:right w:val="none" w:sz="0" w:space="0" w:color="auto"/>
      </w:divBdr>
    </w:div>
    <w:div w:id="18671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Mabuela</dc:creator>
  <cp:keywords/>
  <dc:description/>
  <cp:lastModifiedBy>Nyawo Nelisiwe</cp:lastModifiedBy>
  <cp:revision>2</cp:revision>
  <dcterms:created xsi:type="dcterms:W3CDTF">2026-07-16T13:00:00Z</dcterms:created>
  <dcterms:modified xsi:type="dcterms:W3CDTF">2026-07-16T13:00:00Z</dcterms:modified>
</cp:coreProperties>
</file>