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28F7" w14:textId="77777777" w:rsidR="00874614" w:rsidRDefault="00874614" w:rsidP="00874614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</w:p>
    <w:p w14:paraId="029C8FF6" w14:textId="77777777" w:rsidR="00011058" w:rsidRDefault="00011058" w:rsidP="00874614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</w:p>
    <w:p w14:paraId="2C0ABBC4" w14:textId="77777777" w:rsidR="00011058" w:rsidRDefault="00011058" w:rsidP="00874614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</w:p>
    <w:p w14:paraId="72BF000C" w14:textId="77777777" w:rsidR="005E734D" w:rsidRDefault="005E734D" w:rsidP="005E734D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</w:p>
    <w:p w14:paraId="211A203D" w14:textId="6589C0D2" w:rsidR="005E734D" w:rsidRDefault="005E734D" w:rsidP="005E734D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  <w:r>
        <w:rPr>
          <w:rFonts w:ascii="Arial" w:eastAsia="Calibri" w:hAnsi="Arial" w:cs="Arial"/>
          <w:b/>
          <w:bCs/>
          <w:sz w:val="44"/>
          <w:szCs w:val="44"/>
          <w:lang w:val="en"/>
        </w:rPr>
        <w:t>A</w:t>
      </w:r>
      <w:r w:rsidR="00137CF9">
        <w:rPr>
          <w:rFonts w:ascii="Arial" w:eastAsia="Calibri" w:hAnsi="Arial" w:cs="Arial"/>
          <w:b/>
          <w:bCs/>
          <w:sz w:val="44"/>
          <w:szCs w:val="44"/>
          <w:lang w:val="en"/>
        </w:rPr>
        <w:t>NNEXURE</w:t>
      </w:r>
      <w:r>
        <w:rPr>
          <w:rFonts w:ascii="Arial" w:eastAsia="Calibri" w:hAnsi="Arial" w:cs="Arial"/>
          <w:b/>
          <w:bCs/>
          <w:sz w:val="44"/>
          <w:szCs w:val="44"/>
          <w:lang w:val="en"/>
        </w:rPr>
        <w:t xml:space="preserve"> A</w:t>
      </w:r>
    </w:p>
    <w:p w14:paraId="02538F8B" w14:textId="74F0E62A" w:rsidR="005E734D" w:rsidRPr="00CE7D9C" w:rsidRDefault="00262A39" w:rsidP="005E734D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  <w:r>
        <w:rPr>
          <w:rFonts w:ascii="Arial" w:eastAsia="Calibri" w:hAnsi="Arial" w:cs="Arial"/>
          <w:b/>
          <w:bCs/>
          <w:sz w:val="44"/>
          <w:szCs w:val="44"/>
          <w:lang w:val="en"/>
        </w:rPr>
        <w:t>REPORT</w:t>
      </w:r>
      <w:r w:rsidR="00CB5B60">
        <w:rPr>
          <w:rFonts w:ascii="Arial" w:eastAsia="Calibri" w:hAnsi="Arial" w:cs="Arial"/>
          <w:b/>
          <w:bCs/>
          <w:sz w:val="44"/>
          <w:szCs w:val="44"/>
          <w:lang w:val="en"/>
        </w:rPr>
        <w:t xml:space="preserve"> </w:t>
      </w:r>
      <w:r w:rsidR="005A3191">
        <w:rPr>
          <w:rFonts w:ascii="Arial" w:eastAsia="Calibri" w:hAnsi="Arial" w:cs="Arial"/>
          <w:b/>
          <w:bCs/>
          <w:sz w:val="44"/>
          <w:szCs w:val="44"/>
          <w:lang w:val="en"/>
        </w:rPr>
        <w:t>LAYOUT</w:t>
      </w:r>
    </w:p>
    <w:p w14:paraId="40AEA2DE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3EC3699C" w14:textId="7FB34D14" w:rsidR="00816E98" w:rsidRDefault="00262A39" w:rsidP="00262A39">
      <w:pPr>
        <w:spacing w:before="240" w:after="60" w:line="36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262A39">
        <w:rPr>
          <w:rFonts w:ascii="Arial" w:eastAsia="Calibri" w:hAnsi="Arial" w:cs="Arial"/>
          <w:b/>
          <w:bCs/>
          <w:sz w:val="44"/>
          <w:szCs w:val="44"/>
        </w:rPr>
        <w:t>DEVELOPMENT OF THE 202</w:t>
      </w:r>
      <w:r w:rsidR="00BA13AF">
        <w:rPr>
          <w:rFonts w:ascii="Arial" w:eastAsia="Calibri" w:hAnsi="Arial" w:cs="Arial"/>
          <w:b/>
          <w:bCs/>
          <w:sz w:val="44"/>
          <w:szCs w:val="44"/>
        </w:rPr>
        <w:t>4</w:t>
      </w:r>
      <w:r w:rsidRPr="00262A39">
        <w:rPr>
          <w:rFonts w:ascii="Arial" w:eastAsia="Calibri" w:hAnsi="Arial" w:cs="Arial"/>
          <w:b/>
          <w:bCs/>
          <w:sz w:val="44"/>
          <w:szCs w:val="44"/>
        </w:rPr>
        <w:t>/2</w:t>
      </w:r>
      <w:r w:rsidR="00BA13AF">
        <w:rPr>
          <w:rFonts w:ascii="Arial" w:eastAsia="Calibri" w:hAnsi="Arial" w:cs="Arial"/>
          <w:b/>
          <w:bCs/>
          <w:sz w:val="44"/>
          <w:szCs w:val="44"/>
        </w:rPr>
        <w:t>5</w:t>
      </w:r>
      <w:r w:rsidRPr="00262A39">
        <w:rPr>
          <w:rFonts w:ascii="Arial" w:eastAsia="Calibri" w:hAnsi="Arial" w:cs="Arial"/>
          <w:b/>
          <w:bCs/>
          <w:sz w:val="44"/>
          <w:szCs w:val="44"/>
        </w:rPr>
        <w:t xml:space="preserve"> TO 202</w:t>
      </w:r>
      <w:r w:rsidR="00BA13AF">
        <w:rPr>
          <w:rFonts w:ascii="Arial" w:eastAsia="Calibri" w:hAnsi="Arial" w:cs="Arial"/>
          <w:b/>
          <w:bCs/>
          <w:sz w:val="44"/>
          <w:szCs w:val="44"/>
        </w:rPr>
        <w:t>6</w:t>
      </w:r>
      <w:r w:rsidRPr="00262A39">
        <w:rPr>
          <w:rFonts w:ascii="Arial" w:eastAsia="Calibri" w:hAnsi="Arial" w:cs="Arial"/>
          <w:b/>
          <w:bCs/>
          <w:sz w:val="44"/>
          <w:szCs w:val="44"/>
        </w:rPr>
        <w:t>/2</w:t>
      </w:r>
      <w:r w:rsidR="00BA13AF">
        <w:rPr>
          <w:rFonts w:ascii="Arial" w:eastAsia="Calibri" w:hAnsi="Arial" w:cs="Arial"/>
          <w:b/>
          <w:bCs/>
          <w:sz w:val="44"/>
          <w:szCs w:val="44"/>
        </w:rPr>
        <w:t>7</w:t>
      </w:r>
      <w:r w:rsidRPr="00262A39">
        <w:rPr>
          <w:rFonts w:ascii="Arial" w:eastAsia="Calibri" w:hAnsi="Arial" w:cs="Arial"/>
          <w:b/>
          <w:bCs/>
          <w:sz w:val="44"/>
          <w:szCs w:val="44"/>
        </w:rPr>
        <w:t xml:space="preserve"> ANNUAL STATE OF SAFETY REPORT</w:t>
      </w:r>
    </w:p>
    <w:p w14:paraId="65BB7FB9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0D443446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77CBF5FF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0587FC94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66AAC1AA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585A1C6D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178D1647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7DB344E0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476305C3" w14:textId="77777777" w:rsidR="00E0161E" w:rsidRPr="00E0161E" w:rsidRDefault="00E0161E" w:rsidP="00E0161E">
      <w:pPr>
        <w:keepNext/>
        <w:spacing w:before="240" w:after="60"/>
        <w:ind w:left="567"/>
        <w:outlineLvl w:val="0"/>
        <w:rPr>
          <w:rFonts w:ascii="Arial" w:eastAsia="Arial" w:hAnsi="Arial" w:cs="Arial"/>
          <w:b/>
          <w:bCs/>
          <w:color w:val="000000"/>
          <w:spacing w:val="-5"/>
          <w:kern w:val="32"/>
          <w:szCs w:val="28"/>
          <w:lang w:val="en-US"/>
        </w:rPr>
      </w:pPr>
      <w:bookmarkStart w:id="0" w:name="_Toc159420029"/>
      <w:r w:rsidRPr="00E0161E">
        <w:rPr>
          <w:rFonts w:ascii="Arial" w:eastAsia="Arial" w:hAnsi="Arial" w:cs="Arial"/>
          <w:b/>
          <w:bCs/>
          <w:color w:val="000000"/>
          <w:spacing w:val="-5"/>
          <w:kern w:val="32"/>
          <w:szCs w:val="28"/>
          <w:lang w:val="en-US"/>
        </w:rPr>
        <w:lastRenderedPageBreak/>
        <w:t>ANNEXURE A: REPORT LAYOUT</w:t>
      </w:r>
      <w:bookmarkEnd w:id="0"/>
    </w:p>
    <w:p w14:paraId="3CE0F43D" w14:textId="77777777" w:rsidR="00E0161E" w:rsidRPr="00E0161E" w:rsidRDefault="00E0161E" w:rsidP="00E0161E">
      <w:pPr>
        <w:ind w:left="835"/>
        <w:rPr>
          <w:rFonts w:ascii="Arial" w:eastAsia="Times New Roman" w:hAnsi="Arial"/>
          <w:spacing w:val="-5"/>
          <w:sz w:val="20"/>
          <w:lang w:val="en-US"/>
        </w:rPr>
      </w:pPr>
    </w:p>
    <w:p w14:paraId="1D069F4E" w14:textId="77777777" w:rsidR="00E0161E" w:rsidRPr="00E0161E" w:rsidRDefault="00E0161E" w:rsidP="00E0161E">
      <w:pPr>
        <w:tabs>
          <w:tab w:val="left" w:pos="520"/>
        </w:tabs>
        <w:spacing w:before="77" w:line="360" w:lineRule="auto"/>
        <w:ind w:left="567" w:right="-20"/>
        <w:jc w:val="both"/>
        <w:rPr>
          <w:rFonts w:ascii="Arial" w:eastAsia="Times New Roman" w:hAnsi="Arial" w:cs="Arial"/>
          <w:spacing w:val="-5"/>
          <w:szCs w:val="24"/>
          <w:lang w:val="en-US"/>
        </w:rPr>
      </w:pPr>
      <w:r w:rsidRPr="00E0161E">
        <w:rPr>
          <w:rFonts w:ascii="Arial" w:eastAsia="Times New Roman" w:hAnsi="Arial" w:cs="Arial"/>
          <w:spacing w:val="-5"/>
          <w:szCs w:val="24"/>
          <w:lang w:val="en-US"/>
        </w:rPr>
        <w:t xml:space="preserve">The report can be customized to follow the following headings and sub-headings with detail explained. </w:t>
      </w:r>
    </w:p>
    <w:p w14:paraId="221A3054" w14:textId="77777777" w:rsidR="00E0161E" w:rsidRPr="00E0161E" w:rsidRDefault="00E0161E" w:rsidP="00E0161E">
      <w:pPr>
        <w:tabs>
          <w:tab w:val="left" w:pos="520"/>
        </w:tabs>
        <w:spacing w:before="77" w:line="360" w:lineRule="auto"/>
        <w:ind w:left="567" w:right="-20"/>
        <w:jc w:val="both"/>
        <w:rPr>
          <w:rFonts w:ascii="Arial" w:eastAsia="Times New Roman" w:hAnsi="Arial" w:cs="Arial"/>
          <w:spacing w:val="-5"/>
          <w:szCs w:val="24"/>
          <w:lang w:val="en-US"/>
        </w:rPr>
      </w:pPr>
    </w:p>
    <w:p w14:paraId="61BCDACF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LEGEND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</w:p>
    <w:p w14:paraId="25231E4D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FOREWORD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</w:p>
    <w:p w14:paraId="4F4E476A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EXECUTIVE SUMMARY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</w:p>
    <w:p w14:paraId="09168660" w14:textId="77777777" w:rsidR="00E0161E" w:rsidRPr="00E0161E" w:rsidRDefault="00E0161E" w:rsidP="00E0161E">
      <w:pPr>
        <w:tabs>
          <w:tab w:val="left" w:pos="1134"/>
        </w:tabs>
        <w:ind w:left="993" w:hanging="567"/>
        <w:rPr>
          <w:rFonts w:ascii="Arial" w:eastAsia="Times New Roman" w:hAnsi="Arial"/>
          <w:spacing w:val="-5"/>
          <w:sz w:val="22"/>
          <w:szCs w:val="22"/>
          <w:lang w:eastAsia="en-ZA"/>
        </w:rPr>
      </w:pPr>
    </w:p>
    <w:p w14:paraId="402DD4AF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1.  INTRODUCTION</w:t>
      </w:r>
    </w:p>
    <w:p w14:paraId="3945262D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1.1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OVERVIEW OF THE RSR</w:t>
      </w:r>
    </w:p>
    <w:p w14:paraId="2CD655B4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1.1.1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. </w:t>
      </w:r>
      <w:r w:rsidRPr="00E0161E">
        <w:rPr>
          <w:rFonts w:ascii="Arial" w:eastAsia="Calibri" w:hAnsi="Arial" w:cs="Arial"/>
          <w:noProof/>
          <w:szCs w:val="24"/>
        </w:rPr>
        <w:t>RSR Mandate</w:t>
      </w:r>
    </w:p>
    <w:p w14:paraId="35A2AD90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1.2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THE RSR REGULATORY REGIME</w:t>
      </w:r>
    </w:p>
    <w:p w14:paraId="3CE9389E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Arial" w:eastAsia="Calibri" w:hAnsi="Arial" w:cs="Arial"/>
          <w:noProof/>
          <w:sz w:val="22"/>
          <w:szCs w:val="22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1.3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RSR STRATEGIC INTERVENTIONS</w:t>
      </w:r>
    </w:p>
    <w:p w14:paraId="5A2DCDEE" w14:textId="77777777" w:rsidR="00E0161E" w:rsidRPr="00E0161E" w:rsidRDefault="00E0161E" w:rsidP="00E0161E">
      <w:pPr>
        <w:tabs>
          <w:tab w:val="left" w:pos="1134"/>
        </w:tabs>
        <w:ind w:left="993"/>
        <w:rPr>
          <w:rFonts w:ascii="Arial" w:eastAsia="Times New Roman" w:hAnsi="Arial"/>
          <w:spacing w:val="-5"/>
          <w:sz w:val="22"/>
          <w:szCs w:val="22"/>
        </w:rPr>
      </w:pPr>
    </w:p>
    <w:p w14:paraId="2A41F6B5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2.  OVERVIEW OF OCCURRENCES</w:t>
      </w:r>
    </w:p>
    <w:p w14:paraId="3FA25007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2.1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INTRODUCTION</w:t>
      </w:r>
    </w:p>
    <w:p w14:paraId="50E4E0F4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2.2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OVERVIEW OF THE RAILWAY INDUSTRY</w:t>
      </w:r>
    </w:p>
    <w:p w14:paraId="7796C442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2.3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TFR, PRASA AND GAUTRAIN TRAFFIC VOLUMES ANALYSIS</w:t>
      </w:r>
    </w:p>
    <w:p w14:paraId="6DF40D16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2.4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OCCURENCE REPORTING REQUIREMENTS</w:t>
      </w:r>
    </w:p>
    <w:p w14:paraId="46A70199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Arial" w:eastAsia="Calibri" w:hAnsi="Arial" w:cs="Arial"/>
          <w:noProof/>
          <w:sz w:val="22"/>
          <w:szCs w:val="22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2.5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INJURIES AND FATALITIES FROM OPERATIONAL OCCURRENCES</w:t>
      </w:r>
    </w:p>
    <w:p w14:paraId="0FF5271F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Arial" w:eastAsia="Calibri" w:hAnsi="Arial" w:cs="Arial"/>
          <w:noProof/>
          <w:sz w:val="22"/>
          <w:szCs w:val="22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2.6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 xml:space="preserve">INJURIES AND FATALITIES FROM SECURITY-RELATED INCIDENTS </w:t>
      </w:r>
    </w:p>
    <w:p w14:paraId="4AEA9040" w14:textId="77777777" w:rsidR="00E0161E" w:rsidRPr="00E0161E" w:rsidRDefault="00E0161E" w:rsidP="00E0161E">
      <w:pPr>
        <w:tabs>
          <w:tab w:val="left" w:pos="851"/>
          <w:tab w:val="left" w:pos="1134"/>
        </w:tabs>
        <w:spacing w:line="360" w:lineRule="auto"/>
        <w:ind w:left="993" w:hanging="567"/>
        <w:rPr>
          <w:rFonts w:ascii="Arial" w:eastAsia="Calibri" w:hAnsi="Arial" w:cs="Arial"/>
          <w:noProof/>
          <w:spacing w:val="-5"/>
          <w:sz w:val="22"/>
          <w:szCs w:val="22"/>
        </w:rPr>
      </w:pPr>
      <w:r w:rsidRPr="00E0161E">
        <w:rPr>
          <w:rFonts w:ascii="Arial" w:eastAsia="Calibri" w:hAnsi="Arial" w:cs="Arial"/>
          <w:noProof/>
          <w:spacing w:val="-5"/>
          <w:sz w:val="22"/>
          <w:szCs w:val="22"/>
        </w:rPr>
        <w:t>2.7</w:t>
      </w:r>
      <w:r w:rsidRPr="00E0161E">
        <w:rPr>
          <w:rFonts w:ascii="Arial" w:eastAsia="Calibri" w:hAnsi="Arial" w:cs="Arial"/>
          <w:noProof/>
          <w:spacing w:val="-5"/>
          <w:sz w:val="22"/>
          <w:szCs w:val="22"/>
        </w:rPr>
        <w:tab/>
        <w:t>DEFINING THE FATALITY WEIGHTED INJURIES (FWI)</w:t>
      </w:r>
    </w:p>
    <w:p w14:paraId="23ACC5BD" w14:textId="77777777" w:rsidR="00E0161E" w:rsidRPr="00E0161E" w:rsidRDefault="00E0161E" w:rsidP="00E0161E">
      <w:pPr>
        <w:tabs>
          <w:tab w:val="left" w:pos="851"/>
          <w:tab w:val="left" w:pos="1134"/>
        </w:tabs>
        <w:spacing w:line="360" w:lineRule="auto"/>
        <w:ind w:left="993" w:hanging="567"/>
        <w:rPr>
          <w:rFonts w:ascii="Arial" w:eastAsia="Calibri" w:hAnsi="Arial" w:cs="Arial"/>
          <w:noProof/>
          <w:spacing w:val="-5"/>
          <w:sz w:val="22"/>
          <w:szCs w:val="22"/>
        </w:rPr>
      </w:pPr>
      <w:r w:rsidRPr="00E0161E">
        <w:rPr>
          <w:rFonts w:ascii="Arial" w:eastAsia="Calibri" w:hAnsi="Arial" w:cs="Arial"/>
          <w:noProof/>
          <w:spacing w:val="-5"/>
          <w:sz w:val="22"/>
          <w:szCs w:val="22"/>
        </w:rPr>
        <w:t xml:space="preserve">2.8 </w:t>
      </w:r>
      <w:r w:rsidRPr="00E0161E">
        <w:rPr>
          <w:rFonts w:ascii="Arial" w:eastAsia="Calibri" w:hAnsi="Arial" w:cs="Arial"/>
          <w:noProof/>
          <w:spacing w:val="-5"/>
          <w:sz w:val="22"/>
          <w:szCs w:val="22"/>
        </w:rPr>
        <w:tab/>
        <w:t>FATALITY WEIGHTED INJURIES – OPERATIONAL OCCURRENCES</w:t>
      </w:r>
    </w:p>
    <w:p w14:paraId="362A9903" w14:textId="77777777" w:rsidR="00E0161E" w:rsidRPr="00E0161E" w:rsidRDefault="00E0161E" w:rsidP="00E0161E">
      <w:pPr>
        <w:tabs>
          <w:tab w:val="left" w:pos="851"/>
          <w:tab w:val="left" w:pos="1134"/>
        </w:tabs>
        <w:spacing w:line="360" w:lineRule="auto"/>
        <w:ind w:left="993" w:hanging="567"/>
        <w:rPr>
          <w:rFonts w:ascii="Arial" w:eastAsia="Calibri" w:hAnsi="Arial" w:cs="Arial"/>
          <w:noProof/>
          <w:spacing w:val="-5"/>
          <w:sz w:val="22"/>
          <w:szCs w:val="22"/>
        </w:rPr>
      </w:pPr>
      <w:r w:rsidRPr="00E0161E">
        <w:rPr>
          <w:rFonts w:ascii="Arial" w:eastAsia="Calibri" w:hAnsi="Arial" w:cs="Arial"/>
          <w:noProof/>
          <w:spacing w:val="-5"/>
          <w:sz w:val="22"/>
          <w:szCs w:val="22"/>
        </w:rPr>
        <w:t>2.9</w:t>
      </w:r>
      <w:r w:rsidRPr="00E0161E">
        <w:rPr>
          <w:rFonts w:ascii="Arial" w:eastAsia="Calibri" w:hAnsi="Arial" w:cs="Arial"/>
          <w:noProof/>
          <w:spacing w:val="-5"/>
          <w:sz w:val="22"/>
          <w:szCs w:val="22"/>
        </w:rPr>
        <w:tab/>
        <w:t xml:space="preserve">FATALITY WEIGHTED INJURIES – SECURITY-RELATED INCIDENTS </w:t>
      </w:r>
    </w:p>
    <w:p w14:paraId="1B3CC828" w14:textId="77777777" w:rsidR="00E0161E" w:rsidRPr="00E0161E" w:rsidRDefault="00E0161E" w:rsidP="00E0161E">
      <w:pPr>
        <w:tabs>
          <w:tab w:val="left" w:pos="851"/>
          <w:tab w:val="left" w:pos="1134"/>
        </w:tabs>
        <w:spacing w:line="360" w:lineRule="auto"/>
        <w:ind w:left="993" w:hanging="567"/>
        <w:rPr>
          <w:rFonts w:ascii="Arial" w:eastAsia="Calibri" w:hAnsi="Arial" w:cs="Arial"/>
          <w:noProof/>
          <w:spacing w:val="-5"/>
          <w:sz w:val="22"/>
          <w:szCs w:val="22"/>
        </w:rPr>
      </w:pPr>
    </w:p>
    <w:p w14:paraId="05D765A0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3.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ANALYSIS OF OPERATIONAL OCCURRENCES AND SECURITY- RELATED INCIDENTS</w:t>
      </w:r>
    </w:p>
    <w:p w14:paraId="33625C5B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3.1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INTRODUCTION</w:t>
      </w:r>
    </w:p>
    <w:p w14:paraId="5F7DCF7F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Calibri" w:eastAsia="Times New Roman" w:hAnsi="Calibri"/>
          <w:noProof/>
          <w:sz w:val="22"/>
          <w:szCs w:val="22"/>
          <w:lang w:eastAsia="en-ZA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3.2</w:t>
      </w:r>
      <w:r w:rsidRPr="00E0161E">
        <w:rPr>
          <w:rFonts w:ascii="Calibri" w:eastAsia="Times New Roman" w:hAnsi="Calibri"/>
          <w:noProof/>
          <w:sz w:val="22"/>
          <w:szCs w:val="22"/>
          <w:lang w:eastAsia="en-ZA"/>
        </w:rPr>
        <w:tab/>
      </w:r>
      <w:r w:rsidRPr="00E0161E">
        <w:rPr>
          <w:rFonts w:ascii="Arial" w:eastAsia="Calibri" w:hAnsi="Arial" w:cs="Arial"/>
          <w:noProof/>
          <w:sz w:val="22"/>
          <w:szCs w:val="22"/>
        </w:rPr>
        <w:t>OPERATIONAL OCCURRENCES</w:t>
      </w:r>
    </w:p>
    <w:p w14:paraId="788E1D11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3.2.1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  <w:r w:rsidRPr="00E0161E">
        <w:rPr>
          <w:rFonts w:ascii="Arial" w:eastAsia="Calibri" w:hAnsi="Arial" w:cs="Arial"/>
          <w:noProof/>
          <w:szCs w:val="24"/>
        </w:rPr>
        <w:t>Derailments during movement of rolling stock</w:t>
      </w:r>
    </w:p>
    <w:p w14:paraId="7EFDFE85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3.2.2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  <w:r w:rsidRPr="00E0161E">
        <w:rPr>
          <w:rFonts w:ascii="Arial" w:eastAsia="Calibri" w:hAnsi="Arial" w:cs="Arial"/>
          <w:noProof/>
          <w:szCs w:val="24"/>
        </w:rPr>
        <w:t>Collisions during movement of rolling stock</w:t>
      </w:r>
    </w:p>
    <w:p w14:paraId="711A4380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3.2.3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  <w:r w:rsidRPr="00E0161E">
        <w:rPr>
          <w:rFonts w:ascii="Arial" w:eastAsia="Calibri" w:hAnsi="Arial" w:cs="Arial"/>
          <w:noProof/>
          <w:szCs w:val="24"/>
        </w:rPr>
        <w:t>Occurrences at the platform-train Interchange</w:t>
      </w:r>
    </w:p>
    <w:p w14:paraId="179C8A33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3.2.4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  <w:r w:rsidRPr="00E0161E">
        <w:rPr>
          <w:rFonts w:ascii="Arial" w:eastAsia="Calibri" w:hAnsi="Arial" w:cs="Arial"/>
          <w:noProof/>
          <w:szCs w:val="24"/>
        </w:rPr>
        <w:t>Occurrences of people being struck by trains in section</w:t>
      </w:r>
    </w:p>
    <w:p w14:paraId="6B6E9460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Calibri" w:eastAsia="Times New Roman" w:hAnsi="Calibri"/>
          <w:noProof/>
          <w:szCs w:val="24"/>
          <w:lang w:eastAsia="en-ZA"/>
        </w:rPr>
      </w:pPr>
      <w:r w:rsidRPr="00E0161E">
        <w:rPr>
          <w:rFonts w:ascii="Arial" w:eastAsia="Calibri" w:hAnsi="Arial" w:cs="Arial"/>
          <w:noProof/>
          <w:szCs w:val="24"/>
        </w:rPr>
        <w:t>3.2.5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  <w:r w:rsidRPr="00E0161E">
        <w:rPr>
          <w:rFonts w:ascii="Arial" w:eastAsia="Calibri" w:hAnsi="Arial" w:cs="Arial"/>
          <w:noProof/>
          <w:szCs w:val="24"/>
        </w:rPr>
        <w:t>Spillage, leakage or release of dangerous goods occurrences</w:t>
      </w:r>
      <w:r w:rsidRPr="00E0161E">
        <w:rPr>
          <w:rFonts w:ascii="Arial" w:eastAsia="Calibri" w:hAnsi="Arial" w:cs="Arial"/>
          <w:noProof/>
          <w:color w:val="FF0000"/>
          <w:szCs w:val="24"/>
        </w:rPr>
        <w:t>*</w:t>
      </w:r>
    </w:p>
    <w:p w14:paraId="0C3F1C84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lastRenderedPageBreak/>
        <w:t>3.2.6</w:t>
      </w:r>
      <w:r w:rsidRPr="00E0161E">
        <w:rPr>
          <w:rFonts w:ascii="Calibri" w:eastAsia="Times New Roman" w:hAnsi="Calibri"/>
          <w:noProof/>
          <w:szCs w:val="24"/>
          <w:lang w:eastAsia="en-ZA"/>
        </w:rPr>
        <w:t xml:space="preserve"> </w:t>
      </w:r>
      <w:r w:rsidRPr="00E0161E">
        <w:rPr>
          <w:rFonts w:ascii="Arial" w:eastAsia="Calibri" w:hAnsi="Arial" w:cs="Arial"/>
          <w:noProof/>
          <w:szCs w:val="24"/>
        </w:rPr>
        <w:t>Level crossings</w:t>
      </w:r>
    </w:p>
    <w:p w14:paraId="6C35AE52" w14:textId="77777777" w:rsidR="00E0161E" w:rsidRPr="00E0161E" w:rsidRDefault="00E0161E" w:rsidP="00E0161E">
      <w:pPr>
        <w:tabs>
          <w:tab w:val="left" w:pos="1134"/>
        </w:tabs>
        <w:ind w:left="993" w:hanging="142"/>
        <w:jc w:val="both"/>
        <w:rPr>
          <w:rFonts w:ascii="Arial" w:eastAsia="Times New Roman" w:hAnsi="Arial"/>
          <w:spacing w:val="-5"/>
          <w:sz w:val="20"/>
        </w:rPr>
      </w:pPr>
      <w:r w:rsidRPr="00E0161E">
        <w:rPr>
          <w:rFonts w:ascii="Arial" w:eastAsia="Times New Roman" w:hAnsi="Arial"/>
          <w:color w:val="FF0000"/>
          <w:spacing w:val="-5"/>
          <w:sz w:val="20"/>
        </w:rPr>
        <w:t>*</w:t>
      </w:r>
      <w:r w:rsidRPr="00E0161E">
        <w:rPr>
          <w:rFonts w:ascii="Arial" w:eastAsia="Times New Roman" w:hAnsi="Arial"/>
          <w:spacing w:val="-5"/>
          <w:sz w:val="20"/>
        </w:rPr>
        <w:t xml:space="preserve"> This can be substituted by any occurrence category in which a significant trend was noticed during the year under review.</w:t>
      </w:r>
    </w:p>
    <w:p w14:paraId="626D6CBC" w14:textId="77777777" w:rsidR="00E0161E" w:rsidRPr="00E0161E" w:rsidRDefault="00E0161E" w:rsidP="00E0161E">
      <w:pPr>
        <w:tabs>
          <w:tab w:val="left" w:pos="1134"/>
        </w:tabs>
        <w:ind w:left="993"/>
        <w:rPr>
          <w:rFonts w:ascii="Arial" w:eastAsia="Times New Roman" w:hAnsi="Arial"/>
          <w:spacing w:val="-5"/>
          <w:sz w:val="20"/>
        </w:rPr>
      </w:pPr>
    </w:p>
    <w:p w14:paraId="1AF14656" w14:textId="77777777" w:rsidR="00E0161E" w:rsidRPr="00E0161E" w:rsidRDefault="00E0161E" w:rsidP="00E0161E">
      <w:pPr>
        <w:tabs>
          <w:tab w:val="left" w:pos="880"/>
          <w:tab w:val="left" w:pos="1134"/>
          <w:tab w:val="right" w:leader="dot" w:pos="9350"/>
        </w:tabs>
        <w:spacing w:line="276" w:lineRule="auto"/>
        <w:ind w:left="993" w:hanging="567"/>
        <w:jc w:val="both"/>
        <w:rPr>
          <w:rFonts w:ascii="Arial" w:eastAsia="Calibri" w:hAnsi="Arial" w:cs="Arial"/>
          <w:noProof/>
          <w:sz w:val="22"/>
          <w:szCs w:val="22"/>
        </w:rPr>
      </w:pPr>
      <w:r w:rsidRPr="00E0161E">
        <w:rPr>
          <w:rFonts w:ascii="Arial" w:eastAsia="Calibri" w:hAnsi="Arial" w:cs="Arial"/>
          <w:noProof/>
          <w:sz w:val="22"/>
          <w:szCs w:val="22"/>
        </w:rPr>
        <w:t>3.3</w:t>
      </w:r>
      <w:r w:rsidRPr="00E0161E">
        <w:rPr>
          <w:rFonts w:ascii="Arial" w:eastAsia="Calibri" w:hAnsi="Arial" w:cs="Arial"/>
          <w:noProof/>
          <w:sz w:val="22"/>
          <w:szCs w:val="22"/>
        </w:rPr>
        <w:tab/>
        <w:t xml:space="preserve"> SECURITY-RELATED INCIDENTS</w:t>
      </w:r>
    </w:p>
    <w:p w14:paraId="35240325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3.3.1 Theft of assets</w:t>
      </w:r>
    </w:p>
    <w:p w14:paraId="41997B3B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3.3.2 Malicious damage (vandalism) to property</w:t>
      </w:r>
    </w:p>
    <w:p w14:paraId="381969A4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3.3.3 Personal Safety on trains</w:t>
      </w:r>
    </w:p>
    <w:p w14:paraId="41F67EF0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3.3.4 Personal Safety on stations</w:t>
      </w:r>
    </w:p>
    <w:p w14:paraId="2870862B" w14:textId="77777777" w:rsidR="00E0161E" w:rsidRPr="00E0161E" w:rsidRDefault="00E0161E" w:rsidP="00E0161E">
      <w:pPr>
        <w:tabs>
          <w:tab w:val="right" w:leader="dot" w:pos="9346"/>
        </w:tabs>
        <w:spacing w:after="100" w:line="276" w:lineRule="auto"/>
        <w:ind w:left="440"/>
        <w:jc w:val="both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3.3.5 Personal Safety in yards and depots</w:t>
      </w:r>
    </w:p>
    <w:p w14:paraId="7FD7F64F" w14:textId="77777777" w:rsidR="00E0161E" w:rsidRPr="00E0161E" w:rsidRDefault="00E0161E" w:rsidP="00E0161E">
      <w:pPr>
        <w:tabs>
          <w:tab w:val="left" w:pos="1134"/>
        </w:tabs>
        <w:ind w:left="993" w:hanging="567"/>
        <w:rPr>
          <w:rFonts w:ascii="Arial" w:eastAsia="Calibri" w:hAnsi="Arial" w:cs="Arial"/>
          <w:noProof/>
          <w:sz w:val="22"/>
          <w:szCs w:val="22"/>
        </w:rPr>
      </w:pPr>
    </w:p>
    <w:p w14:paraId="1B113AF9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4.  RSR SAFETY INTERVENTIONS</w:t>
      </w:r>
    </w:p>
    <w:p w14:paraId="7F10291C" w14:textId="77777777" w:rsidR="00E0161E" w:rsidRPr="00E0161E" w:rsidRDefault="00E0161E" w:rsidP="00E0161E">
      <w:pPr>
        <w:tabs>
          <w:tab w:val="left" w:pos="284"/>
          <w:tab w:val="left" w:pos="851"/>
          <w:tab w:val="left" w:pos="1134"/>
        </w:tabs>
        <w:ind w:left="993" w:hanging="567"/>
        <w:jc w:val="both"/>
        <w:rPr>
          <w:rFonts w:ascii="Arial" w:eastAsia="Calibri" w:hAnsi="Arial" w:cs="Arial"/>
          <w:noProof/>
          <w:sz w:val="22"/>
          <w:szCs w:val="22"/>
        </w:rPr>
      </w:pPr>
    </w:p>
    <w:p w14:paraId="2A062264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5.  CONCLUSIONS</w:t>
      </w:r>
    </w:p>
    <w:p w14:paraId="48621CB0" w14:textId="77777777" w:rsidR="00E0161E" w:rsidRPr="00E0161E" w:rsidRDefault="00E0161E" w:rsidP="00E0161E">
      <w:pPr>
        <w:tabs>
          <w:tab w:val="left" w:pos="1134"/>
        </w:tabs>
        <w:ind w:left="993" w:hanging="567"/>
        <w:rPr>
          <w:rFonts w:ascii="Arial" w:eastAsia="Calibri" w:hAnsi="Arial" w:cs="Arial"/>
          <w:noProof/>
          <w:sz w:val="22"/>
          <w:szCs w:val="22"/>
        </w:rPr>
      </w:pPr>
    </w:p>
    <w:p w14:paraId="76F354EA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APPENDIX A: DETAILED DESCRIPTION OF OCCURRENCE CATEGORIES</w:t>
      </w:r>
    </w:p>
    <w:p w14:paraId="700D920F" w14:textId="77777777" w:rsidR="00E0161E" w:rsidRPr="00E0161E" w:rsidRDefault="00E0161E" w:rsidP="00E0161E">
      <w:pPr>
        <w:tabs>
          <w:tab w:val="left" w:pos="440"/>
          <w:tab w:val="right" w:leader="dot" w:pos="9346"/>
        </w:tabs>
        <w:spacing w:after="100" w:line="360" w:lineRule="auto"/>
        <w:ind w:left="426"/>
        <w:rPr>
          <w:rFonts w:ascii="Arial" w:eastAsia="Calibri" w:hAnsi="Arial" w:cs="Arial"/>
          <w:noProof/>
          <w:szCs w:val="24"/>
        </w:rPr>
      </w:pPr>
      <w:r w:rsidRPr="00E0161E">
        <w:rPr>
          <w:rFonts w:ascii="Arial" w:eastAsia="Calibri" w:hAnsi="Arial" w:cs="Arial"/>
          <w:noProof/>
          <w:szCs w:val="24"/>
        </w:rPr>
        <w:t>APPENDIX B: OCCURRENCES PER SUB-CATEGORY AND PROVINCE</w:t>
      </w:r>
    </w:p>
    <w:p w14:paraId="61935AB7" w14:textId="44DF58EB" w:rsidR="000214D9" w:rsidRPr="00E0161E" w:rsidRDefault="000214D9" w:rsidP="00E0161E">
      <w:pPr>
        <w:spacing w:before="240" w:after="60" w:line="360" w:lineRule="auto"/>
        <w:jc w:val="both"/>
        <w:rPr>
          <w:rFonts w:ascii="Arial" w:eastAsia="MS Mincho" w:hAnsi="Arial" w:cs="Arial"/>
          <w:szCs w:val="24"/>
        </w:rPr>
      </w:pPr>
    </w:p>
    <w:sectPr w:rsidR="000214D9" w:rsidRPr="00E0161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91952" w14:textId="77777777" w:rsidR="00BC2D15" w:rsidRDefault="00BC2D15" w:rsidP="005E734D">
      <w:r>
        <w:separator/>
      </w:r>
    </w:p>
  </w:endnote>
  <w:endnote w:type="continuationSeparator" w:id="0">
    <w:p w14:paraId="5C525490" w14:textId="77777777" w:rsidR="00BC2D15" w:rsidRDefault="00BC2D15" w:rsidP="005E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49886" w14:textId="77777777" w:rsidR="00BC2D15" w:rsidRDefault="00BC2D15" w:rsidP="005E734D">
      <w:r>
        <w:separator/>
      </w:r>
    </w:p>
  </w:footnote>
  <w:footnote w:type="continuationSeparator" w:id="0">
    <w:p w14:paraId="4B7B689A" w14:textId="77777777" w:rsidR="00BC2D15" w:rsidRDefault="00BC2D15" w:rsidP="005E7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6EE4" w14:textId="77777777" w:rsidR="005E734D" w:rsidRDefault="005E734D" w:rsidP="005E734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F8F51C" wp14:editId="37D4271D">
          <wp:simplePos x="0" y="0"/>
          <wp:positionH relativeFrom="column">
            <wp:posOffset>3473040</wp:posOffset>
          </wp:positionH>
          <wp:positionV relativeFrom="paragraph">
            <wp:posOffset>-53340</wp:posOffset>
          </wp:positionV>
          <wp:extent cx="3061335" cy="1077595"/>
          <wp:effectExtent l="0" t="0" r="0" b="0"/>
          <wp:wrapNone/>
          <wp:docPr id="88" name="Picture 88" descr="Icon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Icon&#10;&#10;Description automatically generated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21"/>
                  <a:stretch>
                    <a:fillRect/>
                  </a:stretch>
                </pic:blipFill>
                <pic:spPr bwMode="auto">
                  <a:xfrm>
                    <a:off x="0" y="0"/>
                    <a:ext cx="3061335" cy="1077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</w:rPr>
      <mc:AlternateContent>
        <mc:Choice Requires="wpg">
          <w:drawing>
            <wp:anchor distT="0" distB="0" distL="114300" distR="114300" simplePos="0" relativeHeight="251660288" behindDoc="1" locked="1" layoutInCell="1" allowOverlap="1" wp14:anchorId="35214323" wp14:editId="581970D4">
              <wp:simplePos x="0" y="0"/>
              <wp:positionH relativeFrom="character">
                <wp:posOffset>-4754245</wp:posOffset>
              </wp:positionH>
              <wp:positionV relativeFrom="line">
                <wp:posOffset>-543560</wp:posOffset>
              </wp:positionV>
              <wp:extent cx="11221085" cy="34480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1221085" cy="344805"/>
                        <a:chOff x="0" y="0"/>
                        <a:chExt cx="11187" cy="344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187" cy="344"/>
                        </a:xfrm>
                        <a:custGeom>
                          <a:avLst/>
                          <a:gdLst>
                            <a:gd name="T0" fmla="*/ 11186 w 11187"/>
                            <a:gd name="T1" fmla="*/ 0 h 344"/>
                            <a:gd name="T2" fmla="*/ 0 w 11187"/>
                            <a:gd name="T3" fmla="*/ 0 h 344"/>
                            <a:gd name="T4" fmla="*/ 0 w 11187"/>
                            <a:gd name="T5" fmla="*/ 344 h 344"/>
                            <a:gd name="T6" fmla="*/ 10789 w 11187"/>
                            <a:gd name="T7" fmla="*/ 344 h 344"/>
                            <a:gd name="T8" fmla="*/ 10861 w 11187"/>
                            <a:gd name="T9" fmla="*/ 337 h 344"/>
                            <a:gd name="T10" fmla="*/ 10929 w 11187"/>
                            <a:gd name="T11" fmla="*/ 319 h 344"/>
                            <a:gd name="T12" fmla="*/ 10992 w 11187"/>
                            <a:gd name="T13" fmla="*/ 289 h 344"/>
                            <a:gd name="T14" fmla="*/ 11048 w 11187"/>
                            <a:gd name="T15" fmla="*/ 249 h 344"/>
                            <a:gd name="T16" fmla="*/ 11097 w 11187"/>
                            <a:gd name="T17" fmla="*/ 201 h 344"/>
                            <a:gd name="T18" fmla="*/ 11136 w 11187"/>
                            <a:gd name="T19" fmla="*/ 144 h 344"/>
                            <a:gd name="T20" fmla="*/ 11166 w 11187"/>
                            <a:gd name="T21" fmla="*/ 82 h 344"/>
                            <a:gd name="T22" fmla="*/ 11185 w 11187"/>
                            <a:gd name="T23" fmla="*/ 14 h 344"/>
                            <a:gd name="T24" fmla="*/ 11186 w 11187"/>
                            <a:gd name="T25" fmla="*/ 0 h 3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187" h="344">
                              <a:moveTo>
                                <a:pt x="11186" y="0"/>
                              </a:moveTo>
                              <a:lnTo>
                                <a:pt x="0" y="0"/>
                              </a:lnTo>
                              <a:lnTo>
                                <a:pt x="0" y="344"/>
                              </a:lnTo>
                              <a:lnTo>
                                <a:pt x="10789" y="344"/>
                              </a:lnTo>
                              <a:lnTo>
                                <a:pt x="10861" y="337"/>
                              </a:lnTo>
                              <a:lnTo>
                                <a:pt x="10929" y="319"/>
                              </a:lnTo>
                              <a:lnTo>
                                <a:pt x="10992" y="289"/>
                              </a:lnTo>
                              <a:lnTo>
                                <a:pt x="11048" y="249"/>
                              </a:lnTo>
                              <a:lnTo>
                                <a:pt x="11097" y="201"/>
                              </a:lnTo>
                              <a:lnTo>
                                <a:pt x="11136" y="144"/>
                              </a:lnTo>
                              <a:lnTo>
                                <a:pt x="11166" y="82"/>
                              </a:lnTo>
                              <a:lnTo>
                                <a:pt x="11185" y="14"/>
                              </a:lnTo>
                              <a:lnTo>
                                <a:pt x="111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C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BB5CA0" id="Group 1" o:spid="_x0000_s1026" style="position:absolute;margin-left:-374.35pt;margin-top:-42.8pt;width:883.55pt;height:27.15pt;z-index:-251656192;mso-position-horizontal-relative:char;mso-position-vertical-relative:line" coordsize="11187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UmWOQQAAOMNAAAOAAAAZHJzL2Uyb0RvYy54bWykV9tu4zYQfV+g/0DoscBGonyTjDiLItsE&#10;C2zbBTb9AFqiLqgkqqRsOfv1HQ4lhfKGsZG+WJR5dDgzZzgc3n461RU5cqlK0ew8ehN4hDeJSMsm&#10;33l/Pz18jDyiOtakrBIN33nPXHmf7n75cNu3Wx6KQlQplwRIGrXt251XdF279X2VFLxm6ka0vIHJ&#10;TMiadfAqcz+VrAf2uvLDIFj7vZBpK0XClYJ/P5tJ7w75s4wn3V9ZpnhHqp0HtnX4K/F3r3/9u1u2&#10;zSVrizIZzGDvsKJmZQOLTlSfWcfIQZY/UdVlIoUSWXeTiNoXWVYmHH0Ab2hw5s2jFIcWfcm3fd5O&#10;YYLQnsXp3bTJn8dH2X5vv0ljPQy/iuQfBXHx+zbf2vP6PTdgsu//ECnoyQ6dQMdPmaw1BbhEThjf&#10;5ym+/NSRBP6kNAxpEK08ksDkYrmMgpVRIClApp++S4rfpy9ptJk+09/4bGuWRDMHs7TskEfqJVTq&#10;/4Xqe8FajgooHYpvkpQpWO6RhtXg/YPkXOcmCbVJem0AjcFUdiStGQ1TEPD3xtAZCbZNDqp75AKF&#10;YMevqjPpncII5U0Hu59gK2R1BZn+q08opdGa9PjcDBtiAlILGJCCgGjnkHAGcfBAyKYFHTzLGcTB&#10;A7kz8YAtr1u0tkA02ESxyztIqctsUMEmEGTvmrrYYgu4WGxet43OQh/EodM4asd+QWMHnx1+GsRx&#10;6DKP2hqEEJRX1aS2DJQGy8jJZ2sRLl18MzHAwI2Tz1YDqqHDvpkclC7cqWvrQV25Es70oHTt5Att&#10;PaLwdfPCmRyws1Yud0NbDurI5HCuxhsbNbTVsHYY1Ml83P+sGEtCcmqGmgAjwvRhHWAZb4XSZVgX&#10;CCjRT3QotYDSBcQBBp81eHEVGDzSYCz8YNzbzJA8Goxl6SIYMkOD46vM0PtQo2GXmdPkbUPo4CNs&#10;oqvgg5f0Ojfp4Ce9zlE6eEqvc1WnuHYVEvga23UKI/w6V3WKInzmqhFryDEJbdh5AyY9Ag3YXlvE&#10;ti3rdGqOQ9LrXgHPuQL7BEzNWhz5k0BMp3MUzy1cG9s4WPEFUTU20vg/osa58dkim8EMxxtwjbPj&#10;06DwNME1LyPhpDDIxajqyDU+R044BAxyEnREjM8JGRtxoHwPWo6I8TkgdeFGTijMl5AxFF5QEEru&#10;BSQUW0RCMb2EXBtkhI2RO5y6QA6Ulxgjw3iuYlIJxU1a6yzCxnBKJ52FVkukRFWmD2VV6SRSMt/f&#10;V5IcGVwNHujqHvLe8MxgFRa+RujPzLT+B5pO08SZrm8v0mdo6KQw9wu4D8GgEPKHR3q4W+w89e+B&#10;Se6R6ksDHWkMAYR86/BludroDSrtmb09w5oEqHZe50Gh1sP7zlxgDq0s8wJWorg/GvEbNONZqZs+&#10;tM9YNbxAU4wjvEnAaHZVsd8R9XI3u/sPAAD//wMAUEsDBBQABgAIAAAAIQBM5nD14wAAAA0BAAAP&#10;AAAAZHJzL2Rvd25yZXYueG1sTI/LasMwEEX3hf6DmEB3iaw6D+NYDiG0XYVCk0LpTrEmtoklGUux&#10;nb/vZNXs5nG4cybbjKZhPXa+dlaCmEXA0BZO17aU8H18nybAfFBWq8ZZlHBDD5v8+SlTqXaD/cL+&#10;EEpGIdanSkIVQpty7osKjfIz16Kl3dl1RgVqu5LrTg0Ubhr+GkVLblRt6UKlWtxVWFwOVyPhY1DD&#10;NhZv/f5y3t1+j4vPn71AKV8m43YNLOAY/mG465M65OR0clerPWskTFfzZEUsVcliCeyORCKZAzvR&#10;KBYx8Dzjj1/kfwAAAP//AwBQSwECLQAUAAYACAAAACEAtoM4kv4AAADhAQAAEwAAAAAAAAAAAAAA&#10;AAAAAAAAW0NvbnRlbnRfVHlwZXNdLnhtbFBLAQItABQABgAIAAAAIQA4/SH/1gAAAJQBAAALAAAA&#10;AAAAAAAAAAAAAC8BAABfcmVscy8ucmVsc1BLAQItABQABgAIAAAAIQDJfUmWOQQAAOMNAAAOAAAA&#10;AAAAAAAAAAAAAC4CAABkcnMvZTJvRG9jLnhtbFBLAQItABQABgAIAAAAIQBM5nD14wAAAA0BAAAP&#10;AAAAAAAAAAAAAAAAAJMGAABkcnMvZG93bnJldi54bWxQSwUGAAAAAAQABADzAAAAowcAAAAA&#10;">
              <v:shape id="Freeform 2" o:spid="_x0000_s1027" style="position:absolute;width:11187;height:344;visibility:visible;mso-wrap-style:square;v-text-anchor:top" coordsize="11187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x0PwQAAANoAAAAPAAAAZHJzL2Rvd25yZXYueG1sRI9BawIx&#10;FITvBf9DeIK3mnWlVVajSIsgvVUFr4/Nc7O4eVmS7Lr665tCocdhZr5h1tvBNqInH2rHCmbTDARx&#10;6XTNlYLzaf+6BBEissbGMSl4UIDtZvSyxkK7O39Tf4yVSBAOBSowMbaFlKE0ZDFMXUucvKvzFmOS&#10;vpLa4z3BbSPzLHuXFmtOCwZb+jBU3o6dVZA/3z67DvsvfXmYsymtn/t8odRkPOxWICIN8T/81z5o&#10;BXP4vZJugNz8AAAA//8DAFBLAQItABQABgAIAAAAIQDb4fbL7gAAAIUBAAATAAAAAAAAAAAAAAAA&#10;AAAAAABbQ29udGVudF9UeXBlc10ueG1sUEsBAi0AFAAGAAgAAAAhAFr0LFu/AAAAFQEAAAsAAAAA&#10;AAAAAAAAAAAAHwEAAF9yZWxzLy5yZWxzUEsBAi0AFAAGAAgAAAAhAPxDHQ/BAAAA2gAAAA8AAAAA&#10;AAAAAAAAAAAABwIAAGRycy9kb3ducmV2LnhtbFBLBQYAAAAAAwADALcAAAD1AgAAAAA=&#10;" path="m11186,l,,,344r10789,l10861,337r68,-18l10992,289r56,-40l11097,201r39,-57l11166,82r19,-68l11186,xe" fillcolor="#f15c22" stroked="f">
                <v:path arrowok="t" o:connecttype="custom" o:connectlocs="11186,0;0,0;0,344;10789,344;10861,337;10929,319;10992,289;11048,249;11097,201;11136,144;11166,82;11185,14;11186,0" o:connectangles="0,0,0,0,0,0,0,0,0,0,0,0,0"/>
              </v:shape>
              <w10:wrap anchory="line"/>
              <w10:anchorlock/>
            </v:group>
          </w:pict>
        </mc:Fallback>
      </mc:AlternateContent>
    </w:r>
  </w:p>
  <w:p w14:paraId="68D1FBB7" w14:textId="77777777" w:rsidR="005E734D" w:rsidRDefault="005E734D" w:rsidP="005E734D"/>
  <w:p w14:paraId="5AB281FB" w14:textId="77777777" w:rsidR="005E734D" w:rsidRDefault="005E734D" w:rsidP="005E734D"/>
  <w:p w14:paraId="0D31669C" w14:textId="77777777" w:rsidR="005E734D" w:rsidRPr="00101B7D" w:rsidRDefault="005E734D" w:rsidP="005E734D">
    <w:pPr>
      <w:pStyle w:val="Header"/>
    </w:pPr>
  </w:p>
  <w:p w14:paraId="3B3A1BC8" w14:textId="77777777" w:rsidR="005E734D" w:rsidRDefault="005E734D" w:rsidP="005E734D">
    <w:pPr>
      <w:pStyle w:val="Header"/>
    </w:pPr>
  </w:p>
  <w:p w14:paraId="2B9C9B88" w14:textId="77777777" w:rsidR="005E734D" w:rsidRDefault="005E73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32B4"/>
    <w:multiLevelType w:val="hybridMultilevel"/>
    <w:tmpl w:val="D80CDEF8"/>
    <w:lvl w:ilvl="0" w:tplc="1C09000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1" w15:restartNumberingAfterBreak="0">
    <w:nsid w:val="0CD03F4F"/>
    <w:multiLevelType w:val="hybridMultilevel"/>
    <w:tmpl w:val="18A6E76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A9B"/>
    <w:multiLevelType w:val="hybridMultilevel"/>
    <w:tmpl w:val="E69EBA8C"/>
    <w:lvl w:ilvl="0" w:tplc="1C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2747192B"/>
    <w:multiLevelType w:val="hybridMultilevel"/>
    <w:tmpl w:val="877AFE2A"/>
    <w:lvl w:ilvl="0" w:tplc="D632C1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5E63"/>
    <w:multiLevelType w:val="hybridMultilevel"/>
    <w:tmpl w:val="A1966D5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C4DCDE1E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44167"/>
    <w:multiLevelType w:val="hybridMultilevel"/>
    <w:tmpl w:val="803A9C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86208"/>
    <w:multiLevelType w:val="hybridMultilevel"/>
    <w:tmpl w:val="A82AF7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267C8"/>
    <w:multiLevelType w:val="hybridMultilevel"/>
    <w:tmpl w:val="2FD8EAA6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8F79C4"/>
    <w:multiLevelType w:val="hybridMultilevel"/>
    <w:tmpl w:val="5EDA35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24669"/>
    <w:multiLevelType w:val="hybridMultilevel"/>
    <w:tmpl w:val="BD0636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F3DA5"/>
    <w:multiLevelType w:val="hybridMultilevel"/>
    <w:tmpl w:val="877AFE2A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64FC7"/>
    <w:multiLevelType w:val="hybridMultilevel"/>
    <w:tmpl w:val="C772E132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379646">
    <w:abstractNumId w:val="4"/>
  </w:num>
  <w:num w:numId="2" w16cid:durableId="1703895894">
    <w:abstractNumId w:val="11"/>
  </w:num>
  <w:num w:numId="3" w16cid:durableId="668020549">
    <w:abstractNumId w:val="0"/>
  </w:num>
  <w:num w:numId="4" w16cid:durableId="675613254">
    <w:abstractNumId w:val="5"/>
  </w:num>
  <w:num w:numId="5" w16cid:durableId="1482498454">
    <w:abstractNumId w:val="2"/>
  </w:num>
  <w:num w:numId="6" w16cid:durableId="1109163613">
    <w:abstractNumId w:val="8"/>
  </w:num>
  <w:num w:numId="7" w16cid:durableId="53050198">
    <w:abstractNumId w:val="9"/>
  </w:num>
  <w:num w:numId="8" w16cid:durableId="1630476557">
    <w:abstractNumId w:val="1"/>
  </w:num>
  <w:num w:numId="9" w16cid:durableId="349452768">
    <w:abstractNumId w:val="6"/>
  </w:num>
  <w:num w:numId="10" w16cid:durableId="1434858943">
    <w:abstractNumId w:val="3"/>
  </w:num>
  <w:num w:numId="11" w16cid:durableId="280301676">
    <w:abstractNumId w:val="10"/>
  </w:num>
  <w:num w:numId="12" w16cid:durableId="793518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4D"/>
    <w:rsid w:val="00011058"/>
    <w:rsid w:val="000214D9"/>
    <w:rsid w:val="00086898"/>
    <w:rsid w:val="000D3375"/>
    <w:rsid w:val="00137CF9"/>
    <w:rsid w:val="00182CAA"/>
    <w:rsid w:val="00184F18"/>
    <w:rsid w:val="001F5A7E"/>
    <w:rsid w:val="00262A39"/>
    <w:rsid w:val="00340AA7"/>
    <w:rsid w:val="00363E0E"/>
    <w:rsid w:val="00437F1F"/>
    <w:rsid w:val="00494553"/>
    <w:rsid w:val="0051291C"/>
    <w:rsid w:val="005627EE"/>
    <w:rsid w:val="005A3191"/>
    <w:rsid w:val="005E734D"/>
    <w:rsid w:val="006B2F34"/>
    <w:rsid w:val="006F38AF"/>
    <w:rsid w:val="00816E98"/>
    <w:rsid w:val="00831585"/>
    <w:rsid w:val="00874614"/>
    <w:rsid w:val="008C411F"/>
    <w:rsid w:val="009574AA"/>
    <w:rsid w:val="00A40C1A"/>
    <w:rsid w:val="00A77261"/>
    <w:rsid w:val="00BA13AF"/>
    <w:rsid w:val="00BA2E3C"/>
    <w:rsid w:val="00BC2D15"/>
    <w:rsid w:val="00BC7A70"/>
    <w:rsid w:val="00BF5302"/>
    <w:rsid w:val="00C56933"/>
    <w:rsid w:val="00CB5B60"/>
    <w:rsid w:val="00DB028E"/>
    <w:rsid w:val="00DF0450"/>
    <w:rsid w:val="00E0161E"/>
    <w:rsid w:val="00E06052"/>
    <w:rsid w:val="00E113B0"/>
    <w:rsid w:val="00E41C0C"/>
    <w:rsid w:val="00EC595F"/>
    <w:rsid w:val="00F02ECC"/>
    <w:rsid w:val="00F55AA5"/>
    <w:rsid w:val="00F97AC4"/>
    <w:rsid w:val="00FA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2A1B85C2"/>
  <w15:chartTrackingRefBased/>
  <w15:docId w15:val="{850BF76B-79F4-4EF0-8160-3EB43C1D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34D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bullet,(bullets,main),Num Bullet 1,lp1,List Paragraph1,lp11,Use Case List Paragraph,Bullet List,FooterText,numbered,Paragraphe de liste1,Bulletr List Paragraph,列出段落,列出段落1,List Paragraph11,Bulletted,Bullet Number,TOC style"/>
    <w:basedOn w:val="Normal"/>
    <w:link w:val="ListParagraphChar"/>
    <w:uiPriority w:val="34"/>
    <w:qFormat/>
    <w:rsid w:val="005E734D"/>
    <w:pPr>
      <w:ind w:left="720"/>
    </w:pPr>
  </w:style>
  <w:style w:type="character" w:customStyle="1" w:styleId="ListParagraphChar">
    <w:name w:val="List Paragraph Char"/>
    <w:aliases w:val="Table bullet Char,(bullets Char,main) Char,Num Bullet 1 Char,lp1 Char,List Paragraph1 Char,lp11 Char,Use Case List Paragraph Char,Bullet List Char,FooterText Char,numbered Char,Paragraphe de liste1 Char,Bulletr List Paragraph Char"/>
    <w:link w:val="ListParagraph"/>
    <w:uiPriority w:val="34"/>
    <w:rsid w:val="005E734D"/>
    <w:rPr>
      <w:rFonts w:ascii="Times" w:eastAsia="Times" w:hAnsi="Times" w:cs="Times New Roman"/>
      <w:sz w:val="24"/>
      <w:szCs w:val="20"/>
    </w:rPr>
  </w:style>
  <w:style w:type="paragraph" w:styleId="Header">
    <w:name w:val="header"/>
    <w:basedOn w:val="Normal"/>
    <w:link w:val="HeaderChar"/>
    <w:unhideWhenUsed/>
    <w:rsid w:val="005E73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34D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E73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34D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Goitseone Kgwadibana</dc:creator>
  <cp:keywords/>
  <dc:description/>
  <cp:lastModifiedBy>Goitseone Kgwadibana</cp:lastModifiedBy>
  <cp:revision>12</cp:revision>
  <dcterms:created xsi:type="dcterms:W3CDTF">2023-07-31T06:16:00Z</dcterms:created>
  <dcterms:modified xsi:type="dcterms:W3CDTF">2025-02-03T07:43:00Z</dcterms:modified>
</cp:coreProperties>
</file>