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300AAB" w:rsidRPr="00554656" w14:paraId="69E5E277" w14:textId="77777777" w:rsidTr="00C36187">
        <w:trPr>
          <w:trHeight w:val="1070"/>
        </w:trPr>
        <w:tc>
          <w:tcPr>
            <w:tcW w:w="9666" w:type="dxa"/>
            <w:shd w:val="clear" w:color="auto" w:fill="BFBFBF"/>
            <w:vAlign w:val="center"/>
          </w:tcPr>
          <w:p w14:paraId="69E5E275" w14:textId="0F810E4B" w:rsidR="00300AAB" w:rsidRPr="003B7ACE" w:rsidRDefault="00300AAB" w:rsidP="003B7ACE">
            <w:pPr>
              <w:jc w:val="center"/>
              <w:rPr>
                <w:rFonts w:cs="Calibri"/>
                <w:b/>
                <w:sz w:val="32"/>
                <w:szCs w:val="32"/>
              </w:rPr>
            </w:pPr>
            <w:r w:rsidRPr="003B7ACE">
              <w:rPr>
                <w:rFonts w:cs="Calibri"/>
                <w:b/>
                <w:sz w:val="32"/>
                <w:szCs w:val="32"/>
              </w:rPr>
              <w:t>STANDARD/PROJECT SPECIFICATION</w:t>
            </w:r>
          </w:p>
          <w:p w14:paraId="69E5E276" w14:textId="7081E086" w:rsidR="00300AAB" w:rsidRPr="003B7ACE" w:rsidRDefault="00D15DB7" w:rsidP="00CB2FD5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Maintain, Fix, and Supply all the consumables</w:t>
            </w:r>
          </w:p>
        </w:tc>
      </w:tr>
    </w:tbl>
    <w:p w14:paraId="69E5E278" w14:textId="06F597C0" w:rsidR="00300AAB" w:rsidRPr="00DB263E" w:rsidRDefault="00300AAB" w:rsidP="0086431D">
      <w:pPr>
        <w:pStyle w:val="Heading1"/>
        <w:numPr>
          <w:ilvl w:val="0"/>
          <w:numId w:val="10"/>
        </w:numPr>
        <w:spacing w:before="120" w:after="1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B26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SCOPE AND DESCRIPTION OF </w:t>
      </w:r>
      <w:r w:rsidR="00D15DB7">
        <w:rPr>
          <w:rFonts w:ascii="Arial" w:hAnsi="Arial" w:cs="Arial"/>
          <w:color w:val="000000" w:themeColor="text1"/>
          <w:sz w:val="22"/>
          <w:szCs w:val="22"/>
          <w:lang w:val="en-US"/>
        </w:rPr>
        <w:t>INFRA</w:t>
      </w:r>
      <w:r w:rsidR="006256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PROJECT OFFICE</w:t>
      </w:r>
      <w:r w:rsidR="00D15D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PLOTTER </w:t>
      </w:r>
    </w:p>
    <w:p w14:paraId="69E5E279" w14:textId="21DF9846" w:rsidR="00300AAB" w:rsidRPr="0086431D" w:rsidRDefault="00300AAB" w:rsidP="003B7ACE">
      <w:pPr>
        <w:ind w:left="706" w:firstLine="0"/>
        <w:rPr>
          <w:rFonts w:cs="Arial"/>
          <w:szCs w:val="22"/>
          <w:lang w:val="en-US"/>
        </w:rPr>
      </w:pPr>
      <w:r w:rsidRPr="0086431D">
        <w:rPr>
          <w:rFonts w:cs="Arial"/>
          <w:szCs w:val="22"/>
          <w:lang w:val="en-US"/>
        </w:rPr>
        <w:t xml:space="preserve">This specification covers the criteria to be covered when </w:t>
      </w:r>
      <w:r w:rsidR="00D15DB7">
        <w:rPr>
          <w:rFonts w:cs="Arial"/>
          <w:szCs w:val="22"/>
          <w:lang w:val="en-US"/>
        </w:rPr>
        <w:t xml:space="preserve">Maintaining the Infra-Project Office Plotter </w:t>
      </w:r>
      <w:r w:rsidRPr="0086431D">
        <w:rPr>
          <w:rFonts w:cs="Arial"/>
          <w:szCs w:val="22"/>
          <w:lang w:val="en-US"/>
        </w:rPr>
        <w:t>for Metrorail</w:t>
      </w:r>
      <w:r w:rsidR="00D15DB7">
        <w:rPr>
          <w:rFonts w:cs="Arial"/>
          <w:szCs w:val="22"/>
          <w:lang w:val="en-US"/>
        </w:rPr>
        <w:t>/PRASA drawing Office</w:t>
      </w:r>
      <w:r w:rsidRPr="0086431D">
        <w:rPr>
          <w:rFonts w:cs="Arial"/>
          <w:szCs w:val="22"/>
          <w:lang w:val="en-US"/>
        </w:rPr>
        <w:t>.</w:t>
      </w:r>
    </w:p>
    <w:p w14:paraId="69E5E27A" w14:textId="09CCA463" w:rsidR="00300AAB" w:rsidRPr="003B7ACE" w:rsidRDefault="00300AAB" w:rsidP="00857958">
      <w:pPr>
        <w:tabs>
          <w:tab w:val="left" w:pos="2070"/>
        </w:tabs>
        <w:ind w:left="1350" w:hanging="630"/>
        <w:rPr>
          <w:rFonts w:cs="Arial"/>
          <w:b/>
          <w:bCs/>
          <w:szCs w:val="22"/>
          <w:lang w:val="en-US"/>
        </w:rPr>
      </w:pPr>
      <w:r w:rsidRPr="003B7ACE">
        <w:rPr>
          <w:rFonts w:cs="Arial"/>
          <w:b/>
          <w:bCs/>
          <w:szCs w:val="22"/>
          <w:lang w:val="en-US"/>
        </w:rPr>
        <w:t xml:space="preserve">This Contract </w:t>
      </w:r>
      <w:r w:rsidR="003B7ACE" w:rsidRPr="003B7ACE">
        <w:rPr>
          <w:rFonts w:cs="Arial"/>
          <w:b/>
          <w:bCs/>
          <w:szCs w:val="22"/>
          <w:lang w:val="en-US"/>
        </w:rPr>
        <w:t>covers.</w:t>
      </w:r>
      <w:r w:rsidRPr="003B7ACE">
        <w:rPr>
          <w:rFonts w:cs="Arial"/>
          <w:b/>
          <w:bCs/>
          <w:szCs w:val="22"/>
          <w:lang w:val="en-US"/>
        </w:rPr>
        <w:t xml:space="preserve"> </w:t>
      </w:r>
    </w:p>
    <w:p w14:paraId="69E5E27B" w14:textId="0603FC40" w:rsidR="00796D31" w:rsidRDefault="00D15DB7" w:rsidP="00796D31">
      <w:pPr>
        <w:numPr>
          <w:ilvl w:val="0"/>
          <w:numId w:val="5"/>
        </w:numPr>
        <w:tabs>
          <w:tab w:val="left" w:pos="720"/>
          <w:tab w:val="left" w:pos="1350"/>
          <w:tab w:val="left" w:pos="2610"/>
        </w:tabs>
        <w:ind w:left="720" w:firstLine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Call outs </w:t>
      </w:r>
    </w:p>
    <w:p w14:paraId="69E5E27C" w14:textId="49576261" w:rsidR="00796D31" w:rsidRDefault="00796D31" w:rsidP="00796D31">
      <w:pPr>
        <w:numPr>
          <w:ilvl w:val="0"/>
          <w:numId w:val="5"/>
        </w:numPr>
        <w:tabs>
          <w:tab w:val="left" w:pos="720"/>
          <w:tab w:val="left" w:pos="1350"/>
          <w:tab w:val="left" w:pos="2610"/>
        </w:tabs>
        <w:ind w:left="720" w:firstLine="0"/>
        <w:rPr>
          <w:rFonts w:cs="Arial"/>
          <w:szCs w:val="22"/>
          <w:lang w:val="en-US"/>
        </w:rPr>
      </w:pPr>
      <w:r w:rsidRPr="00796D31">
        <w:rPr>
          <w:rFonts w:cs="Arial"/>
          <w:szCs w:val="22"/>
          <w:lang w:val="en-US"/>
        </w:rPr>
        <w:t xml:space="preserve"> </w:t>
      </w:r>
      <w:r w:rsidR="00F825CE">
        <w:rPr>
          <w:rFonts w:cs="Arial"/>
          <w:szCs w:val="22"/>
          <w:lang w:val="en-US"/>
        </w:rPr>
        <w:t xml:space="preserve">Inspections on the Machine </w:t>
      </w:r>
    </w:p>
    <w:p w14:paraId="69E5E27D" w14:textId="2E3329C0" w:rsidR="00300AAB" w:rsidRPr="0086431D" w:rsidRDefault="00F825CE" w:rsidP="00B54BA5">
      <w:pPr>
        <w:numPr>
          <w:ilvl w:val="0"/>
          <w:numId w:val="5"/>
        </w:numPr>
        <w:tabs>
          <w:tab w:val="left" w:pos="567"/>
          <w:tab w:val="left" w:pos="1350"/>
          <w:tab w:val="left" w:pos="2610"/>
        </w:tabs>
        <w:ind w:left="720" w:firstLine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Replace all the parts that need to be replaced</w:t>
      </w:r>
      <w:r w:rsidR="00300AAB" w:rsidRPr="0086431D">
        <w:rPr>
          <w:rFonts w:cs="Arial"/>
          <w:szCs w:val="22"/>
          <w:lang w:val="en-US"/>
        </w:rPr>
        <w:t xml:space="preserve"> </w:t>
      </w:r>
    </w:p>
    <w:p w14:paraId="69E5E27E" w14:textId="77777777" w:rsidR="00300AAB" w:rsidRPr="00857958" w:rsidRDefault="001918ED" w:rsidP="00857958">
      <w:pPr>
        <w:numPr>
          <w:ilvl w:val="0"/>
          <w:numId w:val="5"/>
        </w:numPr>
        <w:tabs>
          <w:tab w:val="left" w:pos="720"/>
          <w:tab w:val="left" w:pos="1350"/>
          <w:tab w:val="left" w:pos="2610"/>
        </w:tabs>
        <w:ind w:left="720" w:firstLine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Consumables </w:t>
      </w:r>
    </w:p>
    <w:p w14:paraId="69E5E27F" w14:textId="09C8E166" w:rsidR="0086431D" w:rsidRPr="0086431D" w:rsidRDefault="0086431D" w:rsidP="0086431D">
      <w:pPr>
        <w:pStyle w:val="Heading1"/>
        <w:numPr>
          <w:ilvl w:val="0"/>
          <w:numId w:val="10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 xml:space="preserve">SPECIFICATION </w:t>
      </w:r>
      <w:r w:rsidR="00F825CE">
        <w:rPr>
          <w:rFonts w:ascii="Arial" w:hAnsi="Arial" w:cs="Arial"/>
          <w:color w:val="auto"/>
          <w:sz w:val="22"/>
          <w:szCs w:val="22"/>
          <w:lang w:val="en-US"/>
        </w:rPr>
        <w:t>AND PLOTTER NAME (HP DesignJet T2530)</w:t>
      </w:r>
    </w:p>
    <w:p w14:paraId="69E5E280" w14:textId="177F612B" w:rsidR="000754DF" w:rsidRDefault="00F825CE" w:rsidP="000754DF">
      <w:pPr>
        <w:numPr>
          <w:ilvl w:val="1"/>
          <w:numId w:val="4"/>
        </w:numPr>
        <w:ind w:left="1418" w:hanging="709"/>
        <w:rPr>
          <w:rFonts w:cs="Arial"/>
          <w:szCs w:val="22"/>
          <w:lang w:val="en-US"/>
        </w:rPr>
      </w:pPr>
      <w:r w:rsidRPr="00F825CE">
        <w:rPr>
          <w:rFonts w:cs="Arial"/>
          <w:szCs w:val="22"/>
        </w:rPr>
        <w:t>Print, copy, scan</w:t>
      </w:r>
      <w:r w:rsidR="006A4F52" w:rsidRPr="0086431D">
        <w:rPr>
          <w:rFonts w:cs="Arial"/>
          <w:szCs w:val="22"/>
          <w:lang w:val="en-US"/>
        </w:rPr>
        <w:t>.</w:t>
      </w:r>
      <w:r w:rsidR="00300AAB" w:rsidRPr="0086431D">
        <w:rPr>
          <w:rFonts w:cs="Arial"/>
          <w:szCs w:val="22"/>
          <w:lang w:val="en-US"/>
        </w:rPr>
        <w:t xml:space="preserve"> </w:t>
      </w:r>
    </w:p>
    <w:p w14:paraId="69E5E281" w14:textId="68597DC4" w:rsidR="00300AAB" w:rsidRPr="000754DF" w:rsidRDefault="00DB5ED7" w:rsidP="000754DF">
      <w:pPr>
        <w:numPr>
          <w:ilvl w:val="1"/>
          <w:numId w:val="4"/>
        </w:numPr>
        <w:ind w:left="1418" w:hanging="709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>Print width: 36″ (914 mm); dual roll support</w:t>
      </w:r>
    </w:p>
    <w:p w14:paraId="69E5E282" w14:textId="44D7134E" w:rsidR="000754DF" w:rsidRDefault="00DB5ED7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>Resolution: Up to 2400 × 1200 optimized dpi</w:t>
      </w:r>
      <w:r w:rsidR="00300AAB" w:rsidRPr="0086431D">
        <w:rPr>
          <w:rFonts w:cs="Arial"/>
          <w:szCs w:val="22"/>
          <w:lang w:val="en-US"/>
        </w:rPr>
        <w:t xml:space="preserve"> </w:t>
      </w:r>
    </w:p>
    <w:p w14:paraId="69E5E283" w14:textId="0D42A8B2" w:rsidR="000754DF" w:rsidRDefault="00DB5ED7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>Speed: ≈21 sec per A1/D page in draft (economode); ~120 A1/D prints/hour</w:t>
      </w:r>
    </w:p>
    <w:p w14:paraId="69E5E284" w14:textId="7055D6AC" w:rsidR="000754DF" w:rsidRDefault="00DB5ED7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 xml:space="preserve">Ink setup: 6 cartridges (cyan, gray, magenta, matte black, photo </w:t>
      </w:r>
      <w:r w:rsidR="0053277C" w:rsidRPr="00DB5ED7">
        <w:rPr>
          <w:rFonts w:cs="Arial"/>
          <w:szCs w:val="22"/>
        </w:rPr>
        <w:t xml:space="preserve">black, </w:t>
      </w:r>
      <w:r w:rsidR="0053277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="0053277C">
        <w:rPr>
          <w:rFonts w:cs="Arial"/>
          <w:szCs w:val="22"/>
        </w:rPr>
        <w:t xml:space="preserve">        </w:t>
      </w:r>
      <w:r w:rsidRPr="00DB5ED7">
        <w:rPr>
          <w:rFonts w:cs="Arial"/>
          <w:szCs w:val="22"/>
        </w:rPr>
        <w:t>yellow); uses dye + pigment</w:t>
      </w:r>
    </w:p>
    <w:p w14:paraId="69E5E285" w14:textId="37026FF5" w:rsidR="000754DF" w:rsidRDefault="00DB5ED7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>Scan speed: ~2.5 in/s (color), ~7.5 in/s (grayscale) at 200 dpi</w:t>
      </w:r>
      <w:r w:rsidR="00C92FF3" w:rsidRPr="000754DF">
        <w:rPr>
          <w:rFonts w:cs="Arial"/>
          <w:szCs w:val="22"/>
          <w:lang w:val="en-US"/>
        </w:rPr>
        <w:t xml:space="preserve"> </w:t>
      </w:r>
    </w:p>
    <w:p w14:paraId="69E5E286" w14:textId="3E49161B" w:rsidR="000754DF" w:rsidRDefault="00DB5ED7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DB5ED7">
        <w:rPr>
          <w:rFonts w:cs="Arial"/>
          <w:szCs w:val="22"/>
        </w:rPr>
        <w:t>Memory/Storage: 128 GB RAM for file processing; 500 GB HDD</w:t>
      </w:r>
    </w:p>
    <w:p w14:paraId="69E5E287" w14:textId="7623DC3B" w:rsidR="000754DF" w:rsidRDefault="00841DCA" w:rsidP="000754DF">
      <w:pPr>
        <w:numPr>
          <w:ilvl w:val="1"/>
          <w:numId w:val="4"/>
        </w:numPr>
        <w:ind w:hanging="197"/>
        <w:rPr>
          <w:rStyle w:val="CommentReference"/>
          <w:rFonts w:cs="Arial"/>
          <w:sz w:val="22"/>
          <w:szCs w:val="22"/>
          <w:lang w:val="en-US"/>
        </w:rPr>
      </w:pPr>
      <w:r w:rsidRPr="00841DCA">
        <w:rPr>
          <w:rFonts w:cs="Arial"/>
          <w:szCs w:val="22"/>
        </w:rPr>
        <w:t>Media &amp; handling: Two front-loading rolls, automatic cutter, integrated 50</w:t>
      </w:r>
      <w:r w:rsidRPr="00841DCA">
        <w:rPr>
          <w:rFonts w:cs="Arial"/>
          <w:szCs w:val="22"/>
        </w:rPr>
        <w:noBreakHyphen/>
        <w:t>page stacker, supports up to E/A0 (36″ × 48″</w:t>
      </w:r>
    </w:p>
    <w:p w14:paraId="69E5E288" w14:textId="1E78A0EF" w:rsidR="000754DF" w:rsidRDefault="00841DCA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841DCA">
        <w:rPr>
          <w:rFonts w:cs="Arial"/>
          <w:szCs w:val="22"/>
        </w:rPr>
        <w:t>Line accuracy: ±0.1%, minimum 0.07 mm line width</w:t>
      </w:r>
    </w:p>
    <w:p w14:paraId="69E5E289" w14:textId="4888E847" w:rsidR="000754DF" w:rsidRDefault="00841DCA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841DCA">
        <w:rPr>
          <w:rFonts w:cs="Arial"/>
          <w:szCs w:val="22"/>
        </w:rPr>
        <w:t>Connectivity: Gigabit Ethernet, USB, ePrint, AirPrint, Android/Chrome OS mobile support</w:t>
      </w:r>
    </w:p>
    <w:p w14:paraId="69E5E28A" w14:textId="4CBBBB14" w:rsidR="000754DF" w:rsidRDefault="00841DCA" w:rsidP="000754DF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841DCA">
        <w:rPr>
          <w:rFonts w:cs="Arial"/>
          <w:szCs w:val="22"/>
        </w:rPr>
        <w:t>Operating requirements: 100–240 VAC, 5–40 °C, 20–80 % RH, ~120 W active power</w:t>
      </w:r>
    </w:p>
    <w:p w14:paraId="69E5E28D" w14:textId="052C882A" w:rsidR="0086431D" w:rsidRPr="00841DCA" w:rsidRDefault="00841DCA" w:rsidP="00841DCA">
      <w:pPr>
        <w:numPr>
          <w:ilvl w:val="1"/>
          <w:numId w:val="4"/>
        </w:numPr>
        <w:ind w:hanging="197"/>
        <w:rPr>
          <w:rFonts w:cs="Arial"/>
          <w:szCs w:val="22"/>
          <w:lang w:val="en-US"/>
        </w:rPr>
      </w:pPr>
      <w:r w:rsidRPr="00841DCA">
        <w:rPr>
          <w:rFonts w:cs="Arial"/>
          <w:szCs w:val="22"/>
        </w:rPr>
        <w:t>Footprint &amp; weight: ~1399 × 916 × 1110 mm; ~112 kg</w:t>
      </w:r>
    </w:p>
    <w:p w14:paraId="69E5E28E" w14:textId="77777777" w:rsidR="0098675D" w:rsidRPr="00857958" w:rsidRDefault="0086431D" w:rsidP="00857958">
      <w:pPr>
        <w:pStyle w:val="Heading1"/>
        <w:numPr>
          <w:ilvl w:val="0"/>
          <w:numId w:val="10"/>
        </w:numPr>
        <w:spacing w:before="120" w:after="120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lastRenderedPageBreak/>
        <w:t>TECHNICAL SUPPORT</w:t>
      </w:r>
      <w:r w:rsidR="001918ED">
        <w:rPr>
          <w:rFonts w:ascii="Arial" w:hAnsi="Arial" w:cs="Arial"/>
          <w:color w:val="auto"/>
          <w:sz w:val="22"/>
          <w:szCs w:val="22"/>
          <w:lang w:val="en-US"/>
        </w:rPr>
        <w:t xml:space="preserve"> AND GUARANTESS </w:t>
      </w:r>
    </w:p>
    <w:p w14:paraId="69E5E28F" w14:textId="776F5A7A" w:rsidR="00C37606" w:rsidRPr="00857958" w:rsidRDefault="007F0358" w:rsidP="00857958">
      <w:pPr>
        <w:ind w:hanging="698"/>
        <w:jc w:val="both"/>
        <w:rPr>
          <w:rFonts w:cs="Arial"/>
          <w:b/>
          <w:szCs w:val="22"/>
          <w:lang w:val="en-US"/>
        </w:rPr>
      </w:pPr>
      <w:r>
        <w:rPr>
          <w:rFonts w:cs="Arial"/>
          <w:szCs w:val="22"/>
          <w:lang w:val="en-US"/>
        </w:rPr>
        <w:t>3</w:t>
      </w:r>
      <w:r w:rsidR="00C37606" w:rsidRPr="0086431D">
        <w:rPr>
          <w:rFonts w:cs="Arial"/>
          <w:szCs w:val="22"/>
          <w:lang w:val="en-US"/>
        </w:rPr>
        <w:t>.1</w:t>
      </w:r>
      <w:r w:rsidR="00C37606" w:rsidRPr="0086431D">
        <w:rPr>
          <w:rFonts w:cs="Arial"/>
          <w:szCs w:val="22"/>
          <w:lang w:val="en-US"/>
        </w:rPr>
        <w:tab/>
        <w:t>PRASA will</w:t>
      </w:r>
      <w:r w:rsidR="00841DCA">
        <w:rPr>
          <w:rFonts w:cs="Arial"/>
          <w:szCs w:val="22"/>
          <w:lang w:val="en-US"/>
        </w:rPr>
        <w:t xml:space="preserve"> require the contractor to</w:t>
      </w:r>
      <w:r w:rsidR="00C37606" w:rsidRPr="0086431D">
        <w:rPr>
          <w:rFonts w:cs="Arial"/>
          <w:szCs w:val="22"/>
          <w:lang w:val="en-US"/>
        </w:rPr>
        <w:t xml:space="preserve"> perform opera</w:t>
      </w:r>
      <w:r w:rsidR="001918ED">
        <w:rPr>
          <w:rFonts w:cs="Arial"/>
          <w:szCs w:val="22"/>
          <w:lang w:val="en-US"/>
        </w:rPr>
        <w:t xml:space="preserve">tional diagnostics as explained and </w:t>
      </w:r>
      <w:r w:rsidR="00C37606" w:rsidRPr="0086431D">
        <w:rPr>
          <w:rFonts w:cs="Arial"/>
          <w:szCs w:val="22"/>
          <w:lang w:val="en-US"/>
        </w:rPr>
        <w:t>demonstrated by the supplier and diagnos</w:t>
      </w:r>
      <w:r w:rsidR="001918ED">
        <w:rPr>
          <w:rFonts w:cs="Arial"/>
          <w:szCs w:val="22"/>
          <w:lang w:val="en-US"/>
        </w:rPr>
        <w:t>e</w:t>
      </w:r>
      <w:r w:rsidR="00841DCA">
        <w:rPr>
          <w:rFonts w:cs="Arial"/>
          <w:szCs w:val="22"/>
          <w:lang w:val="en-US"/>
        </w:rPr>
        <w:t xml:space="preserve"> </w:t>
      </w:r>
      <w:r w:rsidR="001918ED">
        <w:rPr>
          <w:rFonts w:cs="Arial"/>
          <w:szCs w:val="22"/>
          <w:lang w:val="en-US"/>
        </w:rPr>
        <w:t xml:space="preserve">the machine should any errors or </w:t>
      </w:r>
      <w:r w:rsidR="00C37606" w:rsidRPr="0086431D">
        <w:rPr>
          <w:rFonts w:cs="Arial"/>
          <w:szCs w:val="22"/>
          <w:lang w:val="en-US"/>
        </w:rPr>
        <w:t>failures occur on</w:t>
      </w:r>
      <w:r w:rsidR="001918ED">
        <w:rPr>
          <w:rFonts w:cs="Arial"/>
          <w:szCs w:val="22"/>
          <w:lang w:val="en-US"/>
        </w:rPr>
        <w:t xml:space="preserve"> the machine. In the event of</w:t>
      </w:r>
      <w:r w:rsidR="00C37606" w:rsidRPr="0086431D">
        <w:rPr>
          <w:rFonts w:cs="Arial"/>
          <w:szCs w:val="22"/>
          <w:lang w:val="en-US"/>
        </w:rPr>
        <w:t xml:space="preserve"> error </w:t>
      </w:r>
      <w:r w:rsidR="001918ED">
        <w:rPr>
          <w:rFonts w:cs="Arial"/>
          <w:szCs w:val="22"/>
          <w:lang w:val="en-US"/>
        </w:rPr>
        <w:t>massage</w:t>
      </w:r>
      <w:r w:rsidR="00C37606" w:rsidRPr="0086431D">
        <w:rPr>
          <w:rFonts w:cs="Arial"/>
          <w:szCs w:val="22"/>
          <w:lang w:val="en-US"/>
        </w:rPr>
        <w:t xml:space="preserve">, PRASA will contact the </w:t>
      </w:r>
      <w:r w:rsidR="00841DCA">
        <w:rPr>
          <w:rFonts w:cs="Arial"/>
          <w:szCs w:val="22"/>
          <w:lang w:val="en-US"/>
        </w:rPr>
        <w:t>contractor</w:t>
      </w:r>
      <w:r w:rsidR="00C37606" w:rsidRPr="0086431D">
        <w:rPr>
          <w:rFonts w:cs="Arial"/>
          <w:szCs w:val="22"/>
          <w:lang w:val="en-US"/>
        </w:rPr>
        <w:t xml:space="preserve"> to request higher technical level support in terms of diagno</w:t>
      </w:r>
      <w:r w:rsidR="00DB263E">
        <w:rPr>
          <w:rFonts w:cs="Arial"/>
          <w:szCs w:val="22"/>
          <w:lang w:val="en-US"/>
        </w:rPr>
        <w:t>stics and repair of the</w:t>
      </w:r>
      <w:r w:rsidR="0053277C">
        <w:rPr>
          <w:rFonts w:cs="Arial"/>
          <w:szCs w:val="22"/>
          <w:lang w:val="en-US"/>
        </w:rPr>
        <w:t xml:space="preserve"> plotter</w:t>
      </w:r>
      <w:r w:rsidR="00DB263E">
        <w:rPr>
          <w:rFonts w:cs="Arial"/>
          <w:szCs w:val="22"/>
          <w:lang w:val="en-US"/>
        </w:rPr>
        <w:t>.</w:t>
      </w:r>
    </w:p>
    <w:p w14:paraId="69E5E290" w14:textId="2A91AFAF" w:rsidR="00300AAB" w:rsidRPr="00857958" w:rsidRDefault="007F0358" w:rsidP="00857958">
      <w:pPr>
        <w:ind w:hanging="698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3</w:t>
      </w:r>
      <w:r w:rsidR="00796D31">
        <w:rPr>
          <w:rFonts w:cs="Arial"/>
          <w:szCs w:val="22"/>
          <w:lang w:val="en-US"/>
        </w:rPr>
        <w:t>.2</w:t>
      </w:r>
      <w:r w:rsidR="00796D31">
        <w:rPr>
          <w:rFonts w:cs="Arial"/>
          <w:szCs w:val="22"/>
          <w:lang w:val="en-US"/>
        </w:rPr>
        <w:tab/>
      </w:r>
      <w:r w:rsidR="001918ED">
        <w:rPr>
          <w:rFonts w:cs="Arial"/>
          <w:szCs w:val="22"/>
          <w:lang w:val="en-US"/>
        </w:rPr>
        <w:t xml:space="preserve">The response time by the </w:t>
      </w:r>
      <w:r w:rsidR="00841DCA">
        <w:rPr>
          <w:rFonts w:cs="Arial"/>
          <w:szCs w:val="22"/>
          <w:lang w:val="en-US"/>
        </w:rPr>
        <w:t>contractor</w:t>
      </w:r>
      <w:r w:rsidR="001918ED">
        <w:rPr>
          <w:rFonts w:cs="Arial"/>
          <w:szCs w:val="22"/>
          <w:lang w:val="en-US"/>
        </w:rPr>
        <w:t xml:space="preserve"> shall be 48 hours</w:t>
      </w:r>
      <w:r w:rsidR="00300AAB" w:rsidRPr="0086431D">
        <w:rPr>
          <w:rFonts w:cs="Arial"/>
          <w:szCs w:val="22"/>
          <w:lang w:val="en-US"/>
        </w:rPr>
        <w:t xml:space="preserve">. </w:t>
      </w:r>
    </w:p>
    <w:p w14:paraId="69E5E291" w14:textId="63330B46" w:rsidR="00616D17" w:rsidRDefault="007F0358" w:rsidP="00857958">
      <w:pPr>
        <w:ind w:hanging="698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3</w:t>
      </w:r>
      <w:r w:rsidR="008015D9" w:rsidRPr="0086431D">
        <w:rPr>
          <w:rFonts w:cs="Arial"/>
          <w:szCs w:val="22"/>
          <w:lang w:val="en-US"/>
        </w:rPr>
        <w:t>.</w:t>
      </w:r>
      <w:r w:rsidR="00DB263E">
        <w:rPr>
          <w:rFonts w:cs="Arial"/>
          <w:szCs w:val="22"/>
          <w:lang w:val="en-US"/>
        </w:rPr>
        <w:t>3</w:t>
      </w:r>
      <w:r w:rsidR="008015D9" w:rsidRPr="0086431D">
        <w:rPr>
          <w:rFonts w:cs="Arial"/>
          <w:szCs w:val="22"/>
          <w:lang w:val="en-US"/>
        </w:rPr>
        <w:tab/>
      </w:r>
      <w:r w:rsidR="00841DCA">
        <w:rPr>
          <w:rFonts w:cs="Arial"/>
          <w:szCs w:val="22"/>
          <w:lang w:val="en-US"/>
        </w:rPr>
        <w:t>Contractor</w:t>
      </w:r>
      <w:r w:rsidR="008015D9" w:rsidRPr="0086431D">
        <w:rPr>
          <w:rFonts w:cs="Arial"/>
          <w:szCs w:val="22"/>
          <w:lang w:val="en-US"/>
        </w:rPr>
        <w:t xml:space="preserve"> to provide full contact details </w:t>
      </w:r>
      <w:r w:rsidR="0077066C">
        <w:rPr>
          <w:rFonts w:cs="Arial"/>
          <w:szCs w:val="22"/>
          <w:lang w:val="en-US"/>
        </w:rPr>
        <w:t xml:space="preserve">for the </w:t>
      </w:r>
      <w:r w:rsidR="00625655">
        <w:rPr>
          <w:rFonts w:cs="Arial"/>
          <w:szCs w:val="22"/>
          <w:lang w:val="en-US"/>
        </w:rPr>
        <w:t>purpose</w:t>
      </w:r>
      <w:r w:rsidR="0077066C">
        <w:rPr>
          <w:rFonts w:cs="Arial"/>
          <w:szCs w:val="22"/>
          <w:lang w:val="en-US"/>
        </w:rPr>
        <w:t xml:space="preserve"> of </w:t>
      </w:r>
      <w:r w:rsidR="00625655">
        <w:rPr>
          <w:rFonts w:cs="Arial"/>
          <w:szCs w:val="22"/>
          <w:lang w:val="en-US"/>
        </w:rPr>
        <w:t>logging into</w:t>
      </w:r>
      <w:r w:rsidR="008015D9" w:rsidRPr="0086431D">
        <w:rPr>
          <w:rFonts w:cs="Arial"/>
          <w:szCs w:val="22"/>
          <w:lang w:val="en-US"/>
        </w:rPr>
        <w:t xml:space="preserve"> a fault.</w:t>
      </w:r>
      <w:r w:rsidR="0077066C">
        <w:rPr>
          <w:rFonts w:cs="Arial"/>
          <w:szCs w:val="22"/>
          <w:lang w:val="en-US"/>
        </w:rPr>
        <w:t xml:space="preserve"> The process should start by log</w:t>
      </w:r>
      <w:r w:rsidR="008015D9" w:rsidRPr="0086431D">
        <w:rPr>
          <w:rFonts w:cs="Arial"/>
          <w:szCs w:val="22"/>
          <w:lang w:val="en-US"/>
        </w:rPr>
        <w:t>ging the fault up until the fault has been resolved. The service provid</w:t>
      </w:r>
      <w:r w:rsidR="0077066C">
        <w:rPr>
          <w:rFonts w:cs="Arial"/>
          <w:szCs w:val="22"/>
          <w:lang w:val="en-US"/>
        </w:rPr>
        <w:t xml:space="preserve">er must indicate the turnaround </w:t>
      </w:r>
      <w:r w:rsidR="004B7AF6">
        <w:rPr>
          <w:rFonts w:cs="Arial"/>
          <w:szCs w:val="22"/>
          <w:lang w:val="en-US"/>
        </w:rPr>
        <w:t>for time</w:t>
      </w:r>
      <w:r w:rsidR="0077066C">
        <w:rPr>
          <w:rFonts w:cs="Arial"/>
          <w:szCs w:val="22"/>
          <w:lang w:val="en-US"/>
        </w:rPr>
        <w:t xml:space="preserve"> repairs </w:t>
      </w:r>
      <w:r w:rsidR="004B7AF6">
        <w:rPr>
          <w:rFonts w:cs="Arial"/>
          <w:szCs w:val="22"/>
          <w:lang w:val="en-US"/>
        </w:rPr>
        <w:t xml:space="preserve">and </w:t>
      </w:r>
      <w:r w:rsidR="004B7AF6" w:rsidRPr="0086431D">
        <w:rPr>
          <w:rFonts w:cs="Arial"/>
          <w:szCs w:val="22"/>
          <w:lang w:val="en-US"/>
        </w:rPr>
        <w:t>of</w:t>
      </w:r>
      <w:r w:rsidR="008015D9" w:rsidRPr="0086431D">
        <w:rPr>
          <w:rFonts w:cs="Arial"/>
          <w:szCs w:val="22"/>
          <w:lang w:val="en-US"/>
        </w:rPr>
        <w:t xml:space="preserve"> error messages and faults on the machine. </w:t>
      </w:r>
    </w:p>
    <w:p w14:paraId="69E5E292" w14:textId="792ACD88" w:rsidR="00616D17" w:rsidRPr="0086431D" w:rsidRDefault="00625655" w:rsidP="00616D17">
      <w:pPr>
        <w:pStyle w:val="Heading1"/>
        <w:numPr>
          <w:ilvl w:val="0"/>
          <w:numId w:val="10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>P</w:t>
      </w:r>
      <w:r w:rsidR="006E0E0B">
        <w:rPr>
          <w:rFonts w:ascii="Arial" w:hAnsi="Arial" w:cs="Arial"/>
          <w:color w:val="auto"/>
          <w:sz w:val="22"/>
          <w:szCs w:val="22"/>
          <w:lang w:val="en-US"/>
        </w:rPr>
        <w:t xml:space="preserve">LOTTER </w:t>
      </w:r>
      <w:r w:rsidR="006830D1">
        <w:rPr>
          <w:rFonts w:ascii="Arial" w:hAnsi="Arial" w:cs="Arial"/>
          <w:color w:val="auto"/>
          <w:sz w:val="22"/>
          <w:szCs w:val="22"/>
          <w:lang w:val="en-US"/>
        </w:rPr>
        <w:t xml:space="preserve">LOCATION FOR MAINTAINANCE AND REPAIRS </w:t>
      </w:r>
    </w:p>
    <w:p w14:paraId="69E5E293" w14:textId="246E81E8" w:rsidR="00616D17" w:rsidRPr="00857958" w:rsidRDefault="00616D17" w:rsidP="00857958">
      <w:pPr>
        <w:ind w:left="1440" w:firstLine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Salt River, Off Malta Road, Infrastructure </w:t>
      </w:r>
      <w:r w:rsidR="002E6FE9">
        <w:rPr>
          <w:rFonts w:cs="Arial"/>
          <w:szCs w:val="22"/>
          <w:lang w:val="en-US"/>
        </w:rPr>
        <w:t>building, 113 Infra Project Office</w:t>
      </w:r>
    </w:p>
    <w:p w14:paraId="69E5E297" w14:textId="468F5BEC" w:rsidR="00857958" w:rsidRPr="0086431D" w:rsidRDefault="00857958" w:rsidP="0077066C">
      <w:pPr>
        <w:tabs>
          <w:tab w:val="left" w:pos="720"/>
          <w:tab w:val="center" w:pos="4320"/>
          <w:tab w:val="right" w:pos="8640"/>
        </w:tabs>
        <w:ind w:hanging="698"/>
        <w:rPr>
          <w:rFonts w:cs="Arial"/>
          <w:szCs w:val="22"/>
          <w:lang w:val="en-US"/>
        </w:rPr>
      </w:pPr>
    </w:p>
    <w:p w14:paraId="69E5E298" w14:textId="77777777" w:rsidR="0086431D" w:rsidRPr="0086431D" w:rsidRDefault="00624EAB" w:rsidP="0086431D">
      <w:pPr>
        <w:pStyle w:val="Heading1"/>
        <w:numPr>
          <w:ilvl w:val="0"/>
          <w:numId w:val="10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>CONSUMABLES</w:t>
      </w:r>
    </w:p>
    <w:p w14:paraId="69E5E299" w14:textId="6BF58F82" w:rsidR="0086431D" w:rsidRPr="0086431D" w:rsidRDefault="00616D17" w:rsidP="00AE4ACC">
      <w:pPr>
        <w:ind w:left="1485" w:hanging="765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6</w:t>
      </w:r>
      <w:r w:rsidR="00300AAB" w:rsidRPr="0086431D">
        <w:rPr>
          <w:rFonts w:cs="Arial"/>
          <w:szCs w:val="22"/>
          <w:lang w:val="en-US"/>
        </w:rPr>
        <w:t>.1</w:t>
      </w:r>
      <w:r w:rsidR="00AE4ACC">
        <w:rPr>
          <w:rFonts w:cs="Arial"/>
          <w:szCs w:val="22"/>
          <w:lang w:val="en-US"/>
        </w:rPr>
        <w:tab/>
      </w:r>
      <w:r w:rsidR="0053277C">
        <w:rPr>
          <w:rFonts w:cs="Arial"/>
          <w:szCs w:val="22"/>
          <w:lang w:val="en-US"/>
        </w:rPr>
        <w:t>All consumable to be supplied and installed to the machine</w:t>
      </w:r>
      <w:r w:rsidR="006A4F52">
        <w:rPr>
          <w:rFonts w:cs="Arial"/>
          <w:szCs w:val="22"/>
          <w:lang w:val="en-US"/>
        </w:rPr>
        <w:t>.</w:t>
      </w:r>
    </w:p>
    <w:p w14:paraId="69E5E29A" w14:textId="18E3F4CB" w:rsidR="0086431D" w:rsidRPr="005F341B" w:rsidRDefault="00625655" w:rsidP="007E71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Printer Head </w:t>
      </w:r>
    </w:p>
    <w:p w14:paraId="765118E7" w14:textId="205158BE" w:rsidR="004F1641" w:rsidRDefault="00625655" w:rsidP="002D52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Plotter Ink</w:t>
      </w:r>
      <w:r w:rsidR="00DD71B9">
        <w:rPr>
          <w:rFonts w:ascii="Arial" w:hAnsi="Arial" w:cs="Arial"/>
          <w:lang w:val="en-US"/>
        </w:rPr>
        <w:t>s</w:t>
      </w:r>
    </w:p>
    <w:p w14:paraId="5A6F4CCC" w14:textId="6A1C8029" w:rsidR="00625655" w:rsidRPr="002D5275" w:rsidRDefault="00625655" w:rsidP="002D52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Plotter rollers/Papers</w:t>
      </w:r>
    </w:p>
    <w:sectPr w:rsidR="00625655" w:rsidRPr="002D5275" w:rsidSect="002D5275">
      <w:headerReference w:type="default" r:id="rId8"/>
      <w:pgSz w:w="11906" w:h="16838"/>
      <w:pgMar w:top="1440" w:right="1440" w:bottom="1440" w:left="144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EEBF" w14:textId="77777777" w:rsidR="00D803D0" w:rsidRDefault="00D803D0" w:rsidP="0086431D">
      <w:r>
        <w:separator/>
      </w:r>
    </w:p>
  </w:endnote>
  <w:endnote w:type="continuationSeparator" w:id="0">
    <w:p w14:paraId="286F4150" w14:textId="77777777" w:rsidR="00D803D0" w:rsidRDefault="00D803D0" w:rsidP="0086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34BE" w14:textId="77777777" w:rsidR="00D803D0" w:rsidRDefault="00D803D0" w:rsidP="0086431D">
      <w:r>
        <w:separator/>
      </w:r>
    </w:p>
  </w:footnote>
  <w:footnote w:type="continuationSeparator" w:id="0">
    <w:p w14:paraId="61FEAB18" w14:textId="77777777" w:rsidR="00D803D0" w:rsidRDefault="00D803D0" w:rsidP="0086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682" w:type="dxa"/>
      <w:jc w:val="center"/>
      <w:tblLayout w:type="fixed"/>
      <w:tblLook w:val="04A0" w:firstRow="1" w:lastRow="0" w:firstColumn="1" w:lastColumn="0" w:noHBand="0" w:noVBand="1"/>
    </w:tblPr>
    <w:tblGrid>
      <w:gridCol w:w="1372"/>
      <w:gridCol w:w="1276"/>
      <w:gridCol w:w="2670"/>
      <w:gridCol w:w="1134"/>
      <w:gridCol w:w="1276"/>
      <w:gridCol w:w="1157"/>
      <w:gridCol w:w="1797"/>
    </w:tblGrid>
    <w:tr w:rsidR="002D5275" w:rsidRPr="00481F11" w14:paraId="58211A63" w14:textId="77777777" w:rsidTr="00177B07">
      <w:trPr>
        <w:trHeight w:val="280"/>
        <w:jc w:val="center"/>
      </w:trPr>
      <w:tc>
        <w:tcPr>
          <w:tcW w:w="8885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A8FF"/>
          <w:vAlign w:val="center"/>
          <w:hideMark/>
        </w:tcPr>
        <w:p w14:paraId="0A7ECB0A" w14:textId="24AF3AB6" w:rsidR="002D5275" w:rsidRPr="00072799" w:rsidRDefault="001300C1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SPECIFICATION </w:t>
          </w:r>
        </w:p>
      </w:tc>
      <w:tc>
        <w:tcPr>
          <w:tcW w:w="179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D3FEAD7" w14:textId="77777777" w:rsidR="002D5275" w:rsidRPr="008C2618" w:rsidRDefault="002D5275" w:rsidP="002D5275">
          <w:pPr>
            <w:tabs>
              <w:tab w:val="left" w:pos="720"/>
            </w:tabs>
            <w:spacing w:before="60"/>
            <w:jc w:val="center"/>
            <w:rPr>
              <w:rFonts w:ascii="Calibri" w:hAnsi="Calibri"/>
              <w:sz w:val="2"/>
            </w:rPr>
          </w:pPr>
          <w:r>
            <w:rPr>
              <w:rFonts w:ascii="Calibri" w:hAnsi="Calibri"/>
              <w:noProof/>
              <w:lang w:eastAsia="en-ZA"/>
            </w:rPr>
            <w:drawing>
              <wp:inline distT="0" distB="0" distL="0" distR="0" wp14:anchorId="066CD5CF" wp14:editId="1853267E">
                <wp:extent cx="1002030" cy="437515"/>
                <wp:effectExtent l="0" t="0" r="7620" b="635"/>
                <wp:docPr id="1" name="Picture 1" descr="C:\Users\sdirks.PRA\Documents\ENGINEERING\IRIS\Template\pr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dirks.PRA\Documents\ENGINEERING\IRIS\Template\pr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5275" w:rsidRPr="00481F11" w14:paraId="34F5282A" w14:textId="77777777" w:rsidTr="00177B07">
      <w:trPr>
        <w:trHeight w:val="411"/>
        <w:jc w:val="center"/>
      </w:trPr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FE3178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File Ref</w:t>
          </w:r>
        </w:p>
      </w:tc>
      <w:tc>
        <w:tcPr>
          <w:tcW w:w="50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C727B" w14:textId="496BC7E0" w:rsidR="002D5275" w:rsidRPr="00100503" w:rsidRDefault="001300C1" w:rsidP="002D5275">
          <w:pPr>
            <w:tabs>
              <w:tab w:val="left" w:pos="72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Laminator Spec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80A0C4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Last Edit Date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A44F00" w14:textId="71C05173" w:rsidR="002D5275" w:rsidRPr="00E738CF" w:rsidRDefault="002D5275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fldChar w:fldCharType="begin"/>
          </w:r>
          <w:r w:rsidRPr="00E738CF">
            <w:rPr>
              <w:rFonts w:cs="Arial"/>
              <w:sz w:val="12"/>
              <w:szCs w:val="12"/>
            </w:rPr>
            <w:instrText xml:space="preserve"> DATE  \@ "yyyy-MM-dd"  \* MERGEFORMAT </w:instrText>
          </w:r>
          <w:r w:rsidRPr="00E738CF">
            <w:rPr>
              <w:rFonts w:cs="Arial"/>
              <w:sz w:val="12"/>
              <w:szCs w:val="12"/>
            </w:rPr>
            <w:fldChar w:fldCharType="separate"/>
          </w:r>
          <w:r w:rsidR="00E7660A" w:rsidRPr="00E7660A">
            <w:rPr>
              <w:rFonts w:eastAsia="Calibri" w:cs="Arial"/>
              <w:noProof/>
              <w:sz w:val="12"/>
              <w:szCs w:val="12"/>
            </w:rPr>
            <w:t>2026-02-19</w:t>
          </w:r>
          <w:r w:rsidRPr="00E738CF">
            <w:rPr>
              <w:rFonts w:cs="Arial"/>
              <w:sz w:val="12"/>
              <w:szCs w:val="12"/>
            </w:rPr>
            <w:fldChar w:fldCharType="end"/>
          </w:r>
        </w:p>
      </w:tc>
      <w:tc>
        <w:tcPr>
          <w:tcW w:w="179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779E00" w14:textId="77777777" w:rsidR="002D5275" w:rsidRPr="00481F11" w:rsidRDefault="002D5275" w:rsidP="002D5275">
          <w:pPr>
            <w:rPr>
              <w:rFonts w:ascii="Calibri" w:hAnsi="Calibri"/>
            </w:rPr>
          </w:pPr>
        </w:p>
      </w:tc>
    </w:tr>
    <w:tr w:rsidR="002D5275" w:rsidRPr="00481F11" w14:paraId="13E84F58" w14:textId="77777777" w:rsidTr="00177B07">
      <w:trPr>
        <w:trHeight w:val="303"/>
        <w:jc w:val="center"/>
      </w:trPr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1295A5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Creation Date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3B23C" w14:textId="4B863957" w:rsidR="002D5275" w:rsidRPr="00E738CF" w:rsidRDefault="002D5275" w:rsidP="002D5275">
          <w:pPr>
            <w:tabs>
              <w:tab w:val="left" w:pos="720"/>
            </w:tabs>
            <w:spacing w:before="60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fldChar w:fldCharType="begin"/>
          </w:r>
          <w:r w:rsidRPr="00E738CF">
            <w:rPr>
              <w:rFonts w:cs="Arial"/>
              <w:sz w:val="12"/>
              <w:szCs w:val="12"/>
            </w:rPr>
            <w:instrText xml:space="preserve"> CREATEDATE  \@ "yyyy-MM-dd"  \* MERGEFORMAT </w:instrText>
          </w:r>
          <w:r w:rsidRPr="00E738CF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20</w:t>
          </w:r>
          <w:r w:rsidR="001300C1">
            <w:rPr>
              <w:rFonts w:cs="Arial"/>
              <w:noProof/>
              <w:sz w:val="12"/>
              <w:szCs w:val="12"/>
            </w:rPr>
            <w:t>20</w:t>
          </w:r>
          <w:r>
            <w:rPr>
              <w:rFonts w:cs="Arial"/>
              <w:noProof/>
              <w:sz w:val="12"/>
              <w:szCs w:val="12"/>
            </w:rPr>
            <w:t>-10-16</w:t>
          </w:r>
          <w:r w:rsidRPr="00E738CF">
            <w:rPr>
              <w:rFonts w:cs="Arial"/>
              <w:sz w:val="12"/>
              <w:szCs w:val="12"/>
            </w:rPr>
            <w:fldChar w:fldCharType="end"/>
          </w:r>
        </w:p>
      </w:tc>
      <w:tc>
        <w:tcPr>
          <w:tcW w:w="38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D972BA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Author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13159F" w14:textId="127226C3" w:rsidR="002D5275" w:rsidRPr="00E738CF" w:rsidRDefault="001300C1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JM Twala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315C9D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 xml:space="preserve">Page </w:t>
          </w:r>
          <w:r w:rsidRPr="00E738CF">
            <w:rPr>
              <w:rFonts w:cs="Arial"/>
              <w:sz w:val="12"/>
              <w:szCs w:val="12"/>
            </w:rPr>
            <w:fldChar w:fldCharType="begin"/>
          </w:r>
          <w:r w:rsidRPr="00E738CF">
            <w:rPr>
              <w:rFonts w:cs="Arial"/>
              <w:sz w:val="12"/>
              <w:szCs w:val="12"/>
            </w:rPr>
            <w:instrText xml:space="preserve"> PAGE  \* Arabic  \* MERGEFORMAT </w:instrText>
          </w:r>
          <w:r w:rsidRPr="00E738CF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3</w:t>
          </w:r>
          <w:r w:rsidRPr="00E738CF">
            <w:rPr>
              <w:rFonts w:cs="Arial"/>
              <w:sz w:val="12"/>
              <w:szCs w:val="12"/>
            </w:rPr>
            <w:fldChar w:fldCharType="end"/>
          </w:r>
          <w:r w:rsidRPr="00E738CF">
            <w:rPr>
              <w:rFonts w:cs="Arial"/>
              <w:sz w:val="12"/>
              <w:szCs w:val="12"/>
            </w:rPr>
            <w:t xml:space="preserve"> of </w:t>
          </w:r>
          <w:fldSimple w:instr=" NUMPAGES  \* Arabic  \* MERGEFORMAT ">
            <w:r w:rsidRPr="00100503">
              <w:rPr>
                <w:rFonts w:cs="Arial"/>
                <w:noProof/>
                <w:sz w:val="12"/>
                <w:szCs w:val="12"/>
              </w:rPr>
              <w:t>3</w:t>
            </w:r>
          </w:fldSimple>
        </w:p>
      </w:tc>
      <w:tc>
        <w:tcPr>
          <w:tcW w:w="179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CBAC36F" w14:textId="77777777" w:rsidR="002D5275" w:rsidRPr="00481F11" w:rsidRDefault="002D5275" w:rsidP="002D5275">
          <w:pPr>
            <w:rPr>
              <w:rFonts w:ascii="Calibri" w:hAnsi="Calibri"/>
            </w:rPr>
          </w:pPr>
        </w:p>
      </w:tc>
    </w:tr>
    <w:tr w:rsidR="002D5275" w:rsidRPr="00481F11" w14:paraId="0CB1240B" w14:textId="77777777" w:rsidTr="00177B07">
      <w:trPr>
        <w:trHeight w:val="303"/>
        <w:jc w:val="center"/>
      </w:trPr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38AA86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Doc No. &amp; Version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2C26D" w14:textId="7747C2CC" w:rsidR="002D5275" w:rsidRPr="00E738CF" w:rsidRDefault="007B493B" w:rsidP="002D5275">
          <w:pPr>
            <w:tabs>
              <w:tab w:val="left" w:pos="720"/>
            </w:tabs>
            <w:spacing w:before="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#</w:t>
          </w:r>
          <w:r w:rsidR="001300C1">
            <w:rPr>
              <w:rFonts w:cs="Arial"/>
              <w:sz w:val="12"/>
              <w:szCs w:val="12"/>
            </w:rPr>
            <w:t>5</w:t>
          </w:r>
          <w:r w:rsidR="00625655">
            <w:rPr>
              <w:rFonts w:cs="Arial"/>
              <w:sz w:val="12"/>
              <w:szCs w:val="12"/>
            </w:rPr>
            <w:t>60963</w:t>
          </w:r>
          <w:r w:rsidR="001300C1">
            <w:rPr>
              <w:rFonts w:cs="Arial"/>
              <w:sz w:val="12"/>
              <w:szCs w:val="12"/>
            </w:rPr>
            <w:t xml:space="preserve"> &amp; V1</w:t>
          </w:r>
        </w:p>
      </w:tc>
      <w:tc>
        <w:tcPr>
          <w:tcW w:w="26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619B115" w14:textId="4B88495E" w:rsidR="002D5275" w:rsidRPr="00E738CF" w:rsidRDefault="006A4F52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Technical</w:t>
          </w:r>
          <w:r w:rsidR="002D5275">
            <w:rPr>
              <w:rFonts w:cs="Arial"/>
              <w:sz w:val="12"/>
              <w:szCs w:val="12"/>
            </w:rPr>
            <w:t xml:space="preserve"> Manager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2AB322A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Recommended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B076A9" w14:textId="7FBEE269" w:rsidR="002D5275" w:rsidRPr="00E738CF" w:rsidRDefault="001300C1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V Rhoode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C4FF8C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1797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00A8FF"/>
          <w:vAlign w:val="center"/>
          <w:hideMark/>
        </w:tcPr>
        <w:p w14:paraId="088C62A6" w14:textId="77777777" w:rsidR="002D5275" w:rsidRPr="00E738CF" w:rsidRDefault="002D5275" w:rsidP="002D5275">
          <w:pPr>
            <w:jc w:val="center"/>
            <w:rPr>
              <w:rFonts w:cs="Arial"/>
              <w:sz w:val="16"/>
              <w:szCs w:val="16"/>
            </w:rPr>
          </w:pPr>
          <w:r w:rsidRPr="00E738CF">
            <w:rPr>
              <w:rFonts w:cs="Arial"/>
              <w:sz w:val="16"/>
              <w:szCs w:val="16"/>
            </w:rPr>
            <w:t>PRASA Rail Engineering Services</w:t>
          </w:r>
        </w:p>
      </w:tc>
    </w:tr>
    <w:tr w:rsidR="002D5275" w:rsidRPr="00481F11" w14:paraId="1E56E3C6" w14:textId="77777777" w:rsidTr="00177B07">
      <w:trPr>
        <w:trHeight w:val="303"/>
        <w:jc w:val="center"/>
      </w:trPr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C07425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Volume &amp; Edition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34611F" w14:textId="77777777" w:rsidR="002D5275" w:rsidRPr="00E738CF" w:rsidRDefault="002D5275" w:rsidP="002D5275">
          <w:pPr>
            <w:tabs>
              <w:tab w:val="left" w:pos="720"/>
            </w:tabs>
            <w:spacing w:before="60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Vol. 1, 1</w:t>
          </w:r>
          <w:r w:rsidRPr="00E738CF">
            <w:rPr>
              <w:rFonts w:cs="Arial"/>
              <w:sz w:val="12"/>
              <w:szCs w:val="12"/>
              <w:vertAlign w:val="superscript"/>
            </w:rPr>
            <w:t>st</w:t>
          </w:r>
          <w:r w:rsidRPr="00E738CF">
            <w:rPr>
              <w:rFonts w:cs="Arial"/>
              <w:sz w:val="12"/>
              <w:szCs w:val="12"/>
            </w:rPr>
            <w:t xml:space="preserve"> </w:t>
          </w:r>
          <w:r>
            <w:rPr>
              <w:rFonts w:cs="Arial"/>
              <w:sz w:val="12"/>
              <w:szCs w:val="12"/>
            </w:rPr>
            <w:t xml:space="preserve"> Addison</w:t>
          </w:r>
        </w:p>
      </w:tc>
      <w:tc>
        <w:tcPr>
          <w:tcW w:w="267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7EA625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Maintenance Engineering Manager </w:t>
          </w: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B8E003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right"/>
            <w:rPr>
              <w:rFonts w:cs="Arial"/>
              <w:sz w:val="12"/>
              <w:szCs w:val="12"/>
            </w:rPr>
          </w:pPr>
          <w:r w:rsidRPr="00E738CF">
            <w:rPr>
              <w:rFonts w:cs="Arial"/>
              <w:sz w:val="12"/>
              <w:szCs w:val="12"/>
            </w:rPr>
            <w:t>Approver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6B59E" w14:textId="77777777" w:rsidR="002D5275" w:rsidRPr="00591183" w:rsidRDefault="002D5275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  <w:r w:rsidRPr="00591183">
            <w:rPr>
              <w:rFonts w:cs="Arial"/>
              <w:sz w:val="12"/>
              <w:szCs w:val="12"/>
            </w:rPr>
            <w:t>A.</w:t>
          </w:r>
          <w:r>
            <w:rPr>
              <w:rFonts w:cs="Arial"/>
              <w:sz w:val="12"/>
              <w:szCs w:val="12"/>
            </w:rPr>
            <w:t xml:space="preserve"> </w:t>
          </w:r>
          <w:r w:rsidRPr="00591183">
            <w:rPr>
              <w:rFonts w:cs="Arial"/>
              <w:sz w:val="12"/>
              <w:szCs w:val="12"/>
            </w:rPr>
            <w:t>Bani</w:t>
          </w:r>
        </w:p>
      </w:tc>
      <w:tc>
        <w:tcPr>
          <w:tcW w:w="11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226922" w14:textId="77777777" w:rsidR="002D5275" w:rsidRPr="00E738CF" w:rsidRDefault="002D5275" w:rsidP="002D5275">
          <w:pPr>
            <w:tabs>
              <w:tab w:val="left" w:pos="720"/>
            </w:tabs>
            <w:spacing w:before="60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179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A8FF"/>
          <w:vAlign w:val="center"/>
          <w:hideMark/>
        </w:tcPr>
        <w:p w14:paraId="5428050F" w14:textId="77777777" w:rsidR="002D5275" w:rsidRPr="00481F11" w:rsidRDefault="002D5275" w:rsidP="002D5275">
          <w:pPr>
            <w:rPr>
              <w:rFonts w:ascii="Calibri" w:hAnsi="Calibri"/>
            </w:rPr>
          </w:pPr>
        </w:p>
      </w:tc>
    </w:tr>
  </w:tbl>
  <w:p w14:paraId="21C48B9D" w14:textId="0864E923" w:rsidR="002D5275" w:rsidRDefault="002D5275" w:rsidP="002D5275">
    <w:pPr>
      <w:pStyle w:val="Header"/>
      <w:tabs>
        <w:tab w:val="clear" w:pos="4680"/>
        <w:tab w:val="clear" w:pos="9360"/>
        <w:tab w:val="left" w:pos="3885"/>
      </w:tabs>
      <w:spacing w:line="240" w:lineRule="auto"/>
      <w:ind w:left="0" w:firstLine="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704"/>
    <w:multiLevelType w:val="hybridMultilevel"/>
    <w:tmpl w:val="06ECCB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794E"/>
    <w:multiLevelType w:val="hybridMultilevel"/>
    <w:tmpl w:val="FB4C17D0"/>
    <w:lvl w:ilvl="0" w:tplc="1C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39EF3E9E"/>
    <w:multiLevelType w:val="multilevel"/>
    <w:tmpl w:val="CE0407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D05330A"/>
    <w:multiLevelType w:val="hybridMultilevel"/>
    <w:tmpl w:val="74B24A8E"/>
    <w:lvl w:ilvl="0" w:tplc="1C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E0B7540"/>
    <w:multiLevelType w:val="hybridMultilevel"/>
    <w:tmpl w:val="DD5CBB1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4E0358"/>
    <w:multiLevelType w:val="hybridMultilevel"/>
    <w:tmpl w:val="EDB000D6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6" w15:restartNumberingAfterBreak="0">
    <w:nsid w:val="5A2047FC"/>
    <w:multiLevelType w:val="multilevel"/>
    <w:tmpl w:val="A9BC0B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5C7B338A"/>
    <w:multiLevelType w:val="multilevel"/>
    <w:tmpl w:val="F140C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5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F01265"/>
    <w:multiLevelType w:val="hybridMultilevel"/>
    <w:tmpl w:val="155CDA30"/>
    <w:lvl w:ilvl="0" w:tplc="9D2662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73B83"/>
    <w:multiLevelType w:val="hybridMultilevel"/>
    <w:tmpl w:val="6658BD5C"/>
    <w:lvl w:ilvl="0" w:tplc="A0F42A4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3690FBC"/>
    <w:multiLevelType w:val="multilevel"/>
    <w:tmpl w:val="DC0C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11" w15:restartNumberingAfterBreak="0">
    <w:nsid w:val="66D55128"/>
    <w:multiLevelType w:val="hybridMultilevel"/>
    <w:tmpl w:val="7C565844"/>
    <w:lvl w:ilvl="0" w:tplc="BBB22F24">
      <w:start w:val="1"/>
      <w:numFmt w:val="decimal"/>
      <w:lvlText w:val="P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D2503"/>
    <w:multiLevelType w:val="hybridMultilevel"/>
    <w:tmpl w:val="5D54E7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F253DA"/>
    <w:multiLevelType w:val="hybridMultilevel"/>
    <w:tmpl w:val="184EE596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76604517">
    <w:abstractNumId w:val="7"/>
  </w:num>
  <w:num w:numId="2" w16cid:durableId="1833066022">
    <w:abstractNumId w:val="12"/>
  </w:num>
  <w:num w:numId="3" w16cid:durableId="204683941">
    <w:abstractNumId w:val="11"/>
  </w:num>
  <w:num w:numId="4" w16cid:durableId="1382830342">
    <w:abstractNumId w:val="6"/>
  </w:num>
  <w:num w:numId="5" w16cid:durableId="777869513">
    <w:abstractNumId w:val="1"/>
  </w:num>
  <w:num w:numId="6" w16cid:durableId="205485185">
    <w:abstractNumId w:val="10"/>
  </w:num>
  <w:num w:numId="7" w16cid:durableId="1013844293">
    <w:abstractNumId w:val="9"/>
  </w:num>
  <w:num w:numId="8" w16cid:durableId="884607560">
    <w:abstractNumId w:val="4"/>
  </w:num>
  <w:num w:numId="9" w16cid:durableId="722944513">
    <w:abstractNumId w:val="3"/>
  </w:num>
  <w:num w:numId="10" w16cid:durableId="992218872">
    <w:abstractNumId w:val="8"/>
  </w:num>
  <w:num w:numId="11" w16cid:durableId="2085060575">
    <w:abstractNumId w:val="2"/>
  </w:num>
  <w:num w:numId="12" w16cid:durableId="1198197836">
    <w:abstractNumId w:val="13"/>
  </w:num>
  <w:num w:numId="13" w16cid:durableId="786777631">
    <w:abstractNumId w:val="0"/>
  </w:num>
  <w:num w:numId="14" w16cid:durableId="113083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AB"/>
    <w:rsid w:val="00065C97"/>
    <w:rsid w:val="000754DF"/>
    <w:rsid w:val="00082059"/>
    <w:rsid w:val="000C0F4E"/>
    <w:rsid w:val="001300C1"/>
    <w:rsid w:val="0014038E"/>
    <w:rsid w:val="001918ED"/>
    <w:rsid w:val="001E4985"/>
    <w:rsid w:val="001E4E1B"/>
    <w:rsid w:val="001F6349"/>
    <w:rsid w:val="002375BA"/>
    <w:rsid w:val="002D5275"/>
    <w:rsid w:val="002E6FE9"/>
    <w:rsid w:val="002F7B14"/>
    <w:rsid w:val="00300AAB"/>
    <w:rsid w:val="00387608"/>
    <w:rsid w:val="003B7ACE"/>
    <w:rsid w:val="00442CF1"/>
    <w:rsid w:val="0047682E"/>
    <w:rsid w:val="004B7AF6"/>
    <w:rsid w:val="004F1641"/>
    <w:rsid w:val="00501C7D"/>
    <w:rsid w:val="00531048"/>
    <w:rsid w:val="0053277C"/>
    <w:rsid w:val="00533B13"/>
    <w:rsid w:val="00575155"/>
    <w:rsid w:val="00593DC4"/>
    <w:rsid w:val="005F0472"/>
    <w:rsid w:val="005F341B"/>
    <w:rsid w:val="00616D17"/>
    <w:rsid w:val="00624EAB"/>
    <w:rsid w:val="00625655"/>
    <w:rsid w:val="00653F79"/>
    <w:rsid w:val="006830D1"/>
    <w:rsid w:val="00683663"/>
    <w:rsid w:val="006A4F52"/>
    <w:rsid w:val="006E0E0B"/>
    <w:rsid w:val="0077066C"/>
    <w:rsid w:val="00796D31"/>
    <w:rsid w:val="007B3C28"/>
    <w:rsid w:val="007B493B"/>
    <w:rsid w:val="007E7181"/>
    <w:rsid w:val="007F0358"/>
    <w:rsid w:val="008015D9"/>
    <w:rsid w:val="00841DCA"/>
    <w:rsid w:val="00857958"/>
    <w:rsid w:val="0086431D"/>
    <w:rsid w:val="00885FBA"/>
    <w:rsid w:val="0098675D"/>
    <w:rsid w:val="00A36F3A"/>
    <w:rsid w:val="00A87208"/>
    <w:rsid w:val="00AE4ACC"/>
    <w:rsid w:val="00B06721"/>
    <w:rsid w:val="00B54BA5"/>
    <w:rsid w:val="00B91CC0"/>
    <w:rsid w:val="00C37606"/>
    <w:rsid w:val="00C92FF3"/>
    <w:rsid w:val="00CB2FD5"/>
    <w:rsid w:val="00D15DB7"/>
    <w:rsid w:val="00D803D0"/>
    <w:rsid w:val="00DB263E"/>
    <w:rsid w:val="00DB5ED7"/>
    <w:rsid w:val="00DD71B9"/>
    <w:rsid w:val="00E07688"/>
    <w:rsid w:val="00E5748C"/>
    <w:rsid w:val="00E7660A"/>
    <w:rsid w:val="00EC1943"/>
    <w:rsid w:val="00F31C71"/>
    <w:rsid w:val="00F825CE"/>
    <w:rsid w:val="00FB423D"/>
    <w:rsid w:val="00F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E274"/>
  <w15:docId w15:val="{32065D2D-F3F6-48BA-9874-023C885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00" w:beforeAutospacing="1" w:after="100" w:afterAutospacing="1" w:line="360" w:lineRule="auto"/>
        <w:ind w:left="1418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AB"/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3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D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DC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DC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C4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Standard Paragraph,normal,List Paragraph 1"/>
    <w:basedOn w:val="Normal"/>
    <w:link w:val="ListParagraphChar"/>
    <w:qFormat/>
    <w:rsid w:val="008015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ListParagraphChar">
    <w:name w:val="List Paragraph Char"/>
    <w:aliases w:val="Standard Paragraph Char,normal Char,List Paragraph 1 Char"/>
    <w:basedOn w:val="DefaultParagraphFont"/>
    <w:link w:val="ListParagraph"/>
    <w:locked/>
    <w:rsid w:val="008015D9"/>
  </w:style>
  <w:style w:type="character" w:customStyle="1" w:styleId="Heading1Char">
    <w:name w:val="Heading 1 Char"/>
    <w:basedOn w:val="DefaultParagraphFont"/>
    <w:link w:val="Heading1"/>
    <w:uiPriority w:val="9"/>
    <w:rsid w:val="00864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31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31D"/>
    <w:rPr>
      <w:rFonts w:ascii="Arial" w:eastAsia="Times New Roman" w:hAnsi="Arial" w:cs="Times New Roman"/>
      <w:szCs w:val="20"/>
      <w:lang w:val="en-GB"/>
    </w:rPr>
  </w:style>
  <w:style w:type="table" w:customStyle="1" w:styleId="TableGrid1">
    <w:name w:val="Table Grid1"/>
    <w:basedOn w:val="TableNormal"/>
    <w:uiPriority w:val="39"/>
    <w:rsid w:val="002D5275"/>
    <w:pPr>
      <w:spacing w:before="0" w:beforeAutospacing="0" w:after="0" w:afterAutospacing="0" w:line="240" w:lineRule="auto"/>
      <w:ind w:left="0" w:firstLine="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4F8E3CC-9B67-43D7-8BD5-B1C32159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1895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M. Twala [CT]</dc:creator>
  <cp:lastModifiedBy>Bonwell Bhungane Booi</cp:lastModifiedBy>
  <cp:revision>2</cp:revision>
  <dcterms:created xsi:type="dcterms:W3CDTF">2026-02-19T08:16:00Z</dcterms:created>
  <dcterms:modified xsi:type="dcterms:W3CDTF">2026-02-19T08:16:00Z</dcterms:modified>
</cp:coreProperties>
</file>