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BB" w:rsidRDefault="008B21BB" w:rsidP="008B21BB">
      <w:pPr>
        <w:spacing w:after="0" w:line="300" w:lineRule="atLeast"/>
        <w:outlineLvl w:val="3"/>
        <w:rPr>
          <w:rFonts w:ascii="Arial" w:eastAsia="Times New Roman" w:hAnsi="Arial" w:cs="Arial"/>
          <w:b/>
          <w:bCs/>
          <w:color w:val="000000"/>
          <w:sz w:val="30"/>
          <w:szCs w:val="30"/>
          <w:lang w:eastAsia="en-ZA"/>
        </w:rPr>
      </w:pPr>
    </w:p>
    <w:p w:rsidR="008B21BB" w:rsidRDefault="00C01AB7" w:rsidP="00C01AB7">
      <w:pPr>
        <w:spacing w:after="0" w:line="300" w:lineRule="atLeast"/>
        <w:jc w:val="center"/>
        <w:outlineLvl w:val="3"/>
        <w:rPr>
          <w:rFonts w:ascii="Arial" w:eastAsia="Times New Roman" w:hAnsi="Arial" w:cs="Arial"/>
          <w:b/>
          <w:bCs/>
          <w:color w:val="000000"/>
          <w:sz w:val="30"/>
          <w:szCs w:val="30"/>
          <w:lang w:eastAsia="en-ZA"/>
        </w:rPr>
      </w:pPr>
      <w:r>
        <w:rPr>
          <w:noProof/>
          <w:lang w:eastAsia="en-ZA"/>
        </w:rPr>
        <w:drawing>
          <wp:inline distT="0" distB="0" distL="0" distR="0" wp14:anchorId="42E96975" wp14:editId="0F7F7A4F">
            <wp:extent cx="3119755" cy="9810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19780" cy="981083"/>
                    </a:xfrm>
                    <a:prstGeom prst="rect">
                      <a:avLst/>
                    </a:prstGeom>
                  </pic:spPr>
                </pic:pic>
              </a:graphicData>
            </a:graphic>
          </wp:inline>
        </w:drawing>
      </w:r>
    </w:p>
    <w:p w:rsidR="00EC321E" w:rsidRPr="00EC321E" w:rsidRDefault="00EC321E" w:rsidP="00C01AB7">
      <w:pPr>
        <w:spacing w:after="0" w:line="300" w:lineRule="atLeast"/>
        <w:jc w:val="center"/>
        <w:outlineLvl w:val="3"/>
        <w:rPr>
          <w:rFonts w:ascii="Arial" w:eastAsia="Times New Roman" w:hAnsi="Arial" w:cs="Arial"/>
          <w:b/>
          <w:bCs/>
          <w:color w:val="000000"/>
          <w:sz w:val="20"/>
          <w:szCs w:val="20"/>
          <w:lang w:eastAsia="en-ZA"/>
        </w:rPr>
      </w:pPr>
    </w:p>
    <w:p w:rsidR="00F36BBC" w:rsidRPr="00F36BBC" w:rsidRDefault="00F36BBC" w:rsidP="00F36BBC">
      <w:pPr>
        <w:pStyle w:val="Heading4"/>
        <w:spacing w:before="0" w:beforeAutospacing="0" w:after="0" w:afterAutospacing="0" w:line="300" w:lineRule="atLeast"/>
        <w:jc w:val="center"/>
        <w:rPr>
          <w:rFonts w:ascii="Arial" w:hAnsi="Arial" w:cs="Arial"/>
          <w:color w:val="000000"/>
          <w:sz w:val="20"/>
          <w:szCs w:val="20"/>
        </w:rPr>
      </w:pPr>
      <w:hyperlink r:id="rId5" w:history="1">
        <w:r w:rsidRPr="00F36BBC">
          <w:rPr>
            <w:rStyle w:val="Hyperlink"/>
            <w:rFonts w:ascii="Arial" w:hAnsi="Arial" w:cs="Arial"/>
            <w:color w:val="503A5D"/>
            <w:sz w:val="20"/>
            <w:szCs w:val="20"/>
          </w:rPr>
          <w:t>QUOTATION 54/2022: FIRE FIGHTING WATER INFRASTRUCTURE – REPLACEMENT OF PVC PIPING WITH STEEL PIPE, CALLIE DE WET</w:t>
        </w:r>
      </w:hyperlink>
    </w:p>
    <w:p w:rsidR="00F36BBC" w:rsidRDefault="00F36BBC" w:rsidP="00F36BBC">
      <w:pPr>
        <w:pStyle w:val="docmandocumentdetails"/>
        <w:pBdr>
          <w:top w:val="single" w:sz="6" w:space="4" w:color="009BA9"/>
          <w:bottom w:val="single" w:sz="6" w:space="4" w:color="009BA9"/>
        </w:pBdr>
        <w:spacing w:after="150" w:afterAutospacing="0"/>
        <w:jc w:val="center"/>
        <w:rPr>
          <w:rFonts w:ascii="Arial" w:hAnsi="Arial" w:cs="Arial"/>
          <w:color w:val="000000"/>
          <w:sz w:val="18"/>
          <w:szCs w:val="18"/>
        </w:rPr>
      </w:pPr>
      <w:r>
        <w:rPr>
          <w:rStyle w:val="created-on-label"/>
          <w:rFonts w:ascii="Arial" w:hAnsi="Arial" w:cs="Arial"/>
          <w:color w:val="000000"/>
          <w:sz w:val="18"/>
          <w:szCs w:val="18"/>
        </w:rPr>
        <w:t>Published on 23 September 2022</w:t>
      </w:r>
    </w:p>
    <w:p w:rsidR="00F36BBC" w:rsidRDefault="00F36BBC" w:rsidP="00F36BBC">
      <w:pPr>
        <w:pStyle w:val="NormalWeb"/>
        <w:spacing w:before="0" w:beforeAutospacing="0" w:after="150" w:afterAutospacing="0"/>
        <w:rPr>
          <w:rFonts w:ascii="Arial" w:hAnsi="Arial" w:cs="Arial"/>
          <w:color w:val="000000"/>
          <w:sz w:val="20"/>
          <w:szCs w:val="20"/>
        </w:rPr>
      </w:pPr>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Tenders are hereby requested for the FIRE FIGHTING WATER INFRASTRUCTURE – REPLACEMENT OF PVC PIPING WITH STEEL PIPE, CALLIE DE WET as specified in the bid document. Completed Bids, in sealed envelopes, clearly marked </w:t>
      </w:r>
      <w:r>
        <w:rPr>
          <w:rStyle w:val="Strong"/>
          <w:rFonts w:ascii="Arial" w:hAnsi="Arial" w:cs="Arial"/>
          <w:color w:val="000000"/>
          <w:sz w:val="20"/>
          <w:szCs w:val="20"/>
        </w:rPr>
        <w:t>“QUOTATION 54/2022: FIRE FIGHTING WATER INFRASTRUCTURE – REPLACEMENT OF PVC PIPING WITH STEEL PIPE, CALLIE DE WET” </w:t>
      </w:r>
      <w:r>
        <w:rPr>
          <w:rFonts w:ascii="Arial" w:hAnsi="Arial" w:cs="Arial"/>
          <w:color w:val="000000"/>
          <w:sz w:val="20"/>
          <w:szCs w:val="20"/>
        </w:rPr>
        <w:t>should be placed in the tender box, at the Langeberg Municipal Office, 28 Main Road, Ashton, not later than </w:t>
      </w:r>
      <w:r>
        <w:rPr>
          <w:rStyle w:val="Strong"/>
          <w:rFonts w:ascii="Arial" w:hAnsi="Arial" w:cs="Arial"/>
          <w:color w:val="000000"/>
          <w:sz w:val="20"/>
          <w:szCs w:val="20"/>
        </w:rPr>
        <w:t>12:00 on 07 OCTOBER  2022 </w:t>
      </w:r>
      <w:r>
        <w:rPr>
          <w:rFonts w:ascii="Arial" w:hAnsi="Arial" w:cs="Arial"/>
          <w:color w:val="000000"/>
          <w:sz w:val="20"/>
          <w:szCs w:val="20"/>
        </w:rPr>
        <w:t>when the Bids will be opened in public. Late, faxed or e-mailed tenders will not be considered.</w:t>
      </w:r>
    </w:p>
    <w:p w:rsidR="00F36BBC" w:rsidRDefault="00F36BBC" w:rsidP="00F36BBC">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PLEASE NOTE:</w:t>
      </w:r>
    </w:p>
    <w:p w:rsidR="00F36BBC" w:rsidRDefault="00F36BBC" w:rsidP="00F36BBC">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A COMPULSORY CLARIFICATIONS MEETING WILL BE HELD ON 28 SEPTEMBER  2022, 14h00 AT CALLIE DE WET SPORTSGROUND, CHURCH STREET, ROBERTSON </w:t>
      </w:r>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The official Bid document must be fully completed in black ink, all pages must be submitted and the document should preferably be bound.</w:t>
      </w:r>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Supporting documents must be submitted separately and must be stapled or bound.</w:t>
      </w:r>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Only goods and services applicable to local production and content will be considered.</w:t>
      </w:r>
    </w:p>
    <w:p w:rsidR="00F36BBC" w:rsidRDefault="00F36BBC" w:rsidP="00F36BBC">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Preferential Procurement Regulations, 2011, Regulation 9. (1) and 9. (3) make provision for the promotion of local production and content. Local production content applicable to designated sectors of construction.</w:t>
      </w:r>
    </w:p>
    <w:p w:rsidR="00F36BBC" w:rsidRDefault="00F36BBC" w:rsidP="00F36BBC">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 </w:t>
      </w:r>
    </w:p>
    <w:p w:rsidR="00F36BBC" w:rsidRDefault="00F36BBC" w:rsidP="00F36BBC">
      <w:pPr>
        <w:pStyle w:val="NormalWeb"/>
        <w:spacing w:before="0" w:beforeAutospacing="0" w:after="150" w:afterAutospacing="0"/>
        <w:rPr>
          <w:rStyle w:val="Strong"/>
          <w:rFonts w:ascii="Arial" w:hAnsi="Arial" w:cs="Arial"/>
          <w:color w:val="000000"/>
          <w:sz w:val="20"/>
          <w:szCs w:val="20"/>
        </w:rPr>
      </w:pPr>
      <w:r>
        <w:rPr>
          <w:rStyle w:val="Strong"/>
          <w:rFonts w:ascii="Arial" w:hAnsi="Arial" w:cs="Arial"/>
          <w:color w:val="000000"/>
          <w:sz w:val="20"/>
          <w:szCs w:val="20"/>
        </w:rPr>
        <w:t>Only goods, works and services with a stipulated minimum threshold as applicable for local production and content will be considered. The South African Bureau of Standards approved, Technical Specification Number (SATS 1286:2011) will be used to calculate local content.</w:t>
      </w:r>
    </w:p>
    <w:p w:rsidR="00F36BBC" w:rsidRDefault="00F36BBC" w:rsidP="00F36BBC">
      <w:pPr>
        <w:pStyle w:val="NormalWeb"/>
        <w:spacing w:before="0" w:beforeAutospacing="0" w:after="150" w:afterAutospacing="0"/>
        <w:rPr>
          <w:rFonts w:ascii="Arial" w:hAnsi="Arial" w:cs="Arial"/>
          <w:color w:val="000000"/>
          <w:sz w:val="20"/>
          <w:szCs w:val="20"/>
        </w:rPr>
      </w:pP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3221"/>
        <w:gridCol w:w="3648"/>
        <w:gridCol w:w="2157"/>
      </w:tblGrid>
      <w:tr w:rsidR="00F36BBC" w:rsidTr="00F36BB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Industry/sector/subsector</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Minimum Threshold for Local Content</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 of local content (3-5 years) Practice</w:t>
            </w:r>
          </w:p>
        </w:tc>
      </w:tr>
      <w:tr w:rsidR="00F36BBC" w:rsidTr="00F36BB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STEEL VALUE-ADDED PRODUCTS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FASTENERS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100%</w:t>
            </w:r>
          </w:p>
        </w:tc>
      </w:tr>
      <w:tr w:rsidR="00F36BBC" w:rsidTr="00F36BB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STEEL VALUE-ADDED PRODUCTS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DUCTING AND STRUCTURAL PIPEWORK</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100%</w:t>
            </w:r>
          </w:p>
        </w:tc>
      </w:tr>
      <w:tr w:rsidR="00F36BBC" w:rsidTr="00F36BB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STEEL VALUE-ADDED PRODUCTS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GUTTERS, DOWNPIPES &amp; LAUDERS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100%</w:t>
            </w:r>
          </w:p>
        </w:tc>
      </w:tr>
      <w:tr w:rsidR="00F36BBC" w:rsidTr="00F36BB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STEEL VALUE-ADDED PRODUCTS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JOINING/CONNECTING COMPONENTS</w:t>
            </w:r>
          </w:p>
        </w:tc>
        <w:tc>
          <w:tcPr>
            <w:tcW w:w="0" w:type="auto"/>
            <w:tcBorders>
              <w:top w:val="single" w:sz="6" w:space="0" w:color="DDDDDD"/>
              <w:left w:val="nil"/>
              <w:bottom w:val="nil"/>
              <w:right w:val="nil"/>
            </w:tcBorders>
            <w:shd w:val="clear" w:color="auto" w:fill="auto"/>
            <w:vAlign w:val="center"/>
            <w:hideMark/>
          </w:tcPr>
          <w:p w:rsidR="00F36BBC" w:rsidRDefault="00F36BBC">
            <w:pPr>
              <w:pStyle w:val="NormalWeb"/>
              <w:spacing w:before="0" w:beforeAutospacing="0" w:after="0" w:afterAutospacing="0"/>
              <w:textAlignment w:val="center"/>
            </w:pPr>
            <w:r>
              <w:rPr>
                <w:rStyle w:val="Strong"/>
              </w:rPr>
              <w:t>100%</w:t>
            </w:r>
          </w:p>
        </w:tc>
      </w:tr>
    </w:tbl>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 xml:space="preserve">The lowest, or any tender, will not necessarily be accepted and council reserves the right to accept any tender. Tenders will be evaluated according to the Council’s Supply Chain Management Policy </w:t>
      </w:r>
      <w:r>
        <w:rPr>
          <w:rFonts w:ascii="Arial" w:hAnsi="Arial" w:cs="Arial"/>
          <w:color w:val="000000"/>
          <w:sz w:val="20"/>
          <w:szCs w:val="20"/>
        </w:rPr>
        <w:lastRenderedPageBreak/>
        <w:t>and the 80/20 Preference Point system. The Supply Chain Management Policy can be viewed at Municipal Offices or </w:t>
      </w:r>
      <w:hyperlink r:id="rId6" w:history="1">
        <w:r>
          <w:rPr>
            <w:rStyle w:val="Hyperlink"/>
            <w:rFonts w:ascii="Arial" w:hAnsi="Arial" w:cs="Arial"/>
            <w:color w:val="008191"/>
            <w:sz w:val="20"/>
            <w:szCs w:val="20"/>
          </w:rPr>
          <w:t>www.langeberg.gov.za</w:t>
        </w:r>
      </w:hyperlink>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Tender documents are available from </w:t>
      </w:r>
      <w:r>
        <w:rPr>
          <w:rStyle w:val="Strong"/>
          <w:rFonts w:ascii="Arial" w:hAnsi="Arial" w:cs="Arial"/>
          <w:color w:val="000000"/>
          <w:sz w:val="20"/>
          <w:szCs w:val="20"/>
        </w:rPr>
        <w:t>23 SEPTEMBER 2022,</w:t>
      </w:r>
      <w:r>
        <w:rPr>
          <w:rFonts w:ascii="Arial" w:hAnsi="Arial" w:cs="Arial"/>
          <w:color w:val="000000"/>
          <w:sz w:val="20"/>
          <w:szCs w:val="20"/>
        </w:rPr>
        <w:t> on the Langeberg Municipal website: </w:t>
      </w:r>
      <w:hyperlink r:id="rId7" w:history="1">
        <w:r>
          <w:rPr>
            <w:rStyle w:val="Hyperlink"/>
            <w:rFonts w:ascii="Arial" w:hAnsi="Arial" w:cs="Arial"/>
            <w:color w:val="008191"/>
            <w:sz w:val="20"/>
            <w:szCs w:val="20"/>
          </w:rPr>
          <w:t>www.langeberg.gov.za</w:t>
        </w:r>
      </w:hyperlink>
      <w:r>
        <w:rPr>
          <w:rFonts w:ascii="Arial" w:hAnsi="Arial" w:cs="Arial"/>
          <w:color w:val="000000"/>
          <w:sz w:val="20"/>
          <w:szCs w:val="20"/>
        </w:rPr>
        <w:t>  </w:t>
      </w:r>
    </w:p>
    <w:p w:rsidR="00F36BBC" w:rsidRDefault="00F36BBC" w:rsidP="00F36BBC">
      <w:pPr>
        <w:pStyle w:val="NormalWeb"/>
        <w:spacing w:before="0" w:beforeAutospacing="0" w:after="150" w:afterAutospacing="0"/>
        <w:rPr>
          <w:rFonts w:ascii="Arial" w:hAnsi="Arial" w:cs="Arial"/>
          <w:color w:val="000000"/>
          <w:sz w:val="20"/>
          <w:szCs w:val="20"/>
        </w:rPr>
      </w:pPr>
      <w:r>
        <w:rPr>
          <w:rFonts w:ascii="Arial" w:hAnsi="Arial" w:cs="Arial"/>
          <w:color w:val="000000"/>
          <w:sz w:val="20"/>
          <w:szCs w:val="20"/>
        </w:rPr>
        <w:t>Please refer written enquiries to </w:t>
      </w:r>
      <w:r>
        <w:rPr>
          <w:rStyle w:val="Strong"/>
          <w:rFonts w:ascii="Arial" w:hAnsi="Arial" w:cs="Arial"/>
          <w:color w:val="000000"/>
          <w:sz w:val="20"/>
          <w:szCs w:val="20"/>
        </w:rPr>
        <w:t>MS. L. APRIL</w:t>
      </w:r>
      <w:r>
        <w:rPr>
          <w:rFonts w:ascii="Arial" w:hAnsi="Arial" w:cs="Arial"/>
          <w:color w:val="000000"/>
          <w:sz w:val="20"/>
          <w:szCs w:val="20"/>
        </w:rPr>
        <w:t> (</w:t>
      </w:r>
      <w:hyperlink r:id="rId8" w:history="1">
        <w:r>
          <w:rPr>
            <w:rStyle w:val="Hyperlink"/>
            <w:rFonts w:ascii="Arial" w:hAnsi="Arial" w:cs="Arial"/>
            <w:color w:val="008191"/>
            <w:sz w:val="20"/>
            <w:szCs w:val="20"/>
          </w:rPr>
          <w:t>lapril@langeberg.gov.za</w:t>
        </w:r>
      </w:hyperlink>
      <w:r>
        <w:rPr>
          <w:rFonts w:ascii="Arial" w:hAnsi="Arial" w:cs="Arial"/>
          <w:color w:val="000000"/>
          <w:sz w:val="20"/>
          <w:szCs w:val="20"/>
        </w:rPr>
        <w:t>).</w:t>
      </w:r>
    </w:p>
    <w:p w:rsidR="00F36BBC" w:rsidRDefault="00F36BBC" w:rsidP="00F36BBC">
      <w:pPr>
        <w:pStyle w:val="NormalWeb"/>
        <w:spacing w:before="0" w:beforeAutospacing="0" w:after="150" w:afterAutospacing="0"/>
        <w:rPr>
          <w:rFonts w:ascii="Arial" w:hAnsi="Arial" w:cs="Arial"/>
          <w:color w:val="000000"/>
          <w:sz w:val="20"/>
          <w:szCs w:val="20"/>
        </w:rPr>
      </w:pPr>
      <w:r>
        <w:rPr>
          <w:rStyle w:val="Strong"/>
          <w:rFonts w:ascii="Arial" w:hAnsi="Arial" w:cs="Arial"/>
          <w:color w:val="000000"/>
          <w:sz w:val="20"/>
          <w:szCs w:val="20"/>
        </w:rPr>
        <w:t>M MGAJO, ACTING MUNICIPAL MANAGER</w:t>
      </w:r>
    </w:p>
    <w:p w:rsidR="00F36BBC" w:rsidRDefault="00F36BBC" w:rsidP="00F36BBC">
      <w:pPr>
        <w:pStyle w:val="NormalWeb"/>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Private Bag X2, Ashton, 6715</w:t>
      </w:r>
    </w:p>
    <w:p w:rsidR="007559ED" w:rsidRDefault="007559ED" w:rsidP="00C01AB7">
      <w:pPr>
        <w:spacing w:after="0" w:line="300" w:lineRule="atLeast"/>
        <w:jc w:val="center"/>
        <w:outlineLvl w:val="3"/>
        <w:rPr>
          <w:rFonts w:ascii="Arial" w:eastAsia="Times New Roman" w:hAnsi="Arial" w:cs="Arial"/>
          <w:b/>
          <w:bCs/>
          <w:color w:val="000000"/>
          <w:sz w:val="30"/>
          <w:szCs w:val="30"/>
          <w:lang w:eastAsia="en-ZA"/>
        </w:rPr>
      </w:pPr>
    </w:p>
    <w:sectPr w:rsidR="007559ED" w:rsidSect="007559ED">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BB"/>
    <w:rsid w:val="000D668B"/>
    <w:rsid w:val="00106C92"/>
    <w:rsid w:val="003D4A36"/>
    <w:rsid w:val="006B7B04"/>
    <w:rsid w:val="006F3FEF"/>
    <w:rsid w:val="007559ED"/>
    <w:rsid w:val="00826DE6"/>
    <w:rsid w:val="008B21BB"/>
    <w:rsid w:val="008C6DC5"/>
    <w:rsid w:val="008F14C6"/>
    <w:rsid w:val="00A17B54"/>
    <w:rsid w:val="00AA6311"/>
    <w:rsid w:val="00BD68D7"/>
    <w:rsid w:val="00BF31F4"/>
    <w:rsid w:val="00C01AB7"/>
    <w:rsid w:val="00D24654"/>
    <w:rsid w:val="00E25B56"/>
    <w:rsid w:val="00E91109"/>
    <w:rsid w:val="00EC321E"/>
    <w:rsid w:val="00F36BBC"/>
    <w:rsid w:val="00FC49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76B2"/>
  <w15:chartTrackingRefBased/>
  <w15:docId w15:val="{0F9AF333-3904-4EDC-82BA-E4C08632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B21BB"/>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B21BB"/>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8B21BB"/>
  </w:style>
  <w:style w:type="character" w:styleId="Hyperlink">
    <w:name w:val="Hyperlink"/>
    <w:basedOn w:val="DefaultParagraphFont"/>
    <w:uiPriority w:val="99"/>
    <w:semiHidden/>
    <w:unhideWhenUsed/>
    <w:rsid w:val="008B21BB"/>
    <w:rPr>
      <w:color w:val="0000FF"/>
      <w:u w:val="single"/>
    </w:rPr>
  </w:style>
  <w:style w:type="character" w:customStyle="1" w:styleId="k-visually-hidden">
    <w:name w:val="k-visually-hidden"/>
    <w:basedOn w:val="DefaultParagraphFont"/>
    <w:rsid w:val="008B21BB"/>
  </w:style>
  <w:style w:type="character" w:customStyle="1" w:styleId="whitespacepreserver">
    <w:name w:val="whitespace_preserver"/>
    <w:basedOn w:val="DefaultParagraphFont"/>
    <w:rsid w:val="008B21BB"/>
  </w:style>
  <w:style w:type="paragraph" w:customStyle="1" w:styleId="docmandocumentdetails">
    <w:name w:val="docman_document_details"/>
    <w:basedOn w:val="Normal"/>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8B21BB"/>
  </w:style>
  <w:style w:type="character" w:customStyle="1" w:styleId="hits-label">
    <w:name w:val="hits-label"/>
    <w:basedOn w:val="DefaultParagraphFont"/>
    <w:rsid w:val="008B21BB"/>
  </w:style>
  <w:style w:type="paragraph" w:styleId="NormalWeb">
    <w:name w:val="Normal (Web)"/>
    <w:basedOn w:val="Normal"/>
    <w:uiPriority w:val="99"/>
    <w:semiHidden/>
    <w:unhideWhenUsed/>
    <w:rsid w:val="008B21B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8B21BB"/>
  </w:style>
  <w:style w:type="character" w:customStyle="1" w:styleId="docmandownloadinfo">
    <w:name w:val="docman_download__info"/>
    <w:basedOn w:val="DefaultParagraphFont"/>
    <w:rsid w:val="008B21BB"/>
  </w:style>
  <w:style w:type="character" w:styleId="Strong">
    <w:name w:val="Strong"/>
    <w:basedOn w:val="DefaultParagraphFont"/>
    <w:uiPriority w:val="22"/>
    <w:qFormat/>
    <w:rsid w:val="008B2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8653">
      <w:bodyDiv w:val="1"/>
      <w:marLeft w:val="0"/>
      <w:marRight w:val="0"/>
      <w:marTop w:val="0"/>
      <w:marBottom w:val="0"/>
      <w:divBdr>
        <w:top w:val="none" w:sz="0" w:space="0" w:color="auto"/>
        <w:left w:val="none" w:sz="0" w:space="0" w:color="auto"/>
        <w:bottom w:val="none" w:sz="0" w:space="0" w:color="auto"/>
        <w:right w:val="none" w:sz="0" w:space="0" w:color="auto"/>
      </w:divBdr>
      <w:divsChild>
        <w:div w:id="262764163">
          <w:marLeft w:val="150"/>
          <w:marRight w:val="0"/>
          <w:marTop w:val="0"/>
          <w:marBottom w:val="150"/>
          <w:divBdr>
            <w:top w:val="none" w:sz="0" w:space="0" w:color="auto"/>
            <w:left w:val="none" w:sz="0" w:space="0" w:color="auto"/>
            <w:bottom w:val="none" w:sz="0" w:space="0" w:color="auto"/>
            <w:right w:val="none" w:sz="0" w:space="0" w:color="auto"/>
          </w:divBdr>
        </w:div>
        <w:div w:id="1652517178">
          <w:marLeft w:val="0"/>
          <w:marRight w:val="0"/>
          <w:marTop w:val="0"/>
          <w:marBottom w:val="0"/>
          <w:divBdr>
            <w:top w:val="none" w:sz="0" w:space="0" w:color="auto"/>
            <w:left w:val="none" w:sz="0" w:space="0" w:color="auto"/>
            <w:bottom w:val="none" w:sz="0" w:space="0" w:color="auto"/>
            <w:right w:val="none" w:sz="0" w:space="0" w:color="auto"/>
          </w:divBdr>
          <w:divsChild>
            <w:div w:id="9108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44045">
      <w:bodyDiv w:val="1"/>
      <w:marLeft w:val="0"/>
      <w:marRight w:val="0"/>
      <w:marTop w:val="0"/>
      <w:marBottom w:val="0"/>
      <w:divBdr>
        <w:top w:val="none" w:sz="0" w:space="0" w:color="auto"/>
        <w:left w:val="none" w:sz="0" w:space="0" w:color="auto"/>
        <w:bottom w:val="none" w:sz="0" w:space="0" w:color="auto"/>
        <w:right w:val="none" w:sz="0" w:space="0" w:color="auto"/>
      </w:divBdr>
      <w:divsChild>
        <w:div w:id="2027749953">
          <w:marLeft w:val="150"/>
          <w:marRight w:val="0"/>
          <w:marTop w:val="0"/>
          <w:marBottom w:val="150"/>
          <w:divBdr>
            <w:top w:val="none" w:sz="0" w:space="0" w:color="auto"/>
            <w:left w:val="none" w:sz="0" w:space="0" w:color="auto"/>
            <w:bottom w:val="none" w:sz="0" w:space="0" w:color="auto"/>
            <w:right w:val="none" w:sz="0" w:space="0" w:color="auto"/>
          </w:divBdr>
        </w:div>
        <w:div w:id="968785336">
          <w:marLeft w:val="0"/>
          <w:marRight w:val="0"/>
          <w:marTop w:val="0"/>
          <w:marBottom w:val="0"/>
          <w:divBdr>
            <w:top w:val="none" w:sz="0" w:space="0" w:color="auto"/>
            <w:left w:val="none" w:sz="0" w:space="0" w:color="auto"/>
            <w:bottom w:val="none" w:sz="0" w:space="0" w:color="auto"/>
            <w:right w:val="none" w:sz="0" w:space="0" w:color="auto"/>
          </w:divBdr>
          <w:divsChild>
            <w:div w:id="56252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639">
      <w:bodyDiv w:val="1"/>
      <w:marLeft w:val="0"/>
      <w:marRight w:val="0"/>
      <w:marTop w:val="0"/>
      <w:marBottom w:val="0"/>
      <w:divBdr>
        <w:top w:val="none" w:sz="0" w:space="0" w:color="auto"/>
        <w:left w:val="none" w:sz="0" w:space="0" w:color="auto"/>
        <w:bottom w:val="none" w:sz="0" w:space="0" w:color="auto"/>
        <w:right w:val="none" w:sz="0" w:space="0" w:color="auto"/>
      </w:divBdr>
      <w:divsChild>
        <w:div w:id="1253274950">
          <w:marLeft w:val="150"/>
          <w:marRight w:val="0"/>
          <w:marTop w:val="0"/>
          <w:marBottom w:val="150"/>
          <w:divBdr>
            <w:top w:val="none" w:sz="0" w:space="0" w:color="auto"/>
            <w:left w:val="none" w:sz="0" w:space="0" w:color="auto"/>
            <w:bottom w:val="none" w:sz="0" w:space="0" w:color="auto"/>
            <w:right w:val="none" w:sz="0" w:space="0" w:color="auto"/>
          </w:divBdr>
        </w:div>
        <w:div w:id="897712553">
          <w:marLeft w:val="0"/>
          <w:marRight w:val="0"/>
          <w:marTop w:val="0"/>
          <w:marBottom w:val="0"/>
          <w:divBdr>
            <w:top w:val="none" w:sz="0" w:space="0" w:color="auto"/>
            <w:left w:val="none" w:sz="0" w:space="0" w:color="auto"/>
            <w:bottom w:val="none" w:sz="0" w:space="0" w:color="auto"/>
            <w:right w:val="none" w:sz="0" w:space="0" w:color="auto"/>
          </w:divBdr>
          <w:divsChild>
            <w:div w:id="5182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251">
      <w:bodyDiv w:val="1"/>
      <w:marLeft w:val="0"/>
      <w:marRight w:val="0"/>
      <w:marTop w:val="0"/>
      <w:marBottom w:val="0"/>
      <w:divBdr>
        <w:top w:val="none" w:sz="0" w:space="0" w:color="auto"/>
        <w:left w:val="none" w:sz="0" w:space="0" w:color="auto"/>
        <w:bottom w:val="none" w:sz="0" w:space="0" w:color="auto"/>
        <w:right w:val="none" w:sz="0" w:space="0" w:color="auto"/>
      </w:divBdr>
      <w:divsChild>
        <w:div w:id="1320771221">
          <w:marLeft w:val="150"/>
          <w:marRight w:val="0"/>
          <w:marTop w:val="0"/>
          <w:marBottom w:val="150"/>
          <w:divBdr>
            <w:top w:val="none" w:sz="0" w:space="0" w:color="auto"/>
            <w:left w:val="none" w:sz="0" w:space="0" w:color="auto"/>
            <w:bottom w:val="none" w:sz="0" w:space="0" w:color="auto"/>
            <w:right w:val="none" w:sz="0" w:space="0" w:color="auto"/>
          </w:divBdr>
        </w:div>
        <w:div w:id="1198812266">
          <w:marLeft w:val="0"/>
          <w:marRight w:val="0"/>
          <w:marTop w:val="0"/>
          <w:marBottom w:val="0"/>
          <w:divBdr>
            <w:top w:val="none" w:sz="0" w:space="0" w:color="auto"/>
            <w:left w:val="none" w:sz="0" w:space="0" w:color="auto"/>
            <w:bottom w:val="none" w:sz="0" w:space="0" w:color="auto"/>
            <w:right w:val="none" w:sz="0" w:space="0" w:color="auto"/>
          </w:divBdr>
          <w:divsChild>
            <w:div w:id="18234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7574">
      <w:bodyDiv w:val="1"/>
      <w:marLeft w:val="0"/>
      <w:marRight w:val="0"/>
      <w:marTop w:val="0"/>
      <w:marBottom w:val="0"/>
      <w:divBdr>
        <w:top w:val="none" w:sz="0" w:space="0" w:color="auto"/>
        <w:left w:val="none" w:sz="0" w:space="0" w:color="auto"/>
        <w:bottom w:val="none" w:sz="0" w:space="0" w:color="auto"/>
        <w:right w:val="none" w:sz="0" w:space="0" w:color="auto"/>
      </w:divBdr>
      <w:divsChild>
        <w:div w:id="1233782307">
          <w:marLeft w:val="150"/>
          <w:marRight w:val="0"/>
          <w:marTop w:val="0"/>
          <w:marBottom w:val="150"/>
          <w:divBdr>
            <w:top w:val="none" w:sz="0" w:space="0" w:color="auto"/>
            <w:left w:val="none" w:sz="0" w:space="0" w:color="auto"/>
            <w:bottom w:val="none" w:sz="0" w:space="0" w:color="auto"/>
            <w:right w:val="none" w:sz="0" w:space="0" w:color="auto"/>
          </w:divBdr>
        </w:div>
        <w:div w:id="1551964811">
          <w:marLeft w:val="0"/>
          <w:marRight w:val="0"/>
          <w:marTop w:val="0"/>
          <w:marBottom w:val="0"/>
          <w:divBdr>
            <w:top w:val="none" w:sz="0" w:space="0" w:color="auto"/>
            <w:left w:val="none" w:sz="0" w:space="0" w:color="auto"/>
            <w:bottom w:val="none" w:sz="0" w:space="0" w:color="auto"/>
            <w:right w:val="none" w:sz="0" w:space="0" w:color="auto"/>
          </w:divBdr>
          <w:divsChild>
            <w:div w:id="15099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5532">
      <w:bodyDiv w:val="1"/>
      <w:marLeft w:val="0"/>
      <w:marRight w:val="0"/>
      <w:marTop w:val="0"/>
      <w:marBottom w:val="0"/>
      <w:divBdr>
        <w:top w:val="none" w:sz="0" w:space="0" w:color="auto"/>
        <w:left w:val="none" w:sz="0" w:space="0" w:color="auto"/>
        <w:bottom w:val="none" w:sz="0" w:space="0" w:color="auto"/>
        <w:right w:val="none" w:sz="0" w:space="0" w:color="auto"/>
      </w:divBdr>
      <w:divsChild>
        <w:div w:id="2129813878">
          <w:marLeft w:val="150"/>
          <w:marRight w:val="0"/>
          <w:marTop w:val="0"/>
          <w:marBottom w:val="150"/>
          <w:divBdr>
            <w:top w:val="none" w:sz="0" w:space="0" w:color="auto"/>
            <w:left w:val="none" w:sz="0" w:space="0" w:color="auto"/>
            <w:bottom w:val="none" w:sz="0" w:space="0" w:color="auto"/>
            <w:right w:val="none" w:sz="0" w:space="0" w:color="auto"/>
          </w:divBdr>
        </w:div>
        <w:div w:id="1369529893">
          <w:marLeft w:val="0"/>
          <w:marRight w:val="0"/>
          <w:marTop w:val="0"/>
          <w:marBottom w:val="0"/>
          <w:divBdr>
            <w:top w:val="none" w:sz="0" w:space="0" w:color="auto"/>
            <w:left w:val="none" w:sz="0" w:space="0" w:color="auto"/>
            <w:bottom w:val="none" w:sz="0" w:space="0" w:color="auto"/>
            <w:right w:val="none" w:sz="0" w:space="0" w:color="auto"/>
          </w:divBdr>
          <w:divsChild>
            <w:div w:id="4455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0542">
      <w:bodyDiv w:val="1"/>
      <w:marLeft w:val="0"/>
      <w:marRight w:val="0"/>
      <w:marTop w:val="0"/>
      <w:marBottom w:val="0"/>
      <w:divBdr>
        <w:top w:val="none" w:sz="0" w:space="0" w:color="auto"/>
        <w:left w:val="none" w:sz="0" w:space="0" w:color="auto"/>
        <w:bottom w:val="none" w:sz="0" w:space="0" w:color="auto"/>
        <w:right w:val="none" w:sz="0" w:space="0" w:color="auto"/>
      </w:divBdr>
      <w:divsChild>
        <w:div w:id="1608267156">
          <w:marLeft w:val="150"/>
          <w:marRight w:val="0"/>
          <w:marTop w:val="0"/>
          <w:marBottom w:val="150"/>
          <w:divBdr>
            <w:top w:val="none" w:sz="0" w:space="0" w:color="auto"/>
            <w:left w:val="none" w:sz="0" w:space="0" w:color="auto"/>
            <w:bottom w:val="none" w:sz="0" w:space="0" w:color="auto"/>
            <w:right w:val="none" w:sz="0" w:space="0" w:color="auto"/>
          </w:divBdr>
        </w:div>
        <w:div w:id="1758557815">
          <w:marLeft w:val="0"/>
          <w:marRight w:val="0"/>
          <w:marTop w:val="0"/>
          <w:marBottom w:val="0"/>
          <w:divBdr>
            <w:top w:val="none" w:sz="0" w:space="0" w:color="auto"/>
            <w:left w:val="none" w:sz="0" w:space="0" w:color="auto"/>
            <w:bottom w:val="none" w:sz="0" w:space="0" w:color="auto"/>
            <w:right w:val="none" w:sz="0" w:space="0" w:color="auto"/>
          </w:divBdr>
          <w:divsChild>
            <w:div w:id="177150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233">
      <w:bodyDiv w:val="1"/>
      <w:marLeft w:val="0"/>
      <w:marRight w:val="0"/>
      <w:marTop w:val="0"/>
      <w:marBottom w:val="0"/>
      <w:divBdr>
        <w:top w:val="none" w:sz="0" w:space="0" w:color="auto"/>
        <w:left w:val="none" w:sz="0" w:space="0" w:color="auto"/>
        <w:bottom w:val="none" w:sz="0" w:space="0" w:color="auto"/>
        <w:right w:val="none" w:sz="0" w:space="0" w:color="auto"/>
      </w:divBdr>
      <w:divsChild>
        <w:div w:id="433284195">
          <w:marLeft w:val="150"/>
          <w:marRight w:val="0"/>
          <w:marTop w:val="0"/>
          <w:marBottom w:val="150"/>
          <w:divBdr>
            <w:top w:val="none" w:sz="0" w:space="0" w:color="auto"/>
            <w:left w:val="none" w:sz="0" w:space="0" w:color="auto"/>
            <w:bottom w:val="none" w:sz="0" w:space="0" w:color="auto"/>
            <w:right w:val="none" w:sz="0" w:space="0" w:color="auto"/>
          </w:divBdr>
        </w:div>
        <w:div w:id="410321960">
          <w:marLeft w:val="0"/>
          <w:marRight w:val="0"/>
          <w:marTop w:val="0"/>
          <w:marBottom w:val="0"/>
          <w:divBdr>
            <w:top w:val="none" w:sz="0" w:space="0" w:color="auto"/>
            <w:left w:val="none" w:sz="0" w:space="0" w:color="auto"/>
            <w:bottom w:val="none" w:sz="0" w:space="0" w:color="auto"/>
            <w:right w:val="none" w:sz="0" w:space="0" w:color="auto"/>
          </w:divBdr>
          <w:divsChild>
            <w:div w:id="11080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5028">
      <w:bodyDiv w:val="1"/>
      <w:marLeft w:val="0"/>
      <w:marRight w:val="0"/>
      <w:marTop w:val="0"/>
      <w:marBottom w:val="0"/>
      <w:divBdr>
        <w:top w:val="none" w:sz="0" w:space="0" w:color="auto"/>
        <w:left w:val="none" w:sz="0" w:space="0" w:color="auto"/>
        <w:bottom w:val="none" w:sz="0" w:space="0" w:color="auto"/>
        <w:right w:val="none" w:sz="0" w:space="0" w:color="auto"/>
      </w:divBdr>
      <w:divsChild>
        <w:div w:id="421725888">
          <w:marLeft w:val="150"/>
          <w:marRight w:val="0"/>
          <w:marTop w:val="0"/>
          <w:marBottom w:val="150"/>
          <w:divBdr>
            <w:top w:val="none" w:sz="0" w:space="0" w:color="auto"/>
            <w:left w:val="none" w:sz="0" w:space="0" w:color="auto"/>
            <w:bottom w:val="none" w:sz="0" w:space="0" w:color="auto"/>
            <w:right w:val="none" w:sz="0" w:space="0" w:color="auto"/>
          </w:divBdr>
        </w:div>
        <w:div w:id="247084549">
          <w:marLeft w:val="0"/>
          <w:marRight w:val="0"/>
          <w:marTop w:val="0"/>
          <w:marBottom w:val="0"/>
          <w:divBdr>
            <w:top w:val="none" w:sz="0" w:space="0" w:color="auto"/>
            <w:left w:val="none" w:sz="0" w:space="0" w:color="auto"/>
            <w:bottom w:val="none" w:sz="0" w:space="0" w:color="auto"/>
            <w:right w:val="none" w:sz="0" w:space="0" w:color="auto"/>
          </w:divBdr>
          <w:divsChild>
            <w:div w:id="793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pril@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quotes/4513-quotation-54-2022-fire-fighting-water-infrastructure-replacement-of-pvc-piping-with-steel-pipe-callie-de-wet/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2022-10-03T08:09:00Z</cp:lastPrinted>
  <dcterms:created xsi:type="dcterms:W3CDTF">2022-10-03T08:08:00Z</dcterms:created>
  <dcterms:modified xsi:type="dcterms:W3CDTF">2022-10-03T08:09:00Z</dcterms:modified>
</cp:coreProperties>
</file>