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996AA7"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4BE8266B"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TO SOURCE</w:t>
            </w:r>
            <w:r w:rsidR="003700E8" w:rsidRPr="00BA19B8">
              <w:rPr>
                <w:b/>
                <w:bCs/>
              </w:rPr>
              <w:t xml:space="preserve"> SERVICE PROVIDER </w:t>
            </w:r>
            <w:r w:rsidR="0055464A" w:rsidRPr="00BA19B8">
              <w:rPr>
                <w:b/>
                <w:bCs/>
              </w:rPr>
              <w:t xml:space="preserve">FOR </w:t>
            </w:r>
            <w:r w:rsidR="00FB2731">
              <w:rPr>
                <w:b/>
                <w:bCs/>
              </w:rPr>
              <w:t>CERTIFIED OPTIC FIBRE DESIGN</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4C8DB27B" w:rsidR="003C7FF6" w:rsidRPr="002108C8" w:rsidRDefault="00511D96"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w:t>
            </w:r>
            <w:r w:rsidR="00FB2731">
              <w:rPr>
                <w:b/>
                <w:sz w:val="22"/>
                <w:szCs w:val="22"/>
              </w:rPr>
              <w:t>858</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8E44377" w:rsidR="003C7FF6" w:rsidRPr="002108C8"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14 February </w:t>
            </w:r>
            <w:r w:rsidR="007B133E">
              <w:rPr>
                <w:b/>
                <w:sz w:val="22"/>
                <w:szCs w:val="22"/>
              </w:rPr>
              <w:t>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1647B28A" w:rsidR="003C7FF6" w:rsidRPr="000E4E2C"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21 February </w:t>
            </w:r>
            <w:r w:rsidR="007B133E">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6A328607" w:rsidR="00E30ADA" w:rsidRPr="00377788" w:rsidRDefault="00377788"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sidRPr="00377788">
              <w:rPr>
                <w:b/>
                <w:bCs/>
              </w:rPr>
              <w:t>INTRODUCTION TO MICROSOFT POWER BI</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66BCEC71" w14:textId="77777777" w:rsidR="003C7FF6" w:rsidRDefault="003C7FF6" w:rsidP="003C7FF6">
      <w:pPr>
        <w:spacing w:line="360" w:lineRule="auto"/>
        <w:rPr>
          <w:b/>
          <w:color w:val="FF0000"/>
        </w:rPr>
      </w:pPr>
    </w:p>
    <w:p w14:paraId="78C78F14" w14:textId="77777777" w:rsidR="003C7FF6" w:rsidRDefault="003C7FF6" w:rsidP="003C7FF6">
      <w:pPr>
        <w:spacing w:line="360" w:lineRule="auto"/>
        <w:rPr>
          <w:b/>
          <w:color w:val="FF0000"/>
        </w:rPr>
      </w:pPr>
    </w:p>
    <w:p w14:paraId="1AC8DEEA" w14:textId="77777777" w:rsidR="003C7FF6" w:rsidRDefault="003C7FF6" w:rsidP="003C7FF6">
      <w:pPr>
        <w:spacing w:line="360" w:lineRule="auto"/>
        <w:rPr>
          <w:b/>
          <w:color w:val="FF0000"/>
        </w:rPr>
      </w:pPr>
    </w:p>
    <w:p w14:paraId="271C792C" w14:textId="77777777" w:rsidR="00D80A63" w:rsidRDefault="00D80A63"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Broadband Infraco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No services must be rendered or goods delivered before an official Broadband Infraco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Broadband Infraco</w:t>
      </w:r>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(i</w:t>
      </w:r>
      <w:r w:rsidRPr="00784F82">
        <w:rPr>
          <w:rFonts w:ascii="Arial" w:hAnsi="Arial" w:cs="Arial"/>
          <w:sz w:val="16"/>
          <w:szCs w:val="16"/>
        </w:rPr>
        <w:t>.e safety file for the recommended bidder will be approved by Broadband Infraco).</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Bidder is required to submit copy of Tax Clearance Certificate and verification information (PIN) to be used by Broadband Infraco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Infraco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The onus is on the bidder to ensure that Broadband Infraco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It is within Broadband Infraco’s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r w:rsidRPr="00201E0D">
        <w:rPr>
          <w:rFonts w:ascii="Arial" w:hAnsi="Arial" w:cs="Arial"/>
          <w:sz w:val="16"/>
          <w:szCs w:val="16"/>
          <w:lang w:val="en-US"/>
        </w:rPr>
        <w:t>raco</w:t>
      </w:r>
      <w:r w:rsidRPr="00201E0D">
        <w:rPr>
          <w:rFonts w:ascii="Arial" w:hAnsi="Arial" w:cs="Arial"/>
          <w:sz w:val="16"/>
          <w:szCs w:val="16"/>
        </w:rPr>
        <w:t xml:space="preserve"> will only commence payment processes after fulfilment of the conditions contained in the contract and/ or  on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effected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Bidders who submitted information that is fraudulent, factually untrue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1043ADAB" w14:textId="0F6A3BF6"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B728EC">
      <w:pPr>
        <w:tabs>
          <w:tab w:val="left" w:pos="4500"/>
          <w:tab w:val="left" w:pos="7560"/>
          <w:tab w:val="right" w:pos="10292"/>
        </w:tabs>
        <w:spacing w:line="360" w:lineRule="auto"/>
        <w:ind w:left="540"/>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756CC9C8" w:rsidR="003C7FF6" w:rsidRPr="00B474D6" w:rsidRDefault="004B0C9D"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8</w:t>
            </w:r>
            <w:r w:rsidR="00FB2731">
              <w:rPr>
                <w:rFonts w:ascii="Arial Narrow" w:hAnsi="Arial Narrow"/>
                <w:b/>
                <w:sz w:val="20"/>
              </w:rPr>
              <w:t>858</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21374C75"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3C4F91">
              <w:rPr>
                <w:rFonts w:ascii="Arial Narrow" w:hAnsi="Arial Narrow"/>
                <w:b/>
                <w:sz w:val="20"/>
              </w:rPr>
              <w:t xml:space="preserve">21 February </w:t>
            </w:r>
            <w:r w:rsidR="007B133E">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521E4D0D" w:rsidR="003C7FF6" w:rsidRPr="00B474D6" w:rsidRDefault="00FB2731"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7</w:t>
            </w:r>
            <w:r w:rsidR="0094489F">
              <w:rPr>
                <w:rFonts w:ascii="Arial Narrow" w:hAnsi="Arial Narrow"/>
                <w:b/>
                <w:sz w:val="20"/>
              </w:rPr>
              <w:t>2:00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11D0E0CF" w:rsidR="003C7FF6" w:rsidRPr="00912DF1" w:rsidRDefault="00FB2731"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rPr>
              <w:t>Certified Optic Fibre</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A B-BBEE STATUS LEVEL VERIFICATION CERTIFICATE/SWORN AFFIDAVIT(FOR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ANSWER PART B:3 BELOW ]</w:t>
            </w:r>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CAPACITY UNDER WHICH THIS BID IS SIGNED (Attach proof of authority to sign this bid;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ALL BIDS MUST BE SUBMITTED ON THE OFFICIAL FORMS PROVIDED–(NOT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IN BIDS WHERE CONSORTIA / JOINT VENTURES / SUB-CONTRACTORS ARE INVOLVED,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996AA7">
              <w:rPr>
                <w:rFonts w:ascii="Arial Narrow" w:hAnsi="Arial Narrow"/>
                <w:sz w:val="20"/>
              </w:rPr>
            </w:r>
            <w:r w:rsidR="00996AA7">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r w:rsidRPr="00681C82">
        <w:rPr>
          <w:rFonts w:ascii="Arial Narrow" w:hAnsi="Arial Narrow" w:cs="Arial Narrow"/>
          <w:b/>
          <w:bCs/>
        </w:rPr>
        <w:t>In order to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Identity Number:………………………………………………………………………………………………...</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r w:rsidRPr="00681C82">
        <w:rPr>
          <w:rFonts w:ascii="Arial Narrow" w:hAnsi="Arial Narrow" w:cs="Arial Narrow"/>
          <w:sz w:val="16"/>
          <w:szCs w:val="16"/>
        </w:rPr>
        <w:t>¹“State”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any municipality or municipal entity;</w:t>
      </w:r>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provincial legislature;</w:t>
      </w:r>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r w:rsidRPr="00681C82">
        <w:rPr>
          <w:rFonts w:ascii="Arial Narrow" w:hAnsi="Arial Narrow" w:cs="Arial Narrow"/>
          <w:sz w:val="16"/>
          <w:szCs w:val="16"/>
        </w:rPr>
        <w:t>²”Shareholder”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lastRenderedPageBreak/>
        <w:t xml:space="preserve">      </w:t>
      </w:r>
      <w:r w:rsidRPr="00681C82">
        <w:rPr>
          <w:rFonts w:ascii="Arial Narrow" w:hAnsi="Arial Narrow" w:cs="Arial Narrow"/>
          <w:lang w:val="en-US"/>
        </w:rPr>
        <w:tab/>
        <w:t>presently employed by the state?</w:t>
      </w:r>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employed :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(Note: Failure to submit proof of such authority, where</w:t>
      </w:r>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bidder,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lastRenderedPageBreak/>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who may be involved with the evaluation and or adjudication</w:t>
      </w:r>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Persal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t>DECLARATION</w:t>
      </w:r>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applicable;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Act;</w:t>
      </w:r>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means the B-BBEE status of an entity in terms of a code of good practice on black economic empowerment, issued in terms of section 9(1) of the Broad-Based Black Economic Empowerment Act;</w:t>
      </w:r>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w:t>
      </w:r>
      <w:r w:rsidRPr="00B474D6">
        <w:rPr>
          <w:rFonts w:ascii="Arial" w:hAnsi="Arial" w:cs="Arial"/>
          <w:sz w:val="22"/>
          <w:szCs w:val="22"/>
        </w:rPr>
        <w:lastRenderedPageBreak/>
        <w:t xml:space="preserve">by an organ of state for the provision of goods or services, through price quotations, advertised competitive bidding processes or proposals;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means an Exempted Micro Enterprise in terms of a code of good practice  on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discounts;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“proof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B-BBEE Status level certificate issued by an authorized body or person;</w:t>
      </w:r>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 sworn affidavit as prescribed by the B-BBEE Codes of Good Practice;</w:t>
      </w:r>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Any other requirement prescribed in terms of the B-BBEE Act;</w:t>
      </w:r>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practice  on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“rand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380775"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380776"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Where</w:t>
      </w:r>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Pmin</w:t>
      </w:r>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What percentage of the contract will be subcontracted............…………….…………%</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company/firm:…………………………………………………………………………….</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VAT registration number:……………………………………….…………………………………</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registration number:…………….……………………….…………………………….</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Other service providers, e.g.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Stand Number:</w:t>
      </w:r>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Total number of years the company/firm has been in business:……………………………</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information furnished is true and correct;</w:t>
      </w:r>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preference points claimed are in accordance with the General Conditions as indicated in paragraph 1 of this form;</w:t>
      </w:r>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If the B-BBEE status level of contributor has been claimed or obtained on a fraudulent </w:t>
      </w:r>
      <w:r w:rsidRPr="00B474D6">
        <w:rPr>
          <w:rFonts w:ascii="Arial" w:hAnsi="Arial" w:cs="Arial"/>
          <w:sz w:val="22"/>
          <w:szCs w:val="22"/>
        </w:rPr>
        <w:lastRenderedPageBreak/>
        <w:t>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disqualify the person from the bidding process;</w:t>
      </w:r>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recover costs, losses or damages it has incurred or suffered as a result of that person’s conduct;</w:t>
      </w:r>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cancel the contract and claim any damages which it has suffered as a result of having to make less favourable arrangements due to such cancellation;</w:t>
      </w:r>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474D6">
        <w:rPr>
          <w:rFonts w:ascii="Arial" w:hAnsi="Arial" w:cs="Arial"/>
          <w:i/>
          <w:sz w:val="22"/>
          <w:szCs w:val="22"/>
        </w:rPr>
        <w:t>audi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996AA7"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abused the institution’s supply chain management system;</w:t>
      </w:r>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r w:rsidRPr="00681C82">
        <w:rPr>
          <w:b/>
          <w:bCs/>
          <w:lang w:val="en-US"/>
        </w:rPr>
        <w:t>In order to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r w:rsidRPr="00681C82">
              <w:rPr>
                <w:i/>
                <w:iCs/>
              </w:rPr>
              <w:t>audi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996AA7">
              <w:rPr>
                <w:sz w:val="20"/>
              </w:rPr>
            </w:r>
            <w:r w:rsidR="00996AA7">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I, THE UNDERSIGNED (FULL NAME)…………………………………………………</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 certify, on behalf of</w:t>
      </w:r>
      <w:r w:rsidRPr="003C7DD3">
        <w:rPr>
          <w:rFonts w:ascii="Arial" w:eastAsia="Calibri" w:hAnsi="Arial" w:cs="Arial"/>
          <w:color w:val="000000"/>
          <w:lang w:val="en-US"/>
        </w:rPr>
        <w:t>:_____________________________________________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have read and I understand the contents of this Certificate;</w:t>
      </w:r>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understand that the accompanying bid will be disqualified if this Certificate is found not to be true and complete in every respect;</w:t>
      </w:r>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am authorized by the Service Provider to sign this Certificate, and to submit the accompanying bid, on behalf of the Service Provider;</w:t>
      </w:r>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Each person whose signature appears on the accompanying bid has been authorized by the Service Provider to determine the terms of, and to sign the bid, on behalf of the Service Provider;</w:t>
      </w:r>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For the purposes of this Certificate and the accompanying bid, I understand that the word “competitor” shall include any individual or organization, other than the Service Provider, whether or not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Has been requested to submit a bid in response to this bid invitation;</w:t>
      </w:r>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Could potentially submit a bid in response to this bid invitation, based on their qualifications, abilities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Service Provider has arrived at the accompanying bid independently from, and without consultation, communication, agreement or arrangement with any competitor.</w:t>
      </w:r>
      <w:r w:rsidRPr="003C7DD3">
        <w:rPr>
          <w:rFonts w:ascii="Arial" w:eastAsia="MS Mincho" w:hAnsi="Arial" w:cs="Arial"/>
          <w:color w:val="000000"/>
          <w:sz w:val="22"/>
          <w:szCs w:val="22"/>
          <w:lang w:val="en-US"/>
        </w:rPr>
        <w:t xml:space="preserve"> However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r w:rsidRPr="003C7DD3">
        <w:rPr>
          <w:rFonts w:ascii="Arial" w:eastAsia="Calibri" w:hAnsi="Arial" w:cs="Arial"/>
          <w:color w:val="000000"/>
          <w:sz w:val="22"/>
          <w:szCs w:val="22"/>
          <w:lang w:val="en-US"/>
        </w:rPr>
        <w:t>In particular, without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prices;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methods, factors or formulas used to calculate prices;</w:t>
      </w:r>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bid;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³ Joint venture or Consortium means an association of persons for the purpose of combining their expertise, property, capital, efforts, skill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C5840FF" w14:textId="4D788F2E" w:rsidR="00377788"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2939FD" w:rsidRPr="00377788">
              <w:rPr>
                <w:rFonts w:asciiTheme="minorHAnsi" w:hAnsiTheme="minorHAnsi" w:cstheme="minorHAnsi"/>
                <w:b/>
                <w:bCs/>
                <w:u w:val="single"/>
                <w:lang w:eastAsia="en-ZA"/>
              </w:rPr>
              <w:t>pecification</w:t>
            </w:r>
          </w:p>
          <w:p w14:paraId="2519C2A3" w14:textId="77777777" w:rsidR="00FC6063" w:rsidRPr="00FC6063" w:rsidRDefault="00FC6063" w:rsidP="0055464A">
            <w:pPr>
              <w:spacing w:before="240"/>
              <w:rPr>
                <w:rFonts w:asciiTheme="minorHAnsi" w:hAnsiTheme="minorHAnsi" w:cstheme="minorHAnsi"/>
                <w:b/>
                <w:bCs/>
                <w:u w:val="single"/>
                <w:lang w:eastAsia="en-ZA"/>
              </w:rPr>
            </w:pPr>
          </w:p>
          <w:p w14:paraId="236D1B5D" w14:textId="50C23068" w:rsidR="00377788" w:rsidRDefault="00377788" w:rsidP="00FC6063">
            <w:pPr>
              <w:pStyle w:val="ListParagraph"/>
              <w:numPr>
                <w:ilvl w:val="0"/>
                <w:numId w:val="32"/>
              </w:numPr>
            </w:pPr>
            <w:r>
              <w:t xml:space="preserve">NQF aligned </w:t>
            </w:r>
          </w:p>
          <w:p w14:paraId="44C7E158" w14:textId="77777777" w:rsidR="00377788" w:rsidRDefault="00377788" w:rsidP="0055464A"/>
          <w:p w14:paraId="6FC50A00" w14:textId="2FDCBEF4" w:rsidR="00377788" w:rsidRDefault="00FB2731" w:rsidP="00FC6063">
            <w:pPr>
              <w:pStyle w:val="ListParagraph"/>
              <w:numPr>
                <w:ilvl w:val="0"/>
                <w:numId w:val="32"/>
              </w:numPr>
            </w:pPr>
            <w:r>
              <w:t xml:space="preserve">Two (2) </w:t>
            </w:r>
            <w:r w:rsidR="00377788">
              <w:t>delegate</w:t>
            </w:r>
            <w:r w:rsidR="00D71CB3">
              <w:t>s</w:t>
            </w:r>
          </w:p>
          <w:p w14:paraId="1E692740" w14:textId="77777777" w:rsidR="00FB2731" w:rsidRDefault="00FB2731" w:rsidP="00FB2731">
            <w:pPr>
              <w:pStyle w:val="ListParagraph"/>
            </w:pPr>
          </w:p>
          <w:p w14:paraId="42966338" w14:textId="18F26B23" w:rsidR="00FB2731" w:rsidRDefault="00FB2731" w:rsidP="00FC6063">
            <w:pPr>
              <w:pStyle w:val="ListParagraph"/>
              <w:numPr>
                <w:ilvl w:val="0"/>
                <w:numId w:val="32"/>
              </w:numPr>
            </w:pPr>
            <w:r>
              <w:t>Minimum of four (4) days course.</w:t>
            </w:r>
          </w:p>
          <w:p w14:paraId="41D00733" w14:textId="77777777" w:rsidR="00377788" w:rsidRDefault="00377788" w:rsidP="0055464A"/>
          <w:p w14:paraId="7E6F871D" w14:textId="77777777" w:rsidR="00377788" w:rsidRDefault="00377788" w:rsidP="00FC6063">
            <w:pPr>
              <w:pStyle w:val="ListParagraph"/>
              <w:numPr>
                <w:ilvl w:val="0"/>
                <w:numId w:val="32"/>
              </w:numPr>
            </w:pPr>
            <w:r>
              <w:t>Provide study material.</w:t>
            </w:r>
          </w:p>
          <w:p w14:paraId="585D7FDB" w14:textId="77777777" w:rsidR="00377788" w:rsidRDefault="00377788" w:rsidP="0055464A"/>
          <w:p w14:paraId="00718B5E" w14:textId="77777777" w:rsidR="00377788" w:rsidRDefault="00377788" w:rsidP="00FC6063">
            <w:pPr>
              <w:pStyle w:val="ListParagraph"/>
              <w:numPr>
                <w:ilvl w:val="0"/>
                <w:numId w:val="32"/>
              </w:numPr>
            </w:pPr>
            <w:r>
              <w:t>Attendance Register</w:t>
            </w:r>
          </w:p>
          <w:p w14:paraId="4FE26F24" w14:textId="77777777" w:rsidR="00377788" w:rsidRDefault="00377788" w:rsidP="0055464A"/>
          <w:p w14:paraId="729A70AC" w14:textId="77777777" w:rsidR="00377788" w:rsidRDefault="00377788" w:rsidP="00FC6063">
            <w:pPr>
              <w:pStyle w:val="ListParagraph"/>
              <w:numPr>
                <w:ilvl w:val="0"/>
                <w:numId w:val="32"/>
              </w:numPr>
            </w:pPr>
            <w:r>
              <w:t>Certificate of competence upon completion</w:t>
            </w:r>
          </w:p>
          <w:p w14:paraId="45D2FAE1" w14:textId="77777777" w:rsidR="00377788" w:rsidRDefault="00377788" w:rsidP="0055464A"/>
          <w:p w14:paraId="0DD7A1AF" w14:textId="49EF6573" w:rsidR="00567366" w:rsidRDefault="00377788" w:rsidP="00FC6063">
            <w:pPr>
              <w:pStyle w:val="ListParagraph"/>
              <w:numPr>
                <w:ilvl w:val="0"/>
                <w:numId w:val="32"/>
              </w:numPr>
            </w:pPr>
            <w:r>
              <w:t>Training should be held at service provider premises or virtual.</w:t>
            </w:r>
          </w:p>
          <w:p w14:paraId="0013D335" w14:textId="77777777" w:rsidR="00377788" w:rsidRDefault="00377788" w:rsidP="0055464A">
            <w:pPr>
              <w:rPr>
                <w:rFonts w:asciiTheme="minorHAnsi" w:hAnsiTheme="minorHAnsi" w:cstheme="minorHAnsi"/>
                <w:b/>
                <w:bCs/>
                <w:color w:val="FF0000"/>
                <w:lang w:eastAsia="en-ZA"/>
              </w:rPr>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2F07" w14:textId="77777777" w:rsidR="00996AA7" w:rsidRDefault="00996AA7">
      <w:r>
        <w:separator/>
      </w:r>
    </w:p>
  </w:endnote>
  <w:endnote w:type="continuationSeparator" w:id="0">
    <w:p w14:paraId="2FE204DF" w14:textId="77777777" w:rsidR="00996AA7" w:rsidRDefault="00996AA7">
      <w:r>
        <w:continuationSeparator/>
      </w:r>
    </w:p>
  </w:endnote>
  <w:endnote w:type="continuationNotice" w:id="1">
    <w:p w14:paraId="4A3857F8" w14:textId="77777777" w:rsidR="00996AA7" w:rsidRDefault="00996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0C0A" w14:textId="77777777" w:rsidR="00996AA7" w:rsidRDefault="00996AA7">
      <w:r>
        <w:separator/>
      </w:r>
    </w:p>
  </w:footnote>
  <w:footnote w:type="continuationSeparator" w:id="0">
    <w:p w14:paraId="320FB07E" w14:textId="77777777" w:rsidR="00996AA7" w:rsidRDefault="00996AA7">
      <w:r>
        <w:continuationSeparator/>
      </w:r>
    </w:p>
  </w:footnote>
  <w:footnote w:type="continuationNotice" w:id="1">
    <w:p w14:paraId="5C195573" w14:textId="77777777" w:rsidR="00996AA7" w:rsidRDefault="00996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7"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8"/>
  </w:num>
  <w:num w:numId="4">
    <w:abstractNumId w:val="32"/>
  </w:num>
  <w:num w:numId="5">
    <w:abstractNumId w:val="6"/>
  </w:num>
  <w:num w:numId="6">
    <w:abstractNumId w:val="3"/>
  </w:num>
  <w:num w:numId="7">
    <w:abstractNumId w:val="8"/>
  </w:num>
  <w:num w:numId="8">
    <w:abstractNumId w:val="29"/>
  </w:num>
  <w:num w:numId="9">
    <w:abstractNumId w:val="23"/>
  </w:num>
  <w:num w:numId="10">
    <w:abstractNumId w:val="24"/>
  </w:num>
  <w:num w:numId="11">
    <w:abstractNumId w:val="19"/>
  </w:num>
  <w:num w:numId="12">
    <w:abstractNumId w:val="4"/>
  </w:num>
  <w:num w:numId="13">
    <w:abstractNumId w:val="10"/>
  </w:num>
  <w:num w:numId="14">
    <w:abstractNumId w:val="7"/>
  </w:num>
  <w:num w:numId="15">
    <w:abstractNumId w:val="12"/>
  </w:num>
  <w:num w:numId="16">
    <w:abstractNumId w:val="15"/>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0"/>
  </w:num>
  <w:num w:numId="24">
    <w:abstractNumId w:val="21"/>
  </w:num>
  <w:num w:numId="25">
    <w:abstractNumId w:val="22"/>
  </w:num>
  <w:num w:numId="26">
    <w:abstractNumId w:val="16"/>
  </w:num>
  <w:num w:numId="27">
    <w:abstractNumId w:val="31"/>
  </w:num>
  <w:num w:numId="28">
    <w:abstractNumId w:val="27"/>
  </w:num>
  <w:num w:numId="29">
    <w:abstractNumId w:val="17"/>
  </w:num>
  <w:num w:numId="30">
    <w:abstractNumId w:val="9"/>
  </w:num>
  <w:num w:numId="31">
    <w:abstractNumId w:val="14"/>
  </w:num>
  <w:num w:numId="3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1D7A"/>
    <w:rsid w:val="00073183"/>
    <w:rsid w:val="00082893"/>
    <w:rsid w:val="000931A2"/>
    <w:rsid w:val="0009333B"/>
    <w:rsid w:val="000957A7"/>
    <w:rsid w:val="00096A3B"/>
    <w:rsid w:val="00096B42"/>
    <w:rsid w:val="000A0552"/>
    <w:rsid w:val="000A4C69"/>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2507"/>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4F91"/>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0C9D"/>
    <w:rsid w:val="004B6C67"/>
    <w:rsid w:val="004C28BD"/>
    <w:rsid w:val="004C409D"/>
    <w:rsid w:val="004C47B2"/>
    <w:rsid w:val="004C6C12"/>
    <w:rsid w:val="004D449B"/>
    <w:rsid w:val="004D5E40"/>
    <w:rsid w:val="004D7AE9"/>
    <w:rsid w:val="004E3207"/>
    <w:rsid w:val="004E6335"/>
    <w:rsid w:val="004E7C6C"/>
    <w:rsid w:val="004F6BDE"/>
    <w:rsid w:val="005066B2"/>
    <w:rsid w:val="00507191"/>
    <w:rsid w:val="00511D96"/>
    <w:rsid w:val="00512F8F"/>
    <w:rsid w:val="00522BE6"/>
    <w:rsid w:val="00525ED8"/>
    <w:rsid w:val="00527597"/>
    <w:rsid w:val="00532EFD"/>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133E"/>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472E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4703"/>
    <w:rsid w:val="00915428"/>
    <w:rsid w:val="009160C6"/>
    <w:rsid w:val="00917C69"/>
    <w:rsid w:val="00921B93"/>
    <w:rsid w:val="00922155"/>
    <w:rsid w:val="0092573E"/>
    <w:rsid w:val="00931220"/>
    <w:rsid w:val="00935404"/>
    <w:rsid w:val="00941A9E"/>
    <w:rsid w:val="0094489F"/>
    <w:rsid w:val="00956A6C"/>
    <w:rsid w:val="009603FE"/>
    <w:rsid w:val="00962EBB"/>
    <w:rsid w:val="009652F9"/>
    <w:rsid w:val="0096599A"/>
    <w:rsid w:val="00970D8F"/>
    <w:rsid w:val="00972443"/>
    <w:rsid w:val="00972E40"/>
    <w:rsid w:val="00973740"/>
    <w:rsid w:val="00990725"/>
    <w:rsid w:val="009929A7"/>
    <w:rsid w:val="00996A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1CB3"/>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2731"/>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31281</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17</cp:revision>
  <cp:lastPrinted>2018-10-04T13:45:00Z</cp:lastPrinted>
  <dcterms:created xsi:type="dcterms:W3CDTF">2021-12-03T07:47:00Z</dcterms:created>
  <dcterms:modified xsi:type="dcterms:W3CDTF">2022-02-14T19:53:00Z</dcterms:modified>
</cp:coreProperties>
</file>