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1C18BA">
              <w:rPr>
                <w:rFonts w:ascii="Arial Narrow" w:hAnsi="Arial Narrow"/>
                <w:sz w:val="20"/>
                <w:lang w:val="en-GB"/>
              </w:rPr>
              <w:t>3</w:t>
            </w:r>
            <w:r w:rsidR="007167B3">
              <w:rPr>
                <w:rFonts w:ascii="Arial Narrow" w:hAnsi="Arial Narrow"/>
                <w:sz w:val="20"/>
                <w:lang w:val="en-GB"/>
              </w:rPr>
              <w:t>6</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7167B3"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 November</w:t>
            </w:r>
            <w:r w:rsidR="009266E9" w:rsidRPr="003522FB">
              <w:rPr>
                <w:rFonts w:ascii="Arial Narrow" w:hAnsi="Arial Narrow"/>
                <w:sz w:val="20"/>
                <w:lang w:val="en-GB"/>
              </w:rPr>
              <w:t xml:space="preserve"> 202</w:t>
            </w:r>
            <w:r>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1C18BA" w:rsidP="00187B58">
            <w:pPr>
              <w:rPr>
                <w:rFonts w:ascii="Arial Narrow" w:hAnsi="Arial Narrow"/>
                <w:sz w:val="20"/>
                <w:lang w:val="en-GB"/>
              </w:rPr>
            </w:pPr>
            <w:bookmarkStart w:id="0" w:name="_Hlk100224806"/>
            <w:r w:rsidRPr="007167B3">
              <w:rPr>
                <w:rFonts w:ascii="Arial Narrow" w:hAnsi="Arial Narrow"/>
                <w:sz w:val="20"/>
                <w:lang w:val="en-GB"/>
              </w:rPr>
              <w:t>Bid to supply, delivery, install, commission, maintain and provide training on one inductively coupled plasma mass spectrometry (ICP-MS)</w:t>
            </w:r>
            <w:bookmarkEnd w:id="0"/>
            <w:r w:rsidRPr="007167B3">
              <w:rPr>
                <w:rFonts w:ascii="Arial Narrow" w:hAnsi="Arial Narrow"/>
                <w:sz w:val="20"/>
                <w:lang w:val="en-GB"/>
              </w:rPr>
              <w:t xml:space="preserve">  </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M</w:t>
            </w:r>
            <w:r w:rsidR="007167B3">
              <w:rPr>
                <w:rFonts w:ascii="Arial Narrow" w:hAnsi="Arial Narrow"/>
                <w:sz w:val="20"/>
                <w:lang w:val="en-GB"/>
              </w:rPr>
              <w:t xml:space="preserve">s. </w:t>
            </w:r>
            <w:proofErr w:type="spellStart"/>
            <w:r w:rsidR="007167B3">
              <w:rPr>
                <w:rFonts w:ascii="Arial Narrow" w:hAnsi="Arial Narrow"/>
                <w:sz w:val="20"/>
                <w:lang w:val="en-GB"/>
              </w:rPr>
              <w:t>Thulile</w:t>
            </w:r>
            <w:proofErr w:type="spellEnd"/>
            <w:r w:rsidR="007167B3">
              <w:rPr>
                <w:rFonts w:ascii="Arial Narrow" w:hAnsi="Arial Narrow"/>
                <w:sz w:val="20"/>
                <w:lang w:val="en-GB"/>
              </w:rPr>
              <w:t xml:space="preserve"> Sokhela</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50462">
              <w:rPr>
                <w:rFonts w:ascii="Arial Narrow" w:hAnsi="Arial Narrow"/>
                <w:sz w:val="20"/>
                <w:lang w:val="en-GB"/>
              </w:rPr>
            </w:r>
            <w:r w:rsidR="0005046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1C18BA" w:rsidRPr="0093486F" w:rsidTr="00AE6E78">
        <w:tc>
          <w:tcPr>
            <w:tcW w:w="835" w:type="dxa"/>
            <w:vAlign w:val="center"/>
          </w:tcPr>
          <w:p w:rsidR="001C18BA" w:rsidRPr="0093486F" w:rsidRDefault="001C18BA" w:rsidP="00AE6E78">
            <w:pPr>
              <w:widowControl/>
              <w:spacing w:after="200"/>
              <w:rPr>
                <w:b/>
              </w:rPr>
            </w:pPr>
            <w:r>
              <w:rPr>
                <w:b/>
              </w:rPr>
              <w:t>No</w:t>
            </w:r>
          </w:p>
        </w:tc>
        <w:tc>
          <w:tcPr>
            <w:tcW w:w="3260" w:type="dxa"/>
            <w:vAlign w:val="center"/>
          </w:tcPr>
          <w:p w:rsidR="001C18BA" w:rsidRPr="0093486F" w:rsidRDefault="001C18BA" w:rsidP="00AE6E78">
            <w:pPr>
              <w:widowControl/>
              <w:spacing w:after="200"/>
              <w:rPr>
                <w:b/>
              </w:rPr>
            </w:pPr>
            <w:r>
              <w:rPr>
                <w:b/>
              </w:rPr>
              <w:t xml:space="preserve">Description </w:t>
            </w:r>
          </w:p>
        </w:tc>
        <w:tc>
          <w:tcPr>
            <w:tcW w:w="1604" w:type="dxa"/>
            <w:vAlign w:val="center"/>
          </w:tcPr>
          <w:p w:rsidR="001C18BA" w:rsidRPr="0093486F" w:rsidRDefault="001C18BA" w:rsidP="00AE6E78">
            <w:pPr>
              <w:widowControl/>
              <w:spacing w:after="200"/>
              <w:jc w:val="center"/>
              <w:rPr>
                <w:b/>
              </w:rPr>
            </w:pPr>
            <w:r>
              <w:rPr>
                <w:b/>
              </w:rPr>
              <w:t>Quantity</w:t>
            </w:r>
          </w:p>
        </w:tc>
        <w:tc>
          <w:tcPr>
            <w:tcW w:w="1604" w:type="dxa"/>
            <w:vAlign w:val="center"/>
          </w:tcPr>
          <w:p w:rsidR="001C18BA" w:rsidRPr="0093486F" w:rsidRDefault="001C18BA" w:rsidP="00AE6E78">
            <w:pPr>
              <w:widowControl/>
              <w:spacing w:after="200"/>
              <w:jc w:val="center"/>
              <w:rPr>
                <w:b/>
              </w:rPr>
            </w:pPr>
            <w:r>
              <w:rPr>
                <w:b/>
              </w:rPr>
              <w:t>Price Per unit</w:t>
            </w:r>
          </w:p>
        </w:tc>
        <w:tc>
          <w:tcPr>
            <w:tcW w:w="1604" w:type="dxa"/>
            <w:vAlign w:val="center"/>
          </w:tcPr>
          <w:p w:rsidR="001C18BA" w:rsidRPr="0093486F" w:rsidRDefault="001C18BA" w:rsidP="00AE6E78">
            <w:pPr>
              <w:widowControl/>
              <w:spacing w:after="200"/>
              <w:jc w:val="center"/>
              <w:rPr>
                <w:b/>
              </w:rPr>
            </w:pPr>
            <w:r>
              <w:rPr>
                <w:b/>
              </w:rPr>
              <w:t>Sub Total (Excl. VAT)</w:t>
            </w:r>
          </w:p>
        </w:tc>
      </w:tr>
      <w:tr w:rsidR="001C18BA" w:rsidRPr="00B42B1B" w:rsidTr="00AE6E78">
        <w:tc>
          <w:tcPr>
            <w:tcW w:w="835" w:type="dxa"/>
            <w:vAlign w:val="center"/>
          </w:tcPr>
          <w:p w:rsidR="001C18BA" w:rsidRPr="00B42B1B" w:rsidRDefault="001C18BA" w:rsidP="00AE6E78">
            <w:pPr>
              <w:widowControl/>
              <w:spacing w:after="200"/>
              <w:rPr>
                <w:b/>
              </w:rPr>
            </w:pPr>
            <w:r>
              <w:rPr>
                <w:b/>
              </w:rPr>
              <w:t>1</w:t>
            </w:r>
          </w:p>
        </w:tc>
        <w:tc>
          <w:tcPr>
            <w:tcW w:w="3260" w:type="dxa"/>
            <w:vAlign w:val="center"/>
          </w:tcPr>
          <w:p w:rsidR="001C18BA" w:rsidRPr="00B42B1B" w:rsidRDefault="001C18BA" w:rsidP="00AE6E78">
            <w:pPr>
              <w:widowControl/>
              <w:spacing w:after="200"/>
              <w:rPr>
                <w:b/>
              </w:rPr>
            </w:pPr>
            <w:r>
              <w:rPr>
                <w:color w:val="202124"/>
                <w:shd w:val="clear" w:color="auto" w:fill="FFFFFF"/>
              </w:rPr>
              <w:t>Inductively coupled plasma mass spectrometry </w:t>
            </w:r>
            <w:r>
              <w:rPr>
                <w:color w:val="000000"/>
                <w:lang w:val="en-ZA"/>
              </w:rPr>
              <w:t>(ICP-MS)</w:t>
            </w:r>
          </w:p>
        </w:tc>
        <w:tc>
          <w:tcPr>
            <w:tcW w:w="1604" w:type="dxa"/>
            <w:vAlign w:val="center"/>
          </w:tcPr>
          <w:p w:rsidR="001C18BA" w:rsidRPr="00B42B1B" w:rsidRDefault="001C18BA" w:rsidP="00AE6E78">
            <w:pPr>
              <w:widowControl/>
              <w:spacing w:after="200"/>
              <w:jc w:val="center"/>
              <w:rPr>
                <w:b/>
              </w:rPr>
            </w:pPr>
            <w:r>
              <w:rPr>
                <w:b/>
              </w:rPr>
              <w:t>01</w:t>
            </w:r>
          </w:p>
        </w:tc>
        <w:tc>
          <w:tcPr>
            <w:tcW w:w="1604" w:type="dxa"/>
            <w:vAlign w:val="center"/>
          </w:tcPr>
          <w:p w:rsidR="001C18BA" w:rsidRPr="00B42B1B" w:rsidRDefault="001C18BA" w:rsidP="00AE6E78">
            <w:pPr>
              <w:widowControl/>
              <w:spacing w:after="200"/>
              <w:jc w:val="center"/>
              <w:rPr>
                <w:b/>
                <w:highlight w:val="yellow"/>
              </w:rPr>
            </w:pPr>
          </w:p>
        </w:tc>
        <w:tc>
          <w:tcPr>
            <w:tcW w:w="1604" w:type="dxa"/>
            <w:vAlign w:val="center"/>
          </w:tcPr>
          <w:p w:rsidR="001C18BA" w:rsidRPr="00B42B1B" w:rsidRDefault="001C18BA" w:rsidP="00AE6E78">
            <w:pPr>
              <w:widowControl/>
              <w:spacing w:after="200"/>
              <w:jc w:val="center"/>
              <w:rPr>
                <w:b/>
                <w:highlight w:val="yellow"/>
              </w:rPr>
            </w:pPr>
          </w:p>
        </w:tc>
      </w:tr>
      <w:tr w:rsidR="001C18BA" w:rsidRPr="00B42B1B" w:rsidTr="00AE6E78">
        <w:tc>
          <w:tcPr>
            <w:tcW w:w="835" w:type="dxa"/>
            <w:vAlign w:val="center"/>
          </w:tcPr>
          <w:p w:rsidR="001C18BA" w:rsidRPr="00B42B1B" w:rsidRDefault="001C18BA" w:rsidP="00AE6E78">
            <w:pPr>
              <w:widowControl/>
              <w:spacing w:after="200"/>
              <w:rPr>
                <w:b/>
              </w:rPr>
            </w:pPr>
            <w:r>
              <w:rPr>
                <w:b/>
              </w:rPr>
              <w:t>2</w:t>
            </w:r>
          </w:p>
        </w:tc>
        <w:tc>
          <w:tcPr>
            <w:tcW w:w="3260" w:type="dxa"/>
            <w:vAlign w:val="center"/>
          </w:tcPr>
          <w:p w:rsidR="001C18BA" w:rsidRPr="006335D2" w:rsidRDefault="001C18BA" w:rsidP="00AE6E78">
            <w:pPr>
              <w:rPr>
                <w:rFonts w:eastAsiaTheme="minorEastAsia"/>
                <w:iCs/>
                <w:lang w:val="en-ZA"/>
              </w:rPr>
            </w:pPr>
            <w:r>
              <w:rPr>
                <w:color w:val="000000"/>
                <w:lang w:val="en-ZA"/>
              </w:rPr>
              <w:t xml:space="preserve">Maintenance plan: </w:t>
            </w:r>
            <w:r>
              <w:rPr>
                <w:rFonts w:eastAsiaTheme="minorEastAsia"/>
                <w:lang w:val="en-ZA"/>
              </w:rPr>
              <w:t xml:space="preserve">Minimum of 2 visits per year for attending the fault and routine maintenance during the first 5 years after installation is mandatory. </w:t>
            </w:r>
          </w:p>
        </w:tc>
        <w:tc>
          <w:tcPr>
            <w:tcW w:w="1604" w:type="dxa"/>
            <w:vAlign w:val="center"/>
          </w:tcPr>
          <w:p w:rsidR="001C18BA" w:rsidRPr="00B42B1B" w:rsidRDefault="001C18BA" w:rsidP="00AE6E78">
            <w:pPr>
              <w:widowControl/>
              <w:spacing w:after="200"/>
              <w:jc w:val="center"/>
              <w:rPr>
                <w:b/>
              </w:rPr>
            </w:pPr>
            <w:r>
              <w:rPr>
                <w:b/>
              </w:rPr>
              <w:t>01</w:t>
            </w:r>
          </w:p>
        </w:tc>
        <w:tc>
          <w:tcPr>
            <w:tcW w:w="1604" w:type="dxa"/>
            <w:vAlign w:val="center"/>
          </w:tcPr>
          <w:p w:rsidR="001C18BA" w:rsidRPr="00B42B1B" w:rsidRDefault="001C18BA" w:rsidP="00AE6E78">
            <w:pPr>
              <w:widowControl/>
              <w:spacing w:after="200"/>
              <w:jc w:val="center"/>
              <w:rPr>
                <w:b/>
              </w:rPr>
            </w:pPr>
          </w:p>
        </w:tc>
        <w:tc>
          <w:tcPr>
            <w:tcW w:w="1604" w:type="dxa"/>
            <w:vAlign w:val="center"/>
          </w:tcPr>
          <w:p w:rsidR="001C18BA" w:rsidRPr="00B42B1B" w:rsidRDefault="001C18BA" w:rsidP="00AE6E78">
            <w:pPr>
              <w:widowControl/>
              <w:spacing w:after="200"/>
              <w:jc w:val="center"/>
              <w:rPr>
                <w:b/>
              </w:rPr>
            </w:pPr>
          </w:p>
        </w:tc>
      </w:tr>
      <w:tr w:rsidR="001C18BA" w:rsidRPr="00B42B1B" w:rsidTr="00AE6E78">
        <w:tc>
          <w:tcPr>
            <w:tcW w:w="835" w:type="dxa"/>
            <w:shd w:val="clear" w:color="auto" w:fill="auto"/>
            <w:vAlign w:val="center"/>
          </w:tcPr>
          <w:p w:rsidR="001C18BA" w:rsidRPr="00B42B1B" w:rsidRDefault="001C18BA" w:rsidP="00AE6E78">
            <w:pPr>
              <w:widowControl/>
              <w:spacing w:after="200"/>
              <w:rPr>
                <w:b/>
              </w:rPr>
            </w:pPr>
            <w:r>
              <w:rPr>
                <w:b/>
              </w:rPr>
              <w:t>3</w:t>
            </w:r>
          </w:p>
        </w:tc>
        <w:tc>
          <w:tcPr>
            <w:tcW w:w="3260" w:type="dxa"/>
            <w:shd w:val="clear" w:color="auto" w:fill="auto"/>
            <w:vAlign w:val="center"/>
          </w:tcPr>
          <w:p w:rsidR="001C18BA" w:rsidRPr="00B42B1B" w:rsidRDefault="001C18BA" w:rsidP="00AE6E78">
            <w:pPr>
              <w:widowControl/>
              <w:spacing w:after="200"/>
              <w:rPr>
                <w:iCs/>
                <w:color w:val="000000"/>
                <w:lang w:val="en-ZA"/>
              </w:rPr>
            </w:pPr>
            <w:r>
              <w:rPr>
                <w:color w:val="000000"/>
                <w:lang w:val="en-ZA"/>
              </w:rPr>
              <w:t xml:space="preserve">Training of 2 operator(s) </w:t>
            </w:r>
          </w:p>
        </w:tc>
        <w:tc>
          <w:tcPr>
            <w:tcW w:w="1604" w:type="dxa"/>
            <w:shd w:val="clear" w:color="auto" w:fill="auto"/>
            <w:vAlign w:val="center"/>
          </w:tcPr>
          <w:p w:rsidR="001C18BA" w:rsidRPr="00B42B1B" w:rsidRDefault="001C18BA" w:rsidP="00AE6E78">
            <w:pPr>
              <w:widowControl/>
              <w:spacing w:after="200"/>
              <w:jc w:val="center"/>
              <w:rPr>
                <w:b/>
              </w:rPr>
            </w:pPr>
            <w:r>
              <w:rPr>
                <w:b/>
              </w:rPr>
              <w:t>(Once-off)</w:t>
            </w:r>
          </w:p>
        </w:tc>
        <w:tc>
          <w:tcPr>
            <w:tcW w:w="1604" w:type="dxa"/>
            <w:shd w:val="clear" w:color="auto" w:fill="auto"/>
            <w:vAlign w:val="center"/>
          </w:tcPr>
          <w:p w:rsidR="001C18BA" w:rsidRPr="00B42B1B" w:rsidRDefault="001C18BA" w:rsidP="00AE6E78">
            <w:pPr>
              <w:widowControl/>
              <w:spacing w:after="200"/>
              <w:jc w:val="center"/>
              <w:rPr>
                <w:b/>
              </w:rPr>
            </w:pPr>
          </w:p>
        </w:tc>
        <w:tc>
          <w:tcPr>
            <w:tcW w:w="1604" w:type="dxa"/>
            <w:shd w:val="clear" w:color="auto" w:fill="auto"/>
            <w:vAlign w:val="center"/>
          </w:tcPr>
          <w:p w:rsidR="001C18BA" w:rsidRPr="00B42B1B" w:rsidRDefault="001C18BA" w:rsidP="00AE6E78">
            <w:pPr>
              <w:widowControl/>
              <w:spacing w:after="200"/>
              <w:jc w:val="center"/>
              <w:rPr>
                <w:b/>
              </w:rPr>
            </w:pPr>
          </w:p>
        </w:tc>
      </w:tr>
      <w:tr w:rsidR="001C18BA" w:rsidRPr="00B42B1B" w:rsidTr="00AE6E78">
        <w:tc>
          <w:tcPr>
            <w:tcW w:w="5699" w:type="dxa"/>
            <w:gridSpan w:val="3"/>
            <w:vAlign w:val="center"/>
          </w:tcPr>
          <w:p w:rsidR="001C18BA" w:rsidRPr="00B42B1B" w:rsidRDefault="001C18BA" w:rsidP="00AE6E78">
            <w:pPr>
              <w:widowControl/>
              <w:spacing w:after="200"/>
              <w:rPr>
                <w:b/>
              </w:rPr>
            </w:pPr>
            <w:r>
              <w:rPr>
                <w:b/>
              </w:rPr>
              <w:t>Total Excluding VAT</w:t>
            </w:r>
          </w:p>
        </w:tc>
        <w:tc>
          <w:tcPr>
            <w:tcW w:w="3208" w:type="dxa"/>
            <w:gridSpan w:val="2"/>
            <w:vAlign w:val="center"/>
          </w:tcPr>
          <w:p w:rsidR="001C18BA" w:rsidRPr="00B42B1B" w:rsidRDefault="001C18BA" w:rsidP="00AE6E78">
            <w:pPr>
              <w:widowControl/>
              <w:spacing w:after="200"/>
              <w:rPr>
                <w:b/>
              </w:rPr>
            </w:pPr>
          </w:p>
        </w:tc>
      </w:tr>
      <w:tr w:rsidR="001C18BA" w:rsidRPr="00B42B1B" w:rsidTr="00AE6E78">
        <w:tc>
          <w:tcPr>
            <w:tcW w:w="5699" w:type="dxa"/>
            <w:gridSpan w:val="3"/>
            <w:vAlign w:val="center"/>
          </w:tcPr>
          <w:p w:rsidR="001C18BA" w:rsidRPr="00B42B1B" w:rsidRDefault="001C18BA" w:rsidP="00AE6E78">
            <w:pPr>
              <w:widowControl/>
              <w:spacing w:after="200"/>
              <w:rPr>
                <w:b/>
              </w:rPr>
            </w:pPr>
            <w:r>
              <w:rPr>
                <w:b/>
              </w:rPr>
              <w:t>Total Including VAT</w:t>
            </w:r>
          </w:p>
        </w:tc>
        <w:tc>
          <w:tcPr>
            <w:tcW w:w="3208" w:type="dxa"/>
            <w:gridSpan w:val="2"/>
            <w:vAlign w:val="center"/>
          </w:tcPr>
          <w:p w:rsidR="001C18BA" w:rsidRPr="00B42B1B" w:rsidRDefault="001C18BA" w:rsidP="00AE6E78">
            <w:pPr>
              <w:widowControl/>
              <w:spacing w:after="200"/>
              <w:rPr>
                <w:b/>
              </w:rPr>
            </w:pPr>
          </w:p>
        </w:tc>
      </w:tr>
    </w:tbl>
    <w:p w:rsidR="00213D38" w:rsidRDefault="00213D38" w:rsidP="00213D38">
      <w:pPr>
        <w:pStyle w:val="1Paragraph"/>
        <w:ind w:left="1571"/>
      </w:pPr>
    </w:p>
    <w:p w:rsidR="001C18BA" w:rsidRDefault="001C18BA" w:rsidP="00213D38">
      <w:pPr>
        <w:pStyle w:val="1Paragraph"/>
        <w:ind w:left="1571"/>
      </w:pPr>
    </w:p>
    <w:p w:rsidR="001C18BA" w:rsidRDefault="001C18BA"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bookmarkStart w:id="1" w:name="_GoBack"/>
      <w:bookmarkEnd w:id="1"/>
    </w:p>
    <w:p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w:t>
      </w:r>
      <w:r w:rsidRPr="007167B3">
        <w:rPr>
          <w:rFonts w:ascii="Arial" w:hAnsi="Arial"/>
          <w:snapToGrid/>
          <w:sz w:val="20"/>
        </w:rPr>
        <w:lastRenderedPageBreak/>
        <w:t xml:space="preserve">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2"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2"/>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w:t>
      </w:r>
      <w:r w:rsidRPr="007167B3">
        <w:rPr>
          <w:rFonts w:ascii="Arial" w:hAnsi="Arial"/>
          <w:snapToGrid/>
          <w:sz w:val="20"/>
          <w:lang w:val="en-GB"/>
        </w:rPr>
        <w:lastRenderedPageBreak/>
        <w:t xml:space="preserve">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3" w:name="_Hlk117764996"/>
      <w:r w:rsidRPr="007167B3">
        <w:rPr>
          <w:rFonts w:ascii="Arial" w:hAnsi="Arial"/>
          <w:snapToGrid/>
          <w:sz w:val="20"/>
          <w:lang w:val="en-GB"/>
        </w:rPr>
        <w:sym w:font="Symbol" w:char="F07F"/>
      </w:r>
      <w:bookmarkEnd w:id="3"/>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w:t>
      </w:r>
      <w:r w:rsidRPr="007167B3">
        <w:rPr>
          <w:rFonts w:ascii="Arial" w:hAnsi="Arial"/>
          <w:snapToGrid/>
          <w:sz w:val="20"/>
          <w:lang w:val="en-GB"/>
        </w:rPr>
        <w:lastRenderedPageBreak/>
        <w:t xml:space="preserve">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62" w:rsidRDefault="00050462">
      <w:r>
        <w:separator/>
      </w:r>
    </w:p>
  </w:endnote>
  <w:endnote w:type="continuationSeparator" w:id="0">
    <w:p w:rsidR="00050462" w:rsidRDefault="0005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1C18BA">
      <w:rPr>
        <w:sz w:val="16"/>
        <w:szCs w:val="16"/>
      </w:rPr>
      <w:t>3</w:t>
    </w:r>
    <w:r w:rsidR="007167B3">
      <w:rPr>
        <w:sz w:val="16"/>
        <w:szCs w:val="16"/>
      </w:rPr>
      <w:t>6</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1C18BA">
      <w:t>Bid</w:t>
    </w:r>
    <w:proofErr w:type="gramEnd"/>
    <w:r w:rsidR="001C18BA">
      <w:t xml:space="preserve"> to supply, delivery, install, commission, maintain and provide training on one </w:t>
    </w:r>
    <w:r w:rsidR="001C18BA">
      <w:rPr>
        <w:color w:val="202124"/>
        <w:shd w:val="clear" w:color="auto" w:fill="FFFFFF"/>
      </w:rPr>
      <w:t>inductively coupled plasma mass spectrometry </w:t>
    </w:r>
    <w:r w:rsidR="001C18BA">
      <w:t xml:space="preserve">(ICP-MS)  </w:t>
    </w:r>
  </w:p>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62" w:rsidRDefault="00050462">
      <w:r>
        <w:separator/>
      </w:r>
    </w:p>
  </w:footnote>
  <w:footnote w:type="continuationSeparator" w:id="0">
    <w:p w:rsidR="00050462" w:rsidRDefault="00050462">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9AA809F"/>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84662E-5B20-4ECE-BEB0-9EF36485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3238</Words>
  <Characters>18461</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21656</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7</cp:revision>
  <cp:lastPrinted>2020-05-06T08:27:00Z</cp:lastPrinted>
  <dcterms:created xsi:type="dcterms:W3CDTF">2022-08-26T10:14:00Z</dcterms:created>
  <dcterms:modified xsi:type="dcterms:W3CDTF">2023-10-20T07:31:00Z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