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A6A6FA11634C76B8B692A4F14A0ACD"/>
        </w:placeholder>
      </w:sdtPr>
      <w:sdtContent>
        <w:sdt>
          <w:sdtPr>
            <w:id w:val="-1462265599"/>
            <w:lock w:val="sdtContentLocked"/>
            <w:placeholder>
              <w:docPart w:val="94A6A6FA11634C76B8B692A4F14A0ACD"/>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C3108B"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203C6D" w:rsidTr="00F91DE2">
        <w:trPr>
          <w:trHeight w:val="567"/>
        </w:trPr>
        <w:tc>
          <w:tcPr>
            <w:tcW w:w="3539" w:type="dxa"/>
            <w:shd w:val="clear" w:color="auto" w:fill="DBE5F1" w:themeFill="accent1" w:themeFillTint="33"/>
            <w:vAlign w:val="center"/>
          </w:tcPr>
          <w:p w:rsidR="00B6276C" w:rsidRPr="00203C6D" w:rsidRDefault="00D41F1F" w:rsidP="00203C6D">
            <w:pPr>
              <w:spacing w:line="276" w:lineRule="auto"/>
              <w:rPr>
                <w:rFonts w:cs="Calibri Light"/>
                <w:b/>
              </w:rPr>
            </w:pPr>
            <w:r w:rsidRPr="00203C6D">
              <w:rPr>
                <w:rFonts w:cs="Calibri Light"/>
                <w:b/>
              </w:rPr>
              <w:t>RF</w:t>
            </w:r>
            <w:r w:rsidR="00744D8F" w:rsidRPr="00203C6D">
              <w:rPr>
                <w:rFonts w:cs="Calibri Light"/>
                <w:b/>
              </w:rPr>
              <w:t>B</w:t>
            </w:r>
            <w:r w:rsidR="00B6276C" w:rsidRPr="00203C6D">
              <w:rPr>
                <w:rFonts w:cs="Calibri Light"/>
                <w:b/>
              </w:rPr>
              <w:t xml:space="preserve"> No:</w:t>
            </w:r>
          </w:p>
        </w:tc>
        <w:tc>
          <w:tcPr>
            <w:tcW w:w="6089" w:type="dxa"/>
            <w:vAlign w:val="center"/>
          </w:tcPr>
          <w:p w:rsidR="00B6276C" w:rsidRPr="00203C6D" w:rsidRDefault="00347F1F" w:rsidP="00203C6D">
            <w:pPr>
              <w:spacing w:line="276" w:lineRule="auto"/>
              <w:rPr>
                <w:rFonts w:cs="Calibri Light"/>
                <w:b/>
                <w:bCs/>
              </w:rPr>
            </w:pPr>
            <w:r w:rsidRPr="00347F1F">
              <w:rPr>
                <w:rFonts w:cs="Calibri Light"/>
                <w:b/>
                <w:bCs/>
              </w:rPr>
              <w:t>RFB 2613/2022</w:t>
            </w:r>
          </w:p>
        </w:tc>
      </w:tr>
      <w:tr w:rsidR="00B6276C" w:rsidRPr="00203C6D" w:rsidTr="00F91DE2">
        <w:trPr>
          <w:trHeight w:val="567"/>
        </w:trPr>
        <w:tc>
          <w:tcPr>
            <w:tcW w:w="3539" w:type="dxa"/>
            <w:shd w:val="clear" w:color="auto" w:fill="DBE5F1" w:themeFill="accent1" w:themeFillTint="33"/>
            <w:vAlign w:val="center"/>
          </w:tcPr>
          <w:p w:rsidR="00B6276C" w:rsidRPr="00203C6D" w:rsidRDefault="00B6276C" w:rsidP="00203C6D">
            <w:pPr>
              <w:spacing w:line="276" w:lineRule="auto"/>
              <w:jc w:val="left"/>
              <w:rPr>
                <w:rFonts w:cs="Calibri Light"/>
                <w:b/>
              </w:rPr>
            </w:pPr>
            <w:r w:rsidRPr="00203C6D">
              <w:rPr>
                <w:rFonts w:cs="Calibri Light"/>
                <w:b/>
              </w:rPr>
              <w:t>Description</w:t>
            </w:r>
          </w:p>
        </w:tc>
        <w:tc>
          <w:tcPr>
            <w:tcW w:w="6089" w:type="dxa"/>
            <w:vAlign w:val="center"/>
          </w:tcPr>
          <w:p w:rsidR="00B6276C" w:rsidRPr="00203C6D" w:rsidRDefault="00744D8F" w:rsidP="00203C6D">
            <w:pPr>
              <w:spacing w:line="276" w:lineRule="auto"/>
              <w:rPr>
                <w:rFonts w:cs="Calibri Light"/>
                <w:b/>
              </w:rPr>
            </w:pPr>
            <w:bookmarkStart w:id="0" w:name="_Hlk108686819"/>
            <w:r w:rsidRPr="00203C6D">
              <w:rPr>
                <w:rFonts w:cs="Calibri Light"/>
                <w:b/>
                <w:bCs/>
              </w:rPr>
              <w:t>PROVIDE DIESEL TO THE SOUTH AFRICAN POLICE SERVICE SWITCHING CENTRES, NODAL POINT SITES AND SAPS HIGH SITES FOR A PERIOD OF THREE (3) YEARS</w:t>
            </w:r>
            <w:bookmarkEnd w:id="0"/>
            <w:r w:rsidR="00CE60AF">
              <w:rPr>
                <w:rFonts w:cs="Calibri Light"/>
                <w:b/>
                <w:bCs/>
              </w:rPr>
              <w:t>.</w:t>
            </w:r>
            <w:bookmarkStart w:id="1" w:name="_GoBack"/>
            <w:bookmarkEnd w:id="1"/>
          </w:p>
        </w:tc>
      </w:tr>
      <w:tr w:rsidR="00B6276C" w:rsidRPr="00203C6D" w:rsidTr="00F91DE2">
        <w:trPr>
          <w:trHeight w:val="567"/>
        </w:trPr>
        <w:tc>
          <w:tcPr>
            <w:tcW w:w="3539" w:type="dxa"/>
            <w:shd w:val="clear" w:color="auto" w:fill="DBE5F1" w:themeFill="accent1" w:themeFillTint="33"/>
            <w:vAlign w:val="center"/>
          </w:tcPr>
          <w:p w:rsidR="00B6276C" w:rsidRPr="00203C6D" w:rsidRDefault="00B6276C" w:rsidP="00203C6D">
            <w:pPr>
              <w:spacing w:line="276" w:lineRule="auto"/>
              <w:jc w:val="left"/>
              <w:rPr>
                <w:rFonts w:cs="Calibri Light"/>
                <w:b/>
              </w:rPr>
            </w:pPr>
            <w:r w:rsidRPr="00203C6D">
              <w:rPr>
                <w:rFonts w:cs="Calibri Light"/>
                <w:b/>
              </w:rPr>
              <w:t xml:space="preserve">Virtual Briefing Session </w:t>
            </w:r>
          </w:p>
          <w:p w:rsidR="00B6276C" w:rsidRPr="00203C6D" w:rsidRDefault="00B6276C" w:rsidP="00203C6D">
            <w:pPr>
              <w:spacing w:line="276" w:lineRule="auto"/>
              <w:jc w:val="left"/>
              <w:rPr>
                <w:rFonts w:cs="Calibri Light"/>
                <w:b/>
              </w:rPr>
            </w:pPr>
          </w:p>
        </w:tc>
        <w:tc>
          <w:tcPr>
            <w:tcW w:w="6089" w:type="dxa"/>
            <w:vAlign w:val="center"/>
          </w:tcPr>
          <w:p w:rsidR="00B6276C" w:rsidRPr="00203C6D" w:rsidRDefault="00B6276C" w:rsidP="00203C6D">
            <w:pPr>
              <w:spacing w:line="276" w:lineRule="auto"/>
              <w:rPr>
                <w:rFonts w:cs="Calibri Light"/>
                <w:bCs/>
              </w:rPr>
            </w:pPr>
            <w:r w:rsidRPr="00203C6D">
              <w:rPr>
                <w:rFonts w:cs="Calibri Light"/>
                <w:bCs/>
              </w:rPr>
              <w:t>Non-Compulsory Briefing</w:t>
            </w:r>
            <w:r w:rsidR="004E3E3D" w:rsidRPr="00203C6D">
              <w:rPr>
                <w:rFonts w:cs="Calibri Light"/>
                <w:bCs/>
              </w:rPr>
              <w:t xml:space="preserve"> </w:t>
            </w:r>
            <w:r w:rsidRPr="00203C6D">
              <w:rPr>
                <w:rFonts w:cs="Calibri Light"/>
                <w:bCs/>
              </w:rPr>
              <w:t>Session will be held as follows:</w:t>
            </w:r>
          </w:p>
          <w:p w:rsidR="00B6276C" w:rsidRPr="00203C6D" w:rsidRDefault="00B6276C" w:rsidP="00203C6D">
            <w:pPr>
              <w:spacing w:line="276" w:lineRule="auto"/>
              <w:rPr>
                <w:rFonts w:cs="Calibri Light"/>
                <w:bCs/>
              </w:rPr>
            </w:pPr>
            <w:r w:rsidRPr="00203C6D">
              <w:rPr>
                <w:rFonts w:cs="Calibri Light"/>
                <w:b/>
              </w:rPr>
              <w:t>Date</w:t>
            </w:r>
            <w:r w:rsidRPr="00C3108B">
              <w:rPr>
                <w:rFonts w:cs="Calibri Light"/>
                <w:b/>
              </w:rPr>
              <w:t>:</w:t>
            </w:r>
            <w:r w:rsidR="00744D8F" w:rsidRPr="00C3108B">
              <w:rPr>
                <w:rFonts w:cs="Calibri Light"/>
                <w:b/>
              </w:rPr>
              <w:t xml:space="preserve"> </w:t>
            </w:r>
            <w:r w:rsidR="00744D8F" w:rsidRPr="00C3108B">
              <w:rPr>
                <w:rFonts w:cs="Calibri Light"/>
                <w:b/>
                <w:color w:val="FF0000"/>
              </w:rPr>
              <w:t>22 July</w:t>
            </w:r>
            <w:r w:rsidR="00744D8F" w:rsidRPr="00203C6D">
              <w:rPr>
                <w:rFonts w:cs="Calibri Light"/>
                <w:b/>
                <w:color w:val="FF0000"/>
              </w:rPr>
              <w:t xml:space="preserve"> 2022</w:t>
            </w:r>
          </w:p>
          <w:p w:rsidR="00B6276C" w:rsidRPr="00203C6D" w:rsidRDefault="00B6276C" w:rsidP="00203C6D">
            <w:pPr>
              <w:spacing w:line="276" w:lineRule="auto"/>
              <w:rPr>
                <w:rFonts w:cs="Calibri Light"/>
                <w:bCs/>
              </w:rPr>
            </w:pPr>
            <w:r w:rsidRPr="00203C6D">
              <w:rPr>
                <w:rFonts w:cs="Calibri Light"/>
                <w:b/>
              </w:rPr>
              <w:t>Time:</w:t>
            </w:r>
            <w:r w:rsidR="00744D8F" w:rsidRPr="00203C6D">
              <w:rPr>
                <w:rFonts w:cs="Calibri Light"/>
                <w:b/>
              </w:rPr>
              <w:t xml:space="preserve"> </w:t>
            </w:r>
            <w:r w:rsidR="00744D8F" w:rsidRPr="00C3108B">
              <w:rPr>
                <w:rFonts w:cs="Calibri Light"/>
                <w:b/>
              </w:rPr>
              <w:t>12:00pm</w:t>
            </w:r>
          </w:p>
          <w:p w:rsidR="00B6276C" w:rsidRPr="00203C6D" w:rsidRDefault="00B6276C" w:rsidP="00203C6D">
            <w:pPr>
              <w:spacing w:line="276" w:lineRule="auto"/>
              <w:rPr>
                <w:rFonts w:cs="Calibri Light"/>
                <w:bCs/>
              </w:rPr>
            </w:pPr>
            <w:r w:rsidRPr="00203C6D">
              <w:rPr>
                <w:rFonts w:cs="Calibri Light"/>
                <w:b/>
              </w:rPr>
              <w:t xml:space="preserve">Place: </w:t>
            </w:r>
            <w:r w:rsidR="00744D8F" w:rsidRPr="00203C6D">
              <w:rPr>
                <w:rFonts w:cs="Calibri Light"/>
              </w:rPr>
              <w:t xml:space="preserve">Online (MS Teams). Bidders are requested to indicate in writing on the below email address of their intension to attend the briefing session </w:t>
            </w:r>
            <w:r w:rsidR="00744D8F" w:rsidRPr="00C3108B">
              <w:rPr>
                <w:rFonts w:cs="Calibri Light"/>
              </w:rPr>
              <w:t xml:space="preserve">by </w:t>
            </w:r>
            <w:r w:rsidR="003C76EA" w:rsidRPr="00C3108B">
              <w:rPr>
                <w:rFonts w:cs="Calibri Light"/>
                <w:b/>
                <w:color w:val="FF0000"/>
              </w:rPr>
              <w:t>21</w:t>
            </w:r>
            <w:r w:rsidR="00744D8F" w:rsidRPr="00C3108B">
              <w:rPr>
                <w:rFonts w:cs="Calibri Light"/>
                <w:b/>
                <w:color w:val="FF0000"/>
              </w:rPr>
              <w:t xml:space="preserve"> July 2022</w:t>
            </w:r>
            <w:r w:rsidR="00744D8F" w:rsidRPr="00ED345B">
              <w:rPr>
                <w:rFonts w:cs="Calibri Light"/>
                <w:b/>
                <w:color w:val="FF0000"/>
              </w:rPr>
              <w:t xml:space="preserve"> @ 16:00pm</w:t>
            </w:r>
            <w:r w:rsidR="00744D8F" w:rsidRPr="00203C6D">
              <w:rPr>
                <w:rFonts w:cs="Calibri Light"/>
              </w:rPr>
              <w:t xml:space="preserve">, following which a link will be shared via email to allow attendance of the briefing session: </w:t>
            </w:r>
            <w:hyperlink r:id="rId13" w:history="1">
              <w:r w:rsidR="003C76EA" w:rsidRPr="00820B03">
                <w:rPr>
                  <w:rStyle w:val="Hyperlink"/>
                  <w:rFonts w:cs="Calibri Light"/>
                  <w:b/>
                  <w:color w:val="0000FF"/>
                </w:rPr>
                <w:t>Nokwanda.wasa@sita.co.za</w:t>
              </w:r>
            </w:hyperlink>
            <w:r w:rsidR="00744D8F" w:rsidRPr="00820B03">
              <w:rPr>
                <w:rFonts w:cs="Calibri Light"/>
                <w:b/>
                <w:color w:val="0000FF"/>
              </w:rPr>
              <w:t>.</w:t>
            </w:r>
          </w:p>
        </w:tc>
      </w:tr>
      <w:tr w:rsidR="00B6276C" w:rsidRPr="00203C6D" w:rsidTr="00F91DE2">
        <w:trPr>
          <w:trHeight w:val="567"/>
        </w:trPr>
        <w:tc>
          <w:tcPr>
            <w:tcW w:w="3539" w:type="dxa"/>
            <w:shd w:val="clear" w:color="auto" w:fill="DBE5F1" w:themeFill="accent1" w:themeFillTint="33"/>
            <w:vAlign w:val="center"/>
          </w:tcPr>
          <w:p w:rsidR="00B6276C" w:rsidRPr="00203C6D" w:rsidRDefault="00B6276C" w:rsidP="00203C6D">
            <w:pPr>
              <w:spacing w:line="276" w:lineRule="auto"/>
              <w:jc w:val="left"/>
              <w:rPr>
                <w:rFonts w:cs="Calibri Light"/>
                <w:b/>
              </w:rPr>
            </w:pPr>
            <w:r w:rsidRPr="00203C6D">
              <w:rPr>
                <w:rFonts w:cs="Calibri Light"/>
                <w:b/>
              </w:rPr>
              <w:t>Closing Date for questions / queries</w:t>
            </w:r>
          </w:p>
        </w:tc>
        <w:tc>
          <w:tcPr>
            <w:tcW w:w="6089" w:type="dxa"/>
            <w:vAlign w:val="center"/>
          </w:tcPr>
          <w:p w:rsidR="00B6276C" w:rsidRPr="00203C6D" w:rsidRDefault="00203C6D" w:rsidP="00203C6D">
            <w:pPr>
              <w:spacing w:line="276" w:lineRule="auto"/>
              <w:rPr>
                <w:rFonts w:cs="Calibri Light"/>
                <w:b/>
                <w:bCs/>
              </w:rPr>
            </w:pPr>
            <w:r w:rsidRPr="00C3108B">
              <w:rPr>
                <w:rFonts w:cs="Calibri Light"/>
                <w:b/>
                <w:bCs/>
                <w:color w:val="FF0000"/>
              </w:rPr>
              <w:t>29 July</w:t>
            </w:r>
            <w:r w:rsidR="003C76EA" w:rsidRPr="00203C6D">
              <w:rPr>
                <w:rFonts w:cs="Calibri Light"/>
                <w:b/>
                <w:bCs/>
                <w:color w:val="FF0000"/>
              </w:rPr>
              <w:t xml:space="preserve"> 2022 @16:00pm</w:t>
            </w:r>
          </w:p>
        </w:tc>
      </w:tr>
      <w:tr w:rsidR="00B6276C" w:rsidRPr="00203C6D" w:rsidTr="00F91DE2">
        <w:trPr>
          <w:trHeight w:val="567"/>
        </w:trPr>
        <w:tc>
          <w:tcPr>
            <w:tcW w:w="3539" w:type="dxa"/>
            <w:shd w:val="clear" w:color="auto" w:fill="DBE5F1" w:themeFill="accent1" w:themeFillTint="33"/>
            <w:vAlign w:val="center"/>
          </w:tcPr>
          <w:p w:rsidR="00B6276C" w:rsidRPr="00203C6D" w:rsidRDefault="00154098" w:rsidP="00203C6D">
            <w:pPr>
              <w:spacing w:line="276" w:lineRule="auto"/>
              <w:jc w:val="left"/>
              <w:rPr>
                <w:rFonts w:cs="Calibri Light"/>
                <w:b/>
              </w:rPr>
            </w:pPr>
            <w:r w:rsidRPr="00203C6D">
              <w:rPr>
                <w:rFonts w:cs="Calibri Light"/>
                <w:b/>
              </w:rPr>
              <w:t>Bid Response</w:t>
            </w:r>
            <w:r w:rsidR="00B6276C" w:rsidRPr="00203C6D">
              <w:rPr>
                <w:rFonts w:cs="Calibri Light"/>
                <w:b/>
              </w:rPr>
              <w:t xml:space="preserve"> Submission Address </w:t>
            </w:r>
          </w:p>
        </w:tc>
        <w:tc>
          <w:tcPr>
            <w:tcW w:w="6089" w:type="dxa"/>
            <w:vAlign w:val="center"/>
          </w:tcPr>
          <w:p w:rsidR="004E3E3D" w:rsidRPr="00820B03" w:rsidRDefault="00203C6D" w:rsidP="00820B03">
            <w:pPr>
              <w:jc w:val="left"/>
              <w:rPr>
                <w:rFonts w:eastAsiaTheme="minorEastAsia" w:cs="Calibri Light"/>
              </w:rPr>
            </w:pPr>
            <w:r w:rsidRPr="00203C6D">
              <w:rPr>
                <w:rFonts w:eastAsiaTheme="minorEastAsia" w:cs="Calibri Light"/>
              </w:rPr>
              <w:t xml:space="preserve"> </w:t>
            </w:r>
            <w:r w:rsidRPr="00820B03">
              <w:rPr>
                <w:rFonts w:eastAsiaTheme="minorEastAsia" w:cs="Calibri Light"/>
                <w:b/>
                <w:color w:val="0000FF"/>
                <w:u w:val="single"/>
              </w:rPr>
              <w:t>Tender Office</w:t>
            </w:r>
            <w:r w:rsidR="00820B03">
              <w:rPr>
                <w:rFonts w:eastAsiaTheme="minorEastAsia" w:cs="Calibri Light"/>
                <w:b/>
                <w:color w:val="0000FF"/>
                <w:u w:val="single"/>
              </w:rPr>
              <w:t>,</w:t>
            </w:r>
            <w:r w:rsidRPr="00203C6D">
              <w:rPr>
                <w:rFonts w:eastAsiaTheme="minorEastAsia" w:cs="Calibri Light"/>
              </w:rPr>
              <w:t xml:space="preserve"> 459 </w:t>
            </w:r>
            <w:proofErr w:type="spellStart"/>
            <w:r w:rsidRPr="00203C6D">
              <w:rPr>
                <w:rFonts w:eastAsiaTheme="minorEastAsia" w:cs="Calibri Light"/>
              </w:rPr>
              <w:t>Tsitsa</w:t>
            </w:r>
            <w:proofErr w:type="spellEnd"/>
            <w:r w:rsidRPr="00203C6D">
              <w:rPr>
                <w:rFonts w:eastAsiaTheme="minorEastAsia" w:cs="Calibri Light"/>
              </w:rPr>
              <w:t xml:space="preserve"> Street,</w:t>
            </w:r>
            <w:r w:rsidR="00820B03">
              <w:rPr>
                <w:rFonts w:eastAsiaTheme="minorEastAsia" w:cs="Calibri Light"/>
              </w:rPr>
              <w:t xml:space="preserve"> </w:t>
            </w:r>
            <w:proofErr w:type="spellStart"/>
            <w:r w:rsidRPr="00203C6D">
              <w:rPr>
                <w:rFonts w:eastAsiaTheme="minorEastAsia" w:cs="Calibri Light"/>
              </w:rPr>
              <w:t>Erasmuskloof</w:t>
            </w:r>
            <w:proofErr w:type="spellEnd"/>
            <w:r w:rsidRPr="00203C6D">
              <w:rPr>
                <w:rFonts w:eastAsiaTheme="minorEastAsia" w:cs="Calibri Light"/>
              </w:rPr>
              <w:t>, Pretoria, 0105</w:t>
            </w:r>
          </w:p>
        </w:tc>
      </w:tr>
      <w:tr w:rsidR="00B6276C" w:rsidRPr="00203C6D" w:rsidTr="00F91DE2">
        <w:trPr>
          <w:trHeight w:val="567"/>
        </w:trPr>
        <w:tc>
          <w:tcPr>
            <w:tcW w:w="3539" w:type="dxa"/>
            <w:shd w:val="clear" w:color="auto" w:fill="DBE5F1" w:themeFill="accent1" w:themeFillTint="33"/>
            <w:vAlign w:val="center"/>
          </w:tcPr>
          <w:p w:rsidR="00B6276C" w:rsidRPr="00203C6D" w:rsidRDefault="00D41F1F" w:rsidP="00203C6D">
            <w:pPr>
              <w:spacing w:line="276" w:lineRule="auto"/>
              <w:jc w:val="left"/>
              <w:rPr>
                <w:rFonts w:cs="Calibri Light"/>
                <w:b/>
              </w:rPr>
            </w:pPr>
            <w:r w:rsidRPr="00203C6D">
              <w:rPr>
                <w:rFonts w:cs="Calibri Light"/>
                <w:b/>
              </w:rPr>
              <w:t>RF</w:t>
            </w:r>
            <w:r w:rsidR="00820B03">
              <w:rPr>
                <w:rFonts w:cs="Calibri Light"/>
                <w:b/>
              </w:rPr>
              <w:t>B</w:t>
            </w:r>
            <w:r w:rsidR="00B6276C" w:rsidRPr="00203C6D">
              <w:rPr>
                <w:rFonts w:cs="Calibri Light"/>
                <w:b/>
              </w:rPr>
              <w:t xml:space="preserve"> Closing Details and </w:t>
            </w:r>
            <w:r w:rsidR="004E3E3D" w:rsidRPr="00203C6D">
              <w:rPr>
                <w:rFonts w:cs="Calibri Light"/>
                <w:b/>
              </w:rPr>
              <w:t>Time</w:t>
            </w:r>
          </w:p>
        </w:tc>
        <w:tc>
          <w:tcPr>
            <w:tcW w:w="6089" w:type="dxa"/>
            <w:vAlign w:val="center"/>
          </w:tcPr>
          <w:p w:rsidR="00820B03" w:rsidRPr="00203C6D" w:rsidRDefault="00820B03" w:rsidP="00820B03">
            <w:pPr>
              <w:jc w:val="left"/>
              <w:rPr>
                <w:rFonts w:eastAsiaTheme="minorEastAsia" w:cs="Calibri Light"/>
              </w:rPr>
            </w:pPr>
            <w:bookmarkStart w:id="2" w:name="_Hlk108687210"/>
            <w:r w:rsidRPr="00203C6D">
              <w:rPr>
                <w:rFonts w:eastAsiaTheme="minorEastAsia" w:cs="Calibri Light"/>
                <w:b/>
              </w:rPr>
              <w:t>Date</w:t>
            </w:r>
            <w:r w:rsidRPr="00E31B49">
              <w:rPr>
                <w:rFonts w:eastAsiaTheme="minorEastAsia" w:cs="Calibri Light"/>
              </w:rPr>
              <w:t xml:space="preserve">: </w:t>
            </w:r>
            <w:r w:rsidRPr="00E31B49">
              <w:rPr>
                <w:rFonts w:eastAsiaTheme="minorEastAsia" w:cs="Calibri Light"/>
                <w:b/>
                <w:color w:val="FF0000"/>
              </w:rPr>
              <w:t>08 August 2022</w:t>
            </w:r>
          </w:p>
          <w:p w:rsidR="004E3E3D" w:rsidRPr="00820B03" w:rsidRDefault="00820B03" w:rsidP="00820B03">
            <w:pPr>
              <w:jc w:val="left"/>
              <w:rPr>
                <w:rFonts w:eastAsiaTheme="minorEastAsia" w:cs="Calibri Light"/>
              </w:rPr>
            </w:pPr>
            <w:r w:rsidRPr="00203C6D">
              <w:rPr>
                <w:rFonts w:eastAsiaTheme="minorEastAsia" w:cs="Calibri Light"/>
                <w:b/>
              </w:rPr>
              <w:t>Time</w:t>
            </w:r>
            <w:r w:rsidRPr="00203C6D">
              <w:rPr>
                <w:rFonts w:eastAsiaTheme="minorEastAsia" w:cs="Calibri Light"/>
              </w:rPr>
              <w:t>: 11:00am (South African Time)</w:t>
            </w:r>
            <w:bookmarkEnd w:id="2"/>
          </w:p>
        </w:tc>
      </w:tr>
      <w:tr w:rsidR="00B6276C" w:rsidRPr="00203C6D" w:rsidTr="00F91DE2">
        <w:trPr>
          <w:trHeight w:val="567"/>
        </w:trPr>
        <w:tc>
          <w:tcPr>
            <w:tcW w:w="3539" w:type="dxa"/>
            <w:shd w:val="clear" w:color="auto" w:fill="DBE5F1" w:themeFill="accent1" w:themeFillTint="33"/>
            <w:vAlign w:val="center"/>
          </w:tcPr>
          <w:p w:rsidR="00B6276C" w:rsidRPr="00203C6D" w:rsidRDefault="00D41F1F" w:rsidP="00203C6D">
            <w:pPr>
              <w:spacing w:line="276" w:lineRule="auto"/>
              <w:jc w:val="left"/>
              <w:rPr>
                <w:rFonts w:cs="Calibri Light"/>
                <w:b/>
              </w:rPr>
            </w:pPr>
            <w:r w:rsidRPr="00203C6D">
              <w:rPr>
                <w:rFonts w:cs="Calibri Light"/>
                <w:b/>
              </w:rPr>
              <w:t>RF</w:t>
            </w:r>
            <w:r w:rsidR="00820B03">
              <w:rPr>
                <w:rFonts w:cs="Calibri Light"/>
                <w:b/>
              </w:rPr>
              <w:t>B</w:t>
            </w:r>
            <w:r w:rsidR="00B6276C" w:rsidRPr="00203C6D">
              <w:rPr>
                <w:rFonts w:cs="Calibri Light"/>
                <w:b/>
              </w:rPr>
              <w:t xml:space="preserve"> Validity Period</w:t>
            </w:r>
          </w:p>
        </w:tc>
        <w:tc>
          <w:tcPr>
            <w:tcW w:w="6089" w:type="dxa"/>
            <w:shd w:val="clear" w:color="auto" w:fill="auto"/>
            <w:vAlign w:val="center"/>
          </w:tcPr>
          <w:p w:rsidR="00B6276C" w:rsidRPr="00203C6D" w:rsidRDefault="00820B03" w:rsidP="00203C6D">
            <w:pPr>
              <w:spacing w:line="276" w:lineRule="auto"/>
              <w:rPr>
                <w:rFonts w:cs="Calibri Light"/>
                <w:bCs/>
              </w:rPr>
            </w:pPr>
            <w:r w:rsidRPr="00820B03">
              <w:rPr>
                <w:rFonts w:cs="Calibri Light"/>
                <w:bCs/>
              </w:rPr>
              <w:t>120 Days from the Closing Date</w:t>
            </w:r>
          </w:p>
        </w:tc>
      </w:tr>
    </w:tbl>
    <w:p w:rsidR="00D728D2" w:rsidRPr="00D728D2" w:rsidRDefault="00D728D2" w:rsidP="00D728D2">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3" w:name="_Hlk108767143"/>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3"/>
    <w:p w:rsidR="00E31B49" w:rsidRDefault="00E31B49" w:rsidP="00C2646C">
      <w:pPr>
        <w:pStyle w:val="Title"/>
      </w:pPr>
    </w:p>
    <w:p w:rsidR="00D728D2" w:rsidRDefault="00D728D2" w:rsidP="00D728D2"/>
    <w:p w:rsidR="00D728D2" w:rsidRPr="00D728D2" w:rsidRDefault="00D728D2" w:rsidP="00D728D2"/>
    <w:p w:rsidR="00E31B49" w:rsidRDefault="00E31B49" w:rsidP="00C2646C">
      <w:pPr>
        <w:pStyle w:val="Title"/>
      </w:pPr>
    </w:p>
    <w:p w:rsidR="00A44D99" w:rsidRPr="006C0A8D" w:rsidRDefault="00A44D99" w:rsidP="00C2646C">
      <w:pPr>
        <w:pStyle w:val="Title"/>
      </w:pPr>
      <w:r w:rsidRPr="006C0A8D">
        <w:lastRenderedPageBreak/>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C3108B">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C3108B">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C3108B">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C3108B">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C3108B">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C3108B">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C3108B">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C3108B">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C3108B">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C3108B">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C3108B">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C3108B">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E364E2"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C3108B">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rsidR="00E14656" w:rsidRDefault="00E14656" w:rsidP="00E14656">
      <w:pPr>
        <w:pStyle w:val="Heading1"/>
      </w:pPr>
      <w:bookmarkStart w:id="11" w:name="_Toc106635100"/>
      <w:r w:rsidRPr="0056332A">
        <w:lastRenderedPageBreak/>
        <w:t>Invitation to Bid</w:t>
      </w:r>
      <w:bookmarkEnd w:id="11"/>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sidRPr="00ED345B">
        <w:rPr>
          <w:b/>
          <w:lang w:val="en-GB"/>
        </w:rPr>
        <w:t>RF</w:t>
      </w:r>
      <w:r w:rsidR="00ED345B" w:rsidRPr="00ED345B">
        <w:rPr>
          <w:b/>
          <w:lang w:val="en-GB"/>
        </w:rPr>
        <w:t>B</w:t>
      </w:r>
      <w:r w:rsidR="00AA33FF" w:rsidRPr="00ED345B">
        <w:rPr>
          <w:b/>
          <w:lang w:val="en-GB"/>
        </w:rPr>
        <w:t xml:space="preserve"> number</w:t>
      </w:r>
      <w:r w:rsidR="00AA33FF">
        <w:rPr>
          <w:lang w:val="en-GB"/>
        </w:rPr>
        <w:t>:</w:t>
      </w:r>
      <w:r w:rsidR="00ED345B">
        <w:rPr>
          <w:lang w:val="en-GB"/>
        </w:rPr>
        <w:t xml:space="preserve"> </w:t>
      </w:r>
      <w:r w:rsidR="00ED345B">
        <w:t>RFB 2613/2022</w:t>
      </w:r>
      <w:r w:rsidR="00AA33FF">
        <w:rPr>
          <w:lang w:val="en-GB"/>
        </w:rPr>
        <w:tab/>
        <w:t xml:space="preserve"> </w:t>
      </w:r>
    </w:p>
    <w:p w:rsidR="00AA33FF" w:rsidRPr="009B34EB" w:rsidRDefault="00AA33FF" w:rsidP="005048EE">
      <w:pPr>
        <w:rPr>
          <w:lang w:val="en-GB"/>
        </w:rPr>
      </w:pPr>
      <w:r w:rsidRPr="009B34EB">
        <w:rPr>
          <w:b/>
          <w:lang w:val="en-GB"/>
        </w:rPr>
        <w:t>Description</w:t>
      </w:r>
      <w:r>
        <w:rPr>
          <w:lang w:val="en-GB"/>
        </w:rPr>
        <w:t>:</w:t>
      </w:r>
      <w:r w:rsidR="00ED345B">
        <w:rPr>
          <w:lang w:val="en-GB"/>
        </w:rPr>
        <w:t xml:space="preserve"> </w:t>
      </w:r>
      <w:r w:rsidR="00ED345B" w:rsidRPr="009B34EB">
        <w:rPr>
          <w:lang w:val="en-GB"/>
        </w:rPr>
        <w:t>PROVIDE DIESEL TO THE SOUTH AFRICAN POLICE SERVICE SWITCHING CENTRES, NODAL POINT SITES AND SAPS HIGH SITES FOR A PERIOD OF THREE (3) YEARS</w:t>
      </w:r>
    </w:p>
    <w:p w:rsidR="00AA33FF" w:rsidRDefault="00AA33FF" w:rsidP="009B34EB">
      <w:pPr>
        <w:rPr>
          <w:lang w:val="en-GB"/>
        </w:rPr>
      </w:pPr>
      <w:r w:rsidRPr="009B34EB">
        <w:rPr>
          <w:b/>
          <w:lang w:val="en-GB"/>
        </w:rPr>
        <w:t xml:space="preserve">Closing date and time of </w:t>
      </w:r>
      <w:r w:rsidR="00D41F1F" w:rsidRPr="009B34EB">
        <w:rPr>
          <w:b/>
          <w:lang w:val="en-GB"/>
        </w:rPr>
        <w:t>RF</w:t>
      </w:r>
      <w:r w:rsidR="009B34EB" w:rsidRPr="009B34EB">
        <w:rPr>
          <w:b/>
          <w:lang w:val="en-GB"/>
        </w:rPr>
        <w:t>B</w:t>
      </w:r>
      <w:r>
        <w:rPr>
          <w:lang w:val="en-GB"/>
        </w:rPr>
        <w:t>:</w:t>
      </w:r>
      <w:r w:rsidR="009B34EB">
        <w:rPr>
          <w:lang w:val="en-GB"/>
        </w:rPr>
        <w:t xml:space="preserve"> </w:t>
      </w:r>
      <w:r w:rsidR="009B34EB" w:rsidRPr="00D728D2">
        <w:rPr>
          <w:b/>
          <w:color w:val="FF0000"/>
          <w:lang w:val="en-GB"/>
        </w:rPr>
        <w:t>08 August 2022, 11:00am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4" w:history="1">
        <w:r w:rsidR="009B34EB" w:rsidRPr="003F3600">
          <w:rPr>
            <w:rStyle w:val="Hyperlink"/>
            <w:b/>
            <w:lang w:val="en-GB"/>
          </w:rPr>
          <w:t>nokwanda.wasa@sita.co.za</w:t>
        </w:r>
      </w:hyperlink>
      <w:r w:rsidR="009B34EB">
        <w:rPr>
          <w:b/>
          <w:lang w:val="en-GB"/>
        </w:rPr>
        <w:t xml:space="preserve"> </w:t>
      </w:r>
    </w:p>
    <w:p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3108B">
              <w:rPr>
                <w:rFonts w:ascii="Arial" w:hAnsi="Arial" w:cs="Arial"/>
                <w:sz w:val="20"/>
                <w:lang w:val="en-GB"/>
              </w:rPr>
            </w:r>
            <w:r w:rsidR="00C3108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C3108B">
              <w:rPr>
                <w:rFonts w:ascii="Arial" w:hAnsi="Arial" w:cs="Arial"/>
                <w:sz w:val="20"/>
                <w:lang w:val="en-GB"/>
              </w:rPr>
            </w:r>
            <w:r w:rsidR="00C3108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90233F" w:rsidRDefault="00F951FD" w:rsidP="0090233F">
            <w:pPr>
              <w:pStyle w:val="Heading2"/>
            </w:pPr>
            <w:bookmarkStart w:id="16" w:name="_Toc106635101"/>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06635102"/>
            <w:r w:rsidRPr="0090233F">
              <w:t>Bid Submission Instructions</w:t>
            </w:r>
            <w:bookmarkEnd w:id="17"/>
          </w:p>
          <w:p w:rsidR="00886A16" w:rsidRPr="009C6F28" w:rsidRDefault="00960F83" w:rsidP="00886A16">
            <w:pPr>
              <w:pStyle w:val="ListParagraph"/>
              <w:numPr>
                <w:ilvl w:val="0"/>
                <w:numId w:val="31"/>
              </w:numPr>
            </w:pPr>
            <w:r w:rsidRPr="00960F83">
              <w:tab/>
            </w:r>
            <w:r w:rsidRPr="009C6F28">
              <w:t>Bidders must submit</w:t>
            </w:r>
            <w:r w:rsidR="00886A16" w:rsidRPr="009C6F28">
              <w:t xml:space="preserve"> two hard/printed copies: </w:t>
            </w:r>
          </w:p>
          <w:p w:rsidR="00886A16" w:rsidRPr="00886A16" w:rsidRDefault="00886A16" w:rsidP="00886A16">
            <w:pPr>
              <w:pStyle w:val="ListParagraph"/>
              <w:numPr>
                <w:ilvl w:val="0"/>
                <w:numId w:val="109"/>
              </w:numPr>
            </w:pPr>
            <w:r w:rsidRPr="00886A16">
              <w:t>One (1) original bid response excluding pricing which must be submitted in a separate envelope</w:t>
            </w:r>
            <w:r>
              <w:t>;</w:t>
            </w:r>
            <w:r w:rsidRPr="00886A16">
              <w:t xml:space="preserve"> </w:t>
            </w:r>
          </w:p>
          <w:p w:rsidR="009C6F28" w:rsidRDefault="00886A16" w:rsidP="009C6F28">
            <w:pPr>
              <w:pStyle w:val="ListParagraph"/>
              <w:numPr>
                <w:ilvl w:val="0"/>
                <w:numId w:val="109"/>
              </w:numPr>
            </w:pPr>
            <w:r>
              <w:t>o</w:t>
            </w:r>
            <w:r w:rsidRPr="00886A16">
              <w:t xml:space="preserve">ne (1) copy of the original response document excluding pricing which must be submitted in a separate envelope; </w:t>
            </w:r>
          </w:p>
          <w:p w:rsidR="00886A16" w:rsidRPr="00886A16" w:rsidRDefault="00E31B49" w:rsidP="00886A16">
            <w:pPr>
              <w:ind w:left="1134" w:hanging="675"/>
            </w:pPr>
            <w:r>
              <w:t xml:space="preserve"> </w:t>
            </w:r>
            <w:r w:rsidR="009C6F28">
              <w:t xml:space="preserve"> </w:t>
            </w:r>
            <w:r w:rsidR="00886A16">
              <w:t>(b)</w:t>
            </w:r>
            <w:r w:rsidR="00886A16" w:rsidRPr="00886A16">
              <w:t xml:space="preserve"> </w:t>
            </w:r>
            <w:r w:rsidR="009C6F28">
              <w:t xml:space="preserve">      Bidders must also submit</w:t>
            </w:r>
            <w:r w:rsidR="009C6F28" w:rsidRPr="00886A16">
              <w:t xml:space="preserve"> </w:t>
            </w:r>
            <w:r w:rsidR="009C6F28">
              <w:t>t</w:t>
            </w:r>
            <w:r w:rsidR="009C6F28" w:rsidRPr="00886A16">
              <w:t>wo (2) electronic copies</w:t>
            </w:r>
            <w:r w:rsidR="009C6F28">
              <w:t>:</w:t>
            </w:r>
          </w:p>
          <w:p w:rsidR="00886A16" w:rsidRPr="00886A16" w:rsidRDefault="00886A16" w:rsidP="00886A16">
            <w:pPr>
              <w:pStyle w:val="ListParagraph"/>
              <w:ind w:left="1134"/>
            </w:pPr>
            <w:r w:rsidRPr="00886A16">
              <w:t>on Memory Stick</w:t>
            </w:r>
            <w:r w:rsidR="009C6F28">
              <w:t>/USB</w:t>
            </w:r>
            <w:r w:rsidRPr="00886A16">
              <w:t xml:space="preserve">, in Portable Document Format (PDF) of the original RFB response document: </w:t>
            </w:r>
          </w:p>
          <w:p w:rsidR="00886A16" w:rsidRPr="00886A16" w:rsidRDefault="009C6F28" w:rsidP="009C6F28">
            <w:pPr>
              <w:pStyle w:val="ListParagraph"/>
              <w:numPr>
                <w:ilvl w:val="0"/>
                <w:numId w:val="109"/>
              </w:numPr>
            </w:pPr>
            <w:r>
              <w:t xml:space="preserve">One for </w:t>
            </w:r>
            <w:r w:rsidR="00886A16" w:rsidRPr="00886A16">
              <w:t>Technical / Functionality Response only and</w:t>
            </w:r>
          </w:p>
          <w:p w:rsidR="00886A16" w:rsidRPr="00E31B49" w:rsidRDefault="009C6F28" w:rsidP="009C6F28">
            <w:pPr>
              <w:pStyle w:val="ListParagraph"/>
              <w:numPr>
                <w:ilvl w:val="0"/>
                <w:numId w:val="109"/>
              </w:numPr>
            </w:pPr>
            <w:r w:rsidRPr="00E31B49">
              <w:rPr>
                <w:rFonts w:ascii="Calibri Light" w:hAnsi="Calibri Light"/>
              </w:rPr>
              <w:t xml:space="preserve">One for </w:t>
            </w:r>
            <w:r w:rsidR="00886A16" w:rsidRPr="00E31B49">
              <w:rPr>
                <w:rFonts w:ascii="Calibri Light" w:hAnsi="Calibri Light"/>
              </w:rPr>
              <w:t xml:space="preserve">Pricing </w:t>
            </w:r>
            <w:r w:rsidRPr="00E31B49">
              <w:rPr>
                <w:rFonts w:ascii="Calibri Light" w:hAnsi="Calibri Light"/>
              </w:rPr>
              <w:t xml:space="preserve">Response </w:t>
            </w:r>
            <w:r w:rsidR="00886A16" w:rsidRPr="00E31B49">
              <w:rPr>
                <w:rFonts w:ascii="Calibri Light" w:hAnsi="Calibri Light"/>
              </w:rPr>
              <w:t>only</w:t>
            </w:r>
          </w:p>
          <w:p w:rsidR="00960F83" w:rsidRDefault="00960F83" w:rsidP="009C6F28">
            <w:pPr>
              <w:pStyle w:val="ListParagraph"/>
              <w:numPr>
                <w:ilvl w:val="0"/>
                <w:numId w:val="110"/>
              </w:numPr>
            </w:pPr>
            <w:r w:rsidRPr="00960F83">
              <w:t xml:space="preserve">The proposal must be </w:t>
            </w:r>
            <w:r w:rsidRPr="009C6F28">
              <w:rPr>
                <w:b/>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9C6F28">
              <w:t>B</w:t>
            </w:r>
            <w:r w:rsidRPr="00960F83">
              <w:t xml:space="preserve"> document.</w:t>
            </w:r>
          </w:p>
          <w:p w:rsidR="00960F83" w:rsidRPr="009C6F28" w:rsidRDefault="0090233F" w:rsidP="009C6F28">
            <w:pPr>
              <w:pStyle w:val="ListParagraph"/>
              <w:numPr>
                <w:ilvl w:val="0"/>
                <w:numId w:val="110"/>
              </w:numPr>
            </w:pPr>
            <w:r w:rsidRPr="009C6F28">
              <w:t>Faxed or e-mailed bids will not be accepted.</w:t>
            </w:r>
          </w:p>
          <w:p w:rsidR="0090233F" w:rsidRPr="0090233F" w:rsidRDefault="0090233F" w:rsidP="009C6F28">
            <w:pPr>
              <w:pStyle w:val="ListParagraph"/>
              <w:numPr>
                <w:ilvl w:val="0"/>
                <w:numId w:val="11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C6F28">
            <w:pPr>
              <w:pStyle w:val="ListParagraph"/>
              <w:numPr>
                <w:ilvl w:val="0"/>
                <w:numId w:val="11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C6F28">
            <w:pPr>
              <w:pStyle w:val="ListParagraph"/>
              <w:numPr>
                <w:ilvl w:val="0"/>
                <w:numId w:val="11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06635103"/>
            <w:r w:rsidRPr="0090233F">
              <w:t xml:space="preserve">Bid </w:t>
            </w:r>
            <w:r w:rsidR="00820BBC">
              <w:t xml:space="preserve">Submission </w:t>
            </w:r>
            <w:r w:rsidRPr="0090233F">
              <w:t>Conditions</w:t>
            </w:r>
            <w:bookmarkEnd w:id="18"/>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Where the RF</w:t>
            </w:r>
            <w:r w:rsidR="009C6F28" w:rsidRPr="009C6F28">
              <w:rPr>
                <w:rFonts w:cstheme="minorHAnsi"/>
              </w:rPr>
              <w:t>B</w:t>
            </w:r>
            <w:r w:rsidRPr="00122972">
              <w:rPr>
                <w:rFonts w:cstheme="minorHAnsi"/>
              </w:rPr>
              <w:t xml:space="preserve"> calls for already available solutions, bidders who offer to provide future based </w:t>
            </w:r>
            <w:r w:rsidRPr="000E028C">
              <w:rPr>
                <w:rFonts w:cstheme="minorHAnsi"/>
              </w:rPr>
              <w:t>solutions 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lastRenderedPageBreak/>
              <w:t xml:space="preserve">Failure or neglect by SITA to (at any time) enforce any of the provisions of this </w:t>
            </w:r>
            <w:r w:rsidR="00321EA9" w:rsidRPr="00122972">
              <w:rPr>
                <w:rFonts w:cstheme="minorHAnsi"/>
              </w:rPr>
              <w:t>RF</w:t>
            </w:r>
            <w:r w:rsidR="00321EA9" w:rsidRPr="009C6F28">
              <w:rPr>
                <w:rFonts w:cstheme="minorHAnsi"/>
              </w:rPr>
              <w:t>B</w:t>
            </w:r>
            <w:r w:rsidRPr="00886179">
              <w:rPr>
                <w:rFonts w:cstheme="minorHAnsi"/>
              </w:rPr>
              <w:t xml:space="preserve"> shall not in any manner, be construed to be a waiver of any of SITA’s rights in that regard and in terms of this </w:t>
            </w:r>
            <w:r w:rsidR="00321EA9" w:rsidRPr="00122972">
              <w:rPr>
                <w:rFonts w:cstheme="minorHAnsi"/>
              </w:rPr>
              <w:t>RF</w:t>
            </w:r>
            <w:r w:rsidR="00321EA9" w:rsidRPr="009C6F28">
              <w:rPr>
                <w:rFonts w:cstheme="minorHAnsi"/>
              </w:rPr>
              <w:t>B</w:t>
            </w:r>
            <w:r w:rsidRPr="00886179">
              <w:rPr>
                <w:rFonts w:cstheme="minorHAnsi"/>
              </w:rPr>
              <w:t xml:space="preserve">. Such failure or neglect shall not, in any manner, affect the continued, unaltered validity of this </w:t>
            </w:r>
            <w:r w:rsidR="00321EA9" w:rsidRPr="00122972">
              <w:rPr>
                <w:rFonts w:cstheme="minorHAnsi"/>
              </w:rPr>
              <w:t>RF</w:t>
            </w:r>
            <w:r w:rsidR="00321EA9" w:rsidRPr="009C6F28">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321EA9" w:rsidRPr="00122972">
              <w:rPr>
                <w:rFonts w:cstheme="minorHAnsi"/>
              </w:rPr>
              <w:t>RF</w:t>
            </w:r>
            <w:r w:rsidR="00321EA9" w:rsidRPr="009C6F28">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321EA9" w:rsidRPr="00122972">
              <w:rPr>
                <w:rFonts w:cstheme="minorHAnsi"/>
              </w:rPr>
              <w:t>RF</w:t>
            </w:r>
            <w:r w:rsidR="00321EA9" w:rsidRPr="009C6F28">
              <w:rPr>
                <w:rFonts w:cstheme="minorHAnsi"/>
              </w:rPr>
              <w:t>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06635104"/>
            <w:r w:rsidRPr="0090233F">
              <w:t>Tax Compliance Requirements</w:t>
            </w:r>
            <w:bookmarkEnd w:id="19"/>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06635105"/>
      <w:r w:rsidRPr="00B3466C">
        <w:lastRenderedPageBreak/>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6366">
      <w:pPr>
        <w:pStyle w:val="Heading2"/>
        <w:ind w:left="1134" w:hanging="1134"/>
      </w:pPr>
      <w:bookmarkStart w:id="21" w:name="_Toc150587193"/>
      <w:bookmarkStart w:id="22" w:name="_Toc199296471"/>
      <w:bookmarkStart w:id="23" w:name="_Toc454470837"/>
      <w:bookmarkStart w:id="24" w:name="_Toc459824251"/>
      <w:bookmarkStart w:id="25" w:name="_Toc94521921"/>
      <w:bookmarkStart w:id="26" w:name="_Toc94528456"/>
      <w:bookmarkStart w:id="27" w:name="_Toc106635106"/>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806366">
      <w:pPr>
        <w:pStyle w:val="Heading3"/>
        <w:spacing w:before="240" w:after="60" w:line="276" w:lineRule="auto"/>
        <w:ind w:left="1134" w:hanging="1134"/>
        <w:rPr>
          <w:bCs/>
        </w:rPr>
      </w:pPr>
      <w:bookmarkStart w:id="29" w:name="_Toc106635107"/>
      <w:r w:rsidRPr="00805BE2">
        <w:rPr>
          <w:bCs/>
        </w:rPr>
        <w:t>News and press releases</w:t>
      </w:r>
      <w:bookmarkEnd w:id="29"/>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321EA9" w:rsidRPr="00122972">
        <w:rPr>
          <w:rFonts w:cstheme="minorHAnsi"/>
        </w:rPr>
        <w:t>RF</w:t>
      </w:r>
      <w:r w:rsidR="00321EA9" w:rsidRPr="009C6F28">
        <w:rPr>
          <w:rFonts w:cstheme="minorHAnsi"/>
        </w:rPr>
        <w:t>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806366">
      <w:pPr>
        <w:pStyle w:val="Heading3"/>
        <w:spacing w:before="240" w:after="60" w:line="276" w:lineRule="auto"/>
        <w:ind w:left="1134" w:hanging="1134"/>
        <w:rPr>
          <w:bCs/>
        </w:rPr>
      </w:pPr>
      <w:bookmarkStart w:id="30" w:name="_Toc106635108"/>
      <w:r w:rsidRPr="00D41F1F">
        <w:rPr>
          <w:bCs/>
        </w:rPr>
        <w:t>Precedence of documents</w:t>
      </w:r>
      <w:bookmarkEnd w:id="30"/>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321EA9" w:rsidRPr="00122972">
        <w:rPr>
          <w:rFonts w:cstheme="minorHAnsi"/>
        </w:rPr>
        <w:t>RF</w:t>
      </w:r>
      <w:r w:rsidR="00321EA9" w:rsidRPr="009C6F28">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21EA9" w:rsidRPr="00122972">
        <w:rPr>
          <w:rFonts w:cstheme="minorHAnsi"/>
        </w:rPr>
        <w:t>RF</w:t>
      </w:r>
      <w:r w:rsidR="00321EA9" w:rsidRPr="009C6F28">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321EA9" w:rsidRPr="00122972">
        <w:rPr>
          <w:rFonts w:cstheme="minorHAnsi"/>
        </w:rPr>
        <w:t>RF</w:t>
      </w:r>
      <w:r w:rsidR="00321EA9" w:rsidRPr="009C6F28">
        <w:rPr>
          <w:rFonts w:cstheme="minorHAnsi"/>
        </w:rPr>
        <w:t>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321EA9" w:rsidRPr="00122972">
        <w:rPr>
          <w:rFonts w:cstheme="minorHAnsi"/>
        </w:rPr>
        <w:t>RF</w:t>
      </w:r>
      <w:r w:rsidR="00321EA9" w:rsidRPr="009C6F28">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21EA9" w:rsidRPr="00122972">
        <w:rPr>
          <w:rFonts w:cstheme="minorHAnsi"/>
        </w:rPr>
        <w:t>RF</w:t>
      </w:r>
      <w:r w:rsidR="00321EA9" w:rsidRPr="009C6F28">
        <w:rPr>
          <w:rFonts w:cstheme="minorHAnsi"/>
        </w:rPr>
        <w:t>B</w:t>
      </w:r>
      <w:r w:rsidRPr="00D41F1F">
        <w:rPr>
          <w:rFonts w:cstheme="minorHAnsi"/>
        </w:rPr>
        <w:t xml:space="preserve"> document in their proposals submitted in response to this </w:t>
      </w:r>
      <w:r w:rsidR="00321EA9" w:rsidRPr="00122972">
        <w:rPr>
          <w:rFonts w:cstheme="minorHAnsi"/>
        </w:rPr>
        <w:t>RF</w:t>
      </w:r>
      <w:r w:rsidR="00321EA9" w:rsidRPr="009C6F28">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21EA9" w:rsidRPr="00122972">
        <w:rPr>
          <w:rFonts w:cstheme="minorHAnsi"/>
        </w:rPr>
        <w:t>RF</w:t>
      </w:r>
      <w:r w:rsidR="00321EA9" w:rsidRPr="009C6F28">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321EA9" w:rsidRPr="00122972">
        <w:rPr>
          <w:rFonts w:cstheme="minorHAnsi"/>
        </w:rPr>
        <w:t>RF</w:t>
      </w:r>
      <w:r w:rsidR="00321EA9" w:rsidRPr="009C6F28">
        <w:rPr>
          <w:rFonts w:cstheme="minorHAnsi"/>
        </w:rPr>
        <w:t>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321EA9" w:rsidRPr="00122972">
        <w:rPr>
          <w:rFonts w:cstheme="minorHAnsi"/>
        </w:rPr>
        <w:t>RF</w:t>
      </w:r>
      <w:r w:rsidR="00321EA9" w:rsidRPr="009C6F28">
        <w:rPr>
          <w:rFonts w:cstheme="minorHAnsi"/>
        </w:rPr>
        <w:t>B</w:t>
      </w:r>
      <w:r w:rsidRPr="007B3879">
        <w:rPr>
          <w:rFonts w:cstheme="minorHAnsi"/>
        </w:rPr>
        <w:t xml:space="preserve"> is subject to the General Conditions of Contract referred to in this </w:t>
      </w:r>
      <w:r w:rsidR="00321EA9" w:rsidRPr="00122972">
        <w:rPr>
          <w:rFonts w:cstheme="minorHAnsi"/>
        </w:rPr>
        <w:t>RF</w:t>
      </w:r>
      <w:r w:rsidR="00321EA9" w:rsidRPr="009C6F28">
        <w:rPr>
          <w:rFonts w:cstheme="minorHAnsi"/>
        </w:rPr>
        <w:t>B</w:t>
      </w:r>
      <w:r w:rsidRPr="007B3879">
        <w:rPr>
          <w:rFonts w:cstheme="minorHAnsi"/>
        </w:rPr>
        <w:t xml:space="preserve"> document which are only negotiable at SITA’s discretion.</w:t>
      </w:r>
    </w:p>
    <w:p w:rsidR="00E14656" w:rsidRPr="00D41F1F" w:rsidRDefault="00E14656" w:rsidP="00806366">
      <w:pPr>
        <w:pStyle w:val="Heading3"/>
        <w:spacing w:before="240" w:after="60" w:line="276" w:lineRule="auto"/>
        <w:ind w:left="1134" w:hanging="1134"/>
        <w:rPr>
          <w:bCs/>
        </w:rPr>
      </w:pPr>
      <w:bookmarkStart w:id="31" w:name="_Toc106635109"/>
      <w:r w:rsidRPr="00D41F1F">
        <w:rPr>
          <w:bCs/>
        </w:rPr>
        <w:t>Preferential procurement reform</w:t>
      </w:r>
      <w:bookmarkEnd w:id="31"/>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321EA9" w:rsidRDefault="00E14656" w:rsidP="00806366">
      <w:pPr>
        <w:pStyle w:val="Heading3"/>
        <w:spacing w:before="240" w:after="60" w:line="276" w:lineRule="auto"/>
        <w:ind w:left="1134" w:hanging="1134"/>
        <w:rPr>
          <w:bCs/>
        </w:rPr>
      </w:pPr>
      <w:bookmarkStart w:id="32" w:name="_Toc106635110"/>
      <w:r w:rsidRPr="00321EA9">
        <w:rPr>
          <w:bCs/>
        </w:rPr>
        <w:lastRenderedPageBreak/>
        <w:t>National Industrial Participation Programme</w:t>
      </w:r>
      <w:bookmarkEnd w:id="32"/>
      <w:r w:rsidR="00321EA9">
        <w:rPr>
          <w:bCs/>
        </w:rPr>
        <w:t xml:space="preserve"> (If Applicable)</w:t>
      </w:r>
    </w:p>
    <w:p w:rsidR="00E14656" w:rsidRPr="00321EA9" w:rsidRDefault="00E14656" w:rsidP="009A6CDE">
      <w:pPr>
        <w:pStyle w:val="ListParagraph"/>
        <w:numPr>
          <w:ilvl w:val="0"/>
          <w:numId w:val="23"/>
        </w:numPr>
        <w:rPr>
          <w:rStyle w:val="Hyperlink"/>
          <w:color w:val="auto"/>
          <w:u w:val="none"/>
        </w:rPr>
      </w:pPr>
      <w:r w:rsidRPr="00321EA9">
        <w:rPr>
          <w:rStyle w:val="Hyperlink"/>
          <w:color w:val="auto"/>
          <w:u w:val="none"/>
        </w:rPr>
        <w:t xml:space="preserve">The </w:t>
      </w:r>
      <w:r w:rsidR="0002713C" w:rsidRPr="00321EA9">
        <w:rPr>
          <w:rStyle w:val="Hyperlink"/>
          <w:color w:val="auto"/>
          <w:u w:val="none"/>
        </w:rPr>
        <w:t xml:space="preserve">National </w:t>
      </w:r>
      <w:r w:rsidRPr="00321EA9">
        <w:rPr>
          <w:rStyle w:val="Hyperlink"/>
          <w:color w:val="auto"/>
          <w:u w:val="none"/>
        </w:rPr>
        <w:t xml:space="preserve">Industrial Participation policy, which was endorsed by Cabinet on 30 April 1997, is applicable to contracts that have an imported content. The </w:t>
      </w:r>
      <w:r w:rsidR="00B313D3" w:rsidRPr="00321EA9">
        <w:rPr>
          <w:rStyle w:val="Hyperlink"/>
          <w:color w:val="auto"/>
          <w:u w:val="none"/>
        </w:rPr>
        <w:t>NIPP</w:t>
      </w:r>
      <w:r w:rsidRPr="00321EA9">
        <w:rPr>
          <w:rStyle w:val="Hyperlink"/>
          <w:color w:val="auto"/>
          <w:u w:val="none"/>
        </w:rPr>
        <w:t xml:space="preserve"> is obligatory and therefore must be complied with. Bidders are required to sign and submit the Standard Bidding Document (SBD)</w:t>
      </w:r>
      <w:r w:rsidR="00D44BDF" w:rsidRPr="00321EA9">
        <w:rPr>
          <w:rStyle w:val="Hyperlink"/>
          <w:color w:val="auto"/>
          <w:u w:val="none"/>
        </w:rPr>
        <w:t xml:space="preserve"> 5 in this regard.</w:t>
      </w:r>
    </w:p>
    <w:p w:rsidR="00E14656" w:rsidRPr="00E8640E" w:rsidRDefault="00E14656" w:rsidP="00806366">
      <w:pPr>
        <w:pStyle w:val="Heading3"/>
        <w:spacing w:before="240" w:after="60" w:line="276" w:lineRule="auto"/>
        <w:ind w:left="1134" w:hanging="1134"/>
        <w:rPr>
          <w:bCs/>
        </w:rPr>
      </w:pPr>
      <w:bookmarkStart w:id="33" w:name="_Toc106635111"/>
      <w:r w:rsidRPr="00E8640E">
        <w:rPr>
          <w:bCs/>
        </w:rPr>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806366">
      <w:pPr>
        <w:pStyle w:val="Heading3"/>
        <w:spacing w:before="240" w:after="60" w:line="276" w:lineRule="auto"/>
        <w:ind w:left="1134" w:hanging="1134"/>
        <w:rPr>
          <w:bCs/>
        </w:rPr>
      </w:pPr>
      <w:bookmarkStart w:id="34" w:name="_Toc106635112"/>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806366">
      <w:pPr>
        <w:pStyle w:val="Heading3"/>
        <w:spacing w:before="240" w:after="60" w:line="276" w:lineRule="auto"/>
        <w:ind w:left="1134" w:hanging="1134"/>
        <w:rPr>
          <w:bCs/>
        </w:rPr>
      </w:pPr>
      <w:bookmarkStart w:id="35" w:name="_Toc106635113"/>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321EA9" w:rsidRPr="00122972">
        <w:rPr>
          <w:rFonts w:cstheme="minorHAnsi"/>
        </w:rPr>
        <w:t>RF</w:t>
      </w:r>
      <w:r w:rsidR="00321EA9" w:rsidRPr="009C6F28">
        <w:rPr>
          <w:rFonts w:cstheme="minorHAnsi"/>
        </w:rPr>
        <w:t>B</w:t>
      </w:r>
      <w:r w:rsidRPr="00E8640E">
        <w:rPr>
          <w:rStyle w:val="Hyperlink"/>
          <w:color w:val="auto"/>
          <w:u w:val="none"/>
        </w:rPr>
        <w:t xml:space="preserve"> document.</w:t>
      </w:r>
    </w:p>
    <w:p w:rsidR="00122972" w:rsidRPr="00820BBC" w:rsidRDefault="00122972" w:rsidP="00806366">
      <w:pPr>
        <w:pStyle w:val="Heading3"/>
        <w:spacing w:before="240" w:after="60" w:line="276" w:lineRule="auto"/>
        <w:ind w:left="1134" w:hanging="1134"/>
        <w:rPr>
          <w:bCs/>
        </w:rPr>
      </w:pPr>
      <w:bookmarkStart w:id="36" w:name="_Toc106635114"/>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21EA9" w:rsidRPr="00122972">
        <w:rPr>
          <w:rFonts w:cstheme="minorHAnsi"/>
        </w:rPr>
        <w:t>RF</w:t>
      </w:r>
      <w:r w:rsidR="00321EA9" w:rsidRPr="009C6F28">
        <w:rPr>
          <w:rFonts w:cstheme="minorHAnsi"/>
        </w:rPr>
        <w:t>B</w:t>
      </w:r>
      <w:r w:rsidRPr="00820BBC">
        <w:rPr>
          <w:rFonts w:cstheme="minorHAnsi"/>
        </w:rPr>
        <w:t xml:space="preserve"> and Bids in response to the </w:t>
      </w:r>
      <w:r w:rsidR="00321EA9" w:rsidRPr="00122972">
        <w:rPr>
          <w:rFonts w:cstheme="minorHAnsi"/>
        </w:rPr>
        <w:t>RF</w:t>
      </w:r>
      <w:r w:rsidR="00321EA9" w:rsidRPr="009C6F28">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806366">
      <w:pPr>
        <w:pStyle w:val="Heading3"/>
        <w:spacing w:before="240" w:after="60" w:line="276" w:lineRule="auto"/>
        <w:ind w:left="1134" w:hanging="1134"/>
        <w:rPr>
          <w:bCs/>
        </w:rPr>
      </w:pPr>
      <w:bookmarkStart w:id="37" w:name="_Toc106635115"/>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21EA9" w:rsidRPr="00122972">
        <w:rPr>
          <w:rFonts w:cstheme="minorHAnsi"/>
        </w:rPr>
        <w:t>RF</w:t>
      </w:r>
      <w:r w:rsidR="00321EA9" w:rsidRPr="009C6F28">
        <w:rPr>
          <w:rFonts w:cstheme="minorHAnsi"/>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806366">
      <w:pPr>
        <w:pStyle w:val="Heading3"/>
        <w:spacing w:before="240" w:after="60" w:line="276" w:lineRule="auto"/>
        <w:ind w:left="567"/>
        <w:rPr>
          <w:bCs/>
        </w:rPr>
      </w:pPr>
      <w:bookmarkStart w:id="38" w:name="_Toc106635116"/>
      <w:r w:rsidRPr="00F73867">
        <w:rPr>
          <w:bCs/>
        </w:rPr>
        <w:t>Bid Validity</w:t>
      </w:r>
      <w:bookmarkEnd w:id="38"/>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321EA9" w:rsidRPr="00122972">
        <w:rPr>
          <w:rFonts w:cstheme="minorHAnsi"/>
        </w:rPr>
        <w:t>RF</w:t>
      </w:r>
      <w:r w:rsidR="00321EA9" w:rsidRPr="009C6F28">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321EA9" w:rsidRPr="00122972">
        <w:rPr>
          <w:rFonts w:cstheme="minorHAnsi"/>
        </w:rPr>
        <w:t>RF</w:t>
      </w:r>
      <w:r w:rsidR="00321EA9" w:rsidRPr="009C6F28">
        <w:rPr>
          <w:rFonts w:cstheme="minorHAnsi"/>
        </w:rPr>
        <w:t>B</w:t>
      </w:r>
      <w:r w:rsidRPr="00F73867">
        <w:rPr>
          <w:rFonts w:cstheme="minorHAnsi"/>
        </w:rPr>
        <w:t xml:space="preserve">, the bidder must respond within the required time frames and in writing on whether or not it agrees to hold his original </w:t>
      </w:r>
      <w:r w:rsidR="00321EA9" w:rsidRPr="00122972">
        <w:rPr>
          <w:rFonts w:cstheme="minorHAnsi"/>
        </w:rPr>
        <w:t>RF</w:t>
      </w:r>
      <w:r w:rsidR="00321EA9" w:rsidRPr="009C6F28">
        <w:rPr>
          <w:rFonts w:cstheme="minorHAnsi"/>
        </w:rPr>
        <w:t>B</w:t>
      </w:r>
      <w:r w:rsidRPr="00F73867">
        <w:rPr>
          <w:rFonts w:cstheme="minorHAnsi"/>
        </w:rPr>
        <w:t xml:space="preserve"> response valid under the same terms and conditions for a further period.</w:t>
      </w:r>
    </w:p>
    <w:p w:rsidR="00E14656" w:rsidRPr="00E8640E" w:rsidRDefault="00E14656" w:rsidP="00806366">
      <w:pPr>
        <w:pStyle w:val="Heading3"/>
        <w:spacing w:before="240" w:after="60" w:line="276" w:lineRule="auto"/>
        <w:ind w:left="1134" w:hanging="1134"/>
        <w:rPr>
          <w:bCs/>
        </w:rPr>
      </w:pPr>
      <w:bookmarkStart w:id="39" w:name="_Toc106635117"/>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21EA9" w:rsidRPr="00122972">
        <w:rPr>
          <w:rFonts w:cstheme="minorHAnsi"/>
        </w:rPr>
        <w:t>RF</w:t>
      </w:r>
      <w:r w:rsidR="00321EA9" w:rsidRPr="009C6F28">
        <w:rPr>
          <w:rFonts w:cstheme="minorHAnsi"/>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806366">
      <w:pPr>
        <w:pStyle w:val="Heading3"/>
        <w:spacing w:before="240" w:after="60" w:line="276" w:lineRule="auto"/>
        <w:ind w:left="1134" w:hanging="1134"/>
        <w:rPr>
          <w:bCs/>
        </w:rPr>
      </w:pPr>
      <w:bookmarkStart w:id="40" w:name="_Toc106635118"/>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21EA9" w:rsidRPr="00122972">
        <w:rPr>
          <w:rFonts w:cstheme="minorHAnsi"/>
        </w:rPr>
        <w:t>RF</w:t>
      </w:r>
      <w:r w:rsidR="00321EA9" w:rsidRPr="009C6F28">
        <w:rPr>
          <w:rFonts w:cstheme="minorHAnsi"/>
        </w:rPr>
        <w:t>B</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806366">
      <w:pPr>
        <w:pStyle w:val="Heading3"/>
        <w:spacing w:before="240" w:after="60" w:line="276" w:lineRule="auto"/>
        <w:ind w:left="1134" w:hanging="1134"/>
        <w:rPr>
          <w:bCs/>
        </w:rPr>
      </w:pPr>
      <w:bookmarkStart w:id="42" w:name="_Toc106635119"/>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321EA9" w:rsidRPr="00122972">
        <w:rPr>
          <w:rFonts w:cstheme="minorHAnsi"/>
        </w:rPr>
        <w:t>RF</w:t>
      </w:r>
      <w:r w:rsidR="00321EA9" w:rsidRPr="009C6F28">
        <w:rPr>
          <w:rFonts w:cstheme="minorHAnsi"/>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21EA9" w:rsidRPr="00122972">
        <w:rPr>
          <w:rFonts w:cstheme="minorHAnsi"/>
        </w:rPr>
        <w:t>RF</w:t>
      </w:r>
      <w:r w:rsidR="00321EA9" w:rsidRPr="009C6F28">
        <w:rPr>
          <w:rFonts w:cstheme="minorHAnsi"/>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321EA9" w:rsidRPr="00122972">
        <w:rPr>
          <w:rFonts w:cstheme="minorHAnsi"/>
        </w:rPr>
        <w:t>RF</w:t>
      </w:r>
      <w:r w:rsidR="00321EA9" w:rsidRPr="009C6F28">
        <w:rPr>
          <w:rFonts w:cstheme="minorHAnsi"/>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321EA9" w:rsidRPr="00122972">
        <w:rPr>
          <w:rFonts w:cstheme="minorHAnsi"/>
        </w:rPr>
        <w:t>RF</w:t>
      </w:r>
      <w:r w:rsidR="00321EA9" w:rsidRPr="009C6F28">
        <w:rPr>
          <w:rFonts w:cstheme="minorHAnsi"/>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321EA9" w:rsidRPr="00122972">
        <w:rPr>
          <w:rFonts w:cstheme="minorHAnsi"/>
        </w:rPr>
        <w:t>RF</w:t>
      </w:r>
      <w:r w:rsidR="00321EA9" w:rsidRPr="009C6F28">
        <w:rPr>
          <w:rFonts w:cstheme="minorHAnsi"/>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06366">
      <w:pPr>
        <w:pStyle w:val="Heading3"/>
        <w:spacing w:before="240" w:after="60" w:line="276" w:lineRule="auto"/>
        <w:ind w:left="1134" w:hanging="1134"/>
        <w:rPr>
          <w:bCs/>
        </w:rPr>
      </w:pPr>
      <w:bookmarkStart w:id="43" w:name="_Toc106635120"/>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806366">
      <w:pPr>
        <w:pStyle w:val="Heading3"/>
        <w:spacing w:before="240" w:after="60" w:line="276" w:lineRule="auto"/>
        <w:ind w:left="1134" w:hanging="1134"/>
        <w:rPr>
          <w:bCs/>
        </w:rPr>
      </w:pPr>
      <w:bookmarkStart w:id="44" w:name="_Toc106635121"/>
      <w:r w:rsidRPr="001203AD">
        <w:rPr>
          <w:bCs/>
        </w:rPr>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21EA9" w:rsidRPr="00122972">
        <w:rPr>
          <w:rFonts w:cstheme="minorHAnsi"/>
        </w:rPr>
        <w:t>RF</w:t>
      </w:r>
      <w:r w:rsidR="00321EA9" w:rsidRPr="009C6F28">
        <w:rPr>
          <w:rFonts w:cstheme="minorHAnsi"/>
        </w:rPr>
        <w:t>B</w:t>
      </w:r>
    </w:p>
    <w:p w:rsidR="00E14656" w:rsidRPr="00E8640E" w:rsidRDefault="00E14656" w:rsidP="00806366">
      <w:pPr>
        <w:pStyle w:val="Heading3"/>
        <w:spacing w:before="240" w:after="60" w:line="276" w:lineRule="auto"/>
        <w:ind w:left="1134" w:hanging="1276"/>
        <w:rPr>
          <w:bCs/>
        </w:rPr>
      </w:pPr>
      <w:bookmarkStart w:id="45" w:name="_Toc454470839"/>
      <w:bookmarkStart w:id="46" w:name="_Toc459824253"/>
      <w:bookmarkStart w:id="47" w:name="_Toc68878751"/>
      <w:bookmarkStart w:id="48" w:name="_Toc94521922"/>
      <w:bookmarkStart w:id="49" w:name="_Toc94528457"/>
      <w:bookmarkStart w:id="50" w:name="_Toc106635122"/>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321EA9" w:rsidRPr="00122972">
        <w:rPr>
          <w:rFonts w:cstheme="minorHAnsi"/>
        </w:rPr>
        <w:t>RF</w:t>
      </w:r>
      <w:r w:rsidR="00321EA9" w:rsidRPr="009C6F28">
        <w:rPr>
          <w:rFonts w:cstheme="minorHAnsi"/>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806366">
      <w:pPr>
        <w:pStyle w:val="Heading3"/>
        <w:spacing w:before="240" w:after="60" w:line="276" w:lineRule="auto"/>
        <w:ind w:left="1134" w:hanging="1276"/>
        <w:rPr>
          <w:bCs/>
        </w:rPr>
      </w:pPr>
      <w:bookmarkStart w:id="53" w:name="_Toc106635123"/>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321EA9" w:rsidRPr="00122972">
        <w:rPr>
          <w:rFonts w:cstheme="minorHAnsi"/>
        </w:rPr>
        <w:t>RF</w:t>
      </w:r>
      <w:r w:rsidR="00321EA9" w:rsidRPr="009C6F28">
        <w:rPr>
          <w:rFonts w:cstheme="minorHAnsi"/>
        </w:rPr>
        <w:t>B</w:t>
      </w:r>
      <w:r w:rsidRPr="0002713C">
        <w:rPr>
          <w:rStyle w:val="Hyperlink"/>
          <w:color w:val="auto"/>
          <w:u w:val="none"/>
        </w:rPr>
        <w:t xml:space="preserve"> specification is based on a specific brand must inform SITA within five (5) days from the date of the publication of this </w:t>
      </w:r>
      <w:r w:rsidR="00072D17" w:rsidRPr="00122972">
        <w:rPr>
          <w:rFonts w:cstheme="minorHAnsi"/>
        </w:rPr>
        <w:t>RF</w:t>
      </w:r>
      <w:r w:rsidR="00072D17" w:rsidRPr="009C6F28">
        <w:rPr>
          <w:rFonts w:cstheme="minorHAnsi"/>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90233F" w:rsidRPr="0090233F" w:rsidRDefault="0090233F" w:rsidP="00806366">
      <w:pPr>
        <w:pStyle w:val="Heading2"/>
        <w:ind w:left="1134" w:hanging="1134"/>
        <w:rPr>
          <w:rFonts w:cs="Arial"/>
          <w:iCs/>
          <w:color w:val="000080"/>
          <w:szCs w:val="28"/>
          <w:lang w:val="en-GB"/>
        </w:rPr>
      </w:pPr>
      <w:bookmarkStart w:id="54" w:name="_Toc106635124"/>
      <w:r w:rsidRPr="0090233F">
        <w:rPr>
          <w:rFonts w:cs="Arial"/>
          <w:iCs/>
          <w:color w:val="000080"/>
          <w:szCs w:val="28"/>
          <w:lang w:val="en-GB"/>
        </w:rPr>
        <w:t>RF</w:t>
      </w:r>
      <w:r w:rsidR="00072D17">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E14656" w:rsidRDefault="0090233F" w:rsidP="00806366">
      <w:pPr>
        <w:pStyle w:val="Heading3"/>
        <w:ind w:left="1134" w:hanging="1134"/>
      </w:pPr>
      <w:bookmarkStart w:id="55" w:name="_Toc106635125"/>
      <w:bookmarkStart w:id="56" w:name="Response"/>
      <w:bookmarkStart w:id="57" w:name="_Toc150587194"/>
      <w:bookmarkStart w:id="58" w:name="_Toc199296472"/>
      <w:r>
        <w:t xml:space="preserve">Administrative </w:t>
      </w:r>
      <w:r w:rsidRPr="0056332A">
        <w:t>Returnable Documents</w:t>
      </w:r>
      <w:bookmarkEnd w:id="55"/>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072D17">
        <w:rPr>
          <w:rStyle w:val="Hyperlink"/>
          <w:color w:val="auto"/>
          <w:u w:val="none"/>
        </w:rPr>
        <w:t>Special Conditions of Contract</w:t>
      </w:r>
    </w:p>
    <w:p w:rsidR="00C14C4F" w:rsidRPr="00072D17" w:rsidRDefault="00C14C4F" w:rsidP="00C14C4F">
      <w:pPr>
        <w:pStyle w:val="ListParagraph"/>
        <w:ind w:left="1134"/>
        <w:rPr>
          <w:rStyle w:val="Hyperlink"/>
          <w:color w:val="auto"/>
          <w:u w:val="none"/>
        </w:rPr>
      </w:pPr>
    </w:p>
    <w:p w:rsidR="004E1D55" w:rsidRDefault="004E1D55" w:rsidP="00806366">
      <w:pPr>
        <w:pStyle w:val="Heading3"/>
        <w:ind w:left="1134" w:hanging="1134"/>
      </w:pPr>
      <w:bookmarkStart w:id="59" w:name="_Toc106635126"/>
      <w:r w:rsidRPr="004E1D55">
        <w:t>Mandatory Returnable Documents</w:t>
      </w:r>
      <w:bookmarkEnd w:id="59"/>
    </w:p>
    <w:p w:rsidR="00C14C4F" w:rsidRPr="00C14C4F" w:rsidRDefault="00C14C4F" w:rsidP="00C14C4F">
      <w:pPr>
        <w:pStyle w:val="NoSpacing"/>
        <w:numPr>
          <w:ilvl w:val="0"/>
          <w:numId w:val="111"/>
        </w:numPr>
        <w:spacing w:line="276" w:lineRule="auto"/>
        <w:ind w:left="1134" w:hanging="567"/>
        <w:jc w:val="both"/>
        <w:rPr>
          <w:rFonts w:cstheme="minorHAnsi"/>
        </w:rPr>
      </w:pPr>
      <w:r w:rsidRPr="00C14C4F">
        <w:rPr>
          <w:rFonts w:cstheme="minorHAnsi"/>
        </w:rPr>
        <w:t>Bidders must return the mandatory documents together with their submissions. A failure to submit the mandatory returnable documents will lead to the Bidder being disqualified from the bidding process.</w:t>
      </w:r>
    </w:p>
    <w:p w:rsidR="00C14C4F" w:rsidRDefault="00C14C4F" w:rsidP="00C14C4F">
      <w:pPr>
        <w:pStyle w:val="NoSpacing"/>
        <w:rPr>
          <w:rFonts w:ascii="Arial" w:hAnsi="Arial" w:cs="Arial"/>
        </w:rPr>
      </w:pPr>
    </w:p>
    <w:tbl>
      <w:tblPr>
        <w:tblStyle w:val="TableGrid"/>
        <w:tblW w:w="8505" w:type="dxa"/>
        <w:tblInd w:w="1129" w:type="dxa"/>
        <w:tblLook w:val="04A0" w:firstRow="1" w:lastRow="0" w:firstColumn="1" w:lastColumn="0" w:noHBand="0" w:noVBand="1"/>
      </w:tblPr>
      <w:tblGrid>
        <w:gridCol w:w="851"/>
        <w:gridCol w:w="7654"/>
      </w:tblGrid>
      <w:tr w:rsidR="00C14C4F" w:rsidRPr="00706059" w:rsidTr="00D728D2">
        <w:trPr>
          <w:trHeight w:val="570"/>
        </w:trPr>
        <w:tc>
          <w:tcPr>
            <w:tcW w:w="851" w:type="dxa"/>
            <w:shd w:val="clear" w:color="auto" w:fill="17365D" w:themeFill="text2" w:themeFillShade="BF"/>
          </w:tcPr>
          <w:p w:rsidR="00C14C4F" w:rsidRPr="00706059" w:rsidRDefault="00C14C4F" w:rsidP="005339EE">
            <w:pPr>
              <w:spacing w:line="360" w:lineRule="auto"/>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7654" w:type="dxa"/>
            <w:shd w:val="clear" w:color="auto" w:fill="17365D" w:themeFill="text2" w:themeFillShade="BF"/>
          </w:tcPr>
          <w:p w:rsidR="00C14C4F" w:rsidRPr="00706059" w:rsidRDefault="00C14C4F" w:rsidP="005339EE">
            <w:pPr>
              <w:spacing w:line="360" w:lineRule="auto"/>
              <w:rPr>
                <w:rFonts w:ascii="Arial" w:hAnsi="Arial" w:cs="Arial"/>
                <w:color w:val="FFFFFF" w:themeColor="background1"/>
                <w:sz w:val="20"/>
                <w:szCs w:val="20"/>
                <w:highlight w:val="yellow"/>
              </w:rPr>
            </w:pPr>
            <w:r>
              <w:rPr>
                <w:rFonts w:ascii="Arial" w:hAnsi="Arial" w:cs="Arial"/>
                <w:b/>
                <w:bCs/>
                <w:color w:val="FFFFFF" w:themeColor="background1"/>
                <w:sz w:val="20"/>
                <w:szCs w:val="20"/>
              </w:rPr>
              <w:t xml:space="preserve">Mandatory </w:t>
            </w:r>
            <w:r w:rsidRPr="00706059">
              <w:rPr>
                <w:rFonts w:ascii="Arial" w:hAnsi="Arial" w:cs="Arial"/>
                <w:b/>
                <w:bCs/>
                <w:color w:val="FFFFFF" w:themeColor="background1"/>
                <w:sz w:val="20"/>
                <w:szCs w:val="20"/>
              </w:rPr>
              <w:t>Returnable Documents</w:t>
            </w:r>
          </w:p>
        </w:tc>
      </w:tr>
      <w:tr w:rsidR="00C14C4F" w:rsidRPr="00706059" w:rsidTr="00D728D2">
        <w:tc>
          <w:tcPr>
            <w:tcW w:w="851" w:type="dxa"/>
          </w:tcPr>
          <w:p w:rsidR="00C14C4F" w:rsidRPr="0056332A" w:rsidRDefault="00C14C4F" w:rsidP="005339EE">
            <w:pPr>
              <w:spacing w:line="360" w:lineRule="auto"/>
              <w:rPr>
                <w:rFonts w:ascii="Arial" w:hAnsi="Arial" w:cs="Arial"/>
                <w:bCs/>
                <w:sz w:val="20"/>
                <w:szCs w:val="20"/>
              </w:rPr>
            </w:pPr>
            <w:proofErr w:type="spellStart"/>
            <w:r w:rsidRPr="0056332A">
              <w:rPr>
                <w:rFonts w:ascii="Arial" w:hAnsi="Arial" w:cs="Arial"/>
                <w:bCs/>
                <w:sz w:val="20"/>
                <w:szCs w:val="20"/>
              </w:rPr>
              <w:t>i</w:t>
            </w:r>
            <w:proofErr w:type="spellEnd"/>
            <w:r w:rsidRPr="0056332A">
              <w:rPr>
                <w:rFonts w:ascii="Arial" w:hAnsi="Arial" w:cs="Arial"/>
                <w:bCs/>
                <w:sz w:val="20"/>
                <w:szCs w:val="20"/>
              </w:rPr>
              <w:t>.</w:t>
            </w:r>
          </w:p>
        </w:tc>
        <w:tc>
          <w:tcPr>
            <w:tcW w:w="7654" w:type="dxa"/>
          </w:tcPr>
          <w:p w:rsidR="00C14C4F" w:rsidRPr="00756804" w:rsidRDefault="00C14C4F" w:rsidP="005339EE">
            <w:pPr>
              <w:spacing w:line="360" w:lineRule="auto"/>
              <w:rPr>
                <w:rFonts w:ascii="Arial" w:hAnsi="Arial" w:cs="Arial"/>
                <w:sz w:val="20"/>
                <w:szCs w:val="20"/>
              </w:rPr>
            </w:pPr>
            <w:r w:rsidRPr="004334D4">
              <w:rPr>
                <w:rFonts w:ascii="Arial" w:hAnsi="Arial" w:cs="Arial"/>
                <w:b/>
                <w:sz w:val="20"/>
                <w:szCs w:val="20"/>
              </w:rPr>
              <w:t>PLEASE REFER TO BID SPECIFICATION DOCUMENT</w:t>
            </w:r>
          </w:p>
        </w:tc>
      </w:tr>
    </w:tbl>
    <w:p w:rsidR="00C14C4F" w:rsidRDefault="00C14C4F" w:rsidP="00C14C4F">
      <w:pPr>
        <w:ind w:left="1134"/>
        <w:rPr>
          <w:lang w:val="en-GB"/>
        </w:rPr>
      </w:pPr>
    </w:p>
    <w:p w:rsidR="00C14C4F" w:rsidRPr="00C14C4F" w:rsidRDefault="00C14C4F" w:rsidP="00C14C4F">
      <w:pPr>
        <w:ind w:left="1134"/>
        <w:rPr>
          <w:lang w:val="en-GB"/>
        </w:rPr>
      </w:pPr>
    </w:p>
    <w:p w:rsidR="004E1D55" w:rsidRPr="00227CFB" w:rsidRDefault="004E1D55" w:rsidP="00806366">
      <w:pPr>
        <w:pStyle w:val="Heading3"/>
        <w:ind w:left="1134" w:hanging="1134"/>
      </w:pPr>
      <w:bookmarkStart w:id="60" w:name="_Toc106635127"/>
      <w:r w:rsidRPr="00227CFB">
        <w:lastRenderedPageBreak/>
        <w:t>Evaluation Returnable Documents</w:t>
      </w:r>
      <w:bookmarkEnd w:id="60"/>
    </w:p>
    <w:p w:rsidR="004E1D55" w:rsidRPr="00D728D2" w:rsidRDefault="00C14C4F" w:rsidP="00D728D2">
      <w:pPr>
        <w:pStyle w:val="ListParagraph"/>
        <w:numPr>
          <w:ilvl w:val="0"/>
          <w:numId w:val="112"/>
        </w:numPr>
        <w:rPr>
          <w:lang w:val="en-GB"/>
        </w:rPr>
      </w:pPr>
      <w:r w:rsidRPr="00D728D2">
        <w:rPr>
          <w:lang w:val="en-GB"/>
        </w:rPr>
        <w:t>Bidders must return the evaluation returnable documents together with their submissions. A failure to submit the evaluation returnable documents will lead to the Bidder being scored low as provided for in the evaluation criteria and may not necessarily lead to the Bidder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06635128"/>
      <w:r>
        <w:lastRenderedPageBreak/>
        <w:t>Bidder’s disclosure (SBD 4)</w:t>
      </w:r>
      <w:bookmarkEnd w:id="61"/>
    </w:p>
    <w:p w:rsidR="001E3F54" w:rsidRPr="001E3F54" w:rsidRDefault="001E3F54" w:rsidP="001E3F54">
      <w:pPr>
        <w:pStyle w:val="Heading2"/>
        <w:rPr>
          <w:lang w:val="en-GB"/>
        </w:rPr>
      </w:pPr>
      <w:bookmarkStart w:id="62" w:name="_Toc106635129"/>
      <w:r>
        <w:rPr>
          <w:lang w:val="en-GB"/>
        </w:rPr>
        <w:t>Purpose of disclosure</w:t>
      </w:r>
      <w:bookmarkEnd w:id="62"/>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06635130"/>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744D8F">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744D8F">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06635131"/>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06635132"/>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06635133"/>
      <w:r w:rsidRPr="0055137F">
        <w:t>General Condition</w:t>
      </w:r>
      <w:r>
        <w:t>s</w:t>
      </w:r>
      <w:bookmarkEnd w:id="72"/>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072D1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072D17">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072D17">
        <w:rPr>
          <w:rFonts w:asciiTheme="minorHAnsi" w:hAnsiTheme="minorHAnsi" w:cs="Arial"/>
          <w:sz w:val="22"/>
          <w:szCs w:val="22"/>
        </w:rPr>
        <w:t>, subject to par 4.1 (a) (iv)</w:t>
      </w:r>
      <w:r w:rsidRPr="00072D17">
        <w:rPr>
          <w:rFonts w:asciiTheme="minorHAnsi" w:hAnsiTheme="minorHAnsi" w:cs="Arial"/>
          <w:sz w:val="22"/>
          <w:szCs w:val="22"/>
        </w:rPr>
        <w:t>:</w:t>
      </w:r>
    </w:p>
    <w:p w:rsidR="0055137F" w:rsidRPr="00072D17" w:rsidRDefault="0055137F" w:rsidP="001F62B5">
      <w:pPr>
        <w:pStyle w:val="Caption"/>
        <w:jc w:val="left"/>
      </w:pPr>
      <w:r w:rsidRPr="00072D17">
        <w:tab/>
      </w:r>
      <w:r w:rsidRPr="00072D17">
        <w:tab/>
      </w:r>
      <w:r w:rsidR="004452B2" w:rsidRPr="00072D17">
        <w:tab/>
      </w:r>
      <w:r w:rsidR="004452B2" w:rsidRPr="00072D17">
        <w:tab/>
      </w:r>
      <w:r w:rsidR="004452B2" w:rsidRPr="00072D17">
        <w:tab/>
      </w:r>
      <w:r w:rsidR="004452B2" w:rsidRPr="00072D17">
        <w:tab/>
      </w:r>
      <w:bookmarkStart w:id="73" w:name="_Toc107394442"/>
      <w:r w:rsidR="00AC0513" w:rsidRPr="00072D17">
        <w:t xml:space="preserve">Table </w:t>
      </w:r>
      <w:r w:rsidR="00AC0513" w:rsidRPr="00072D17">
        <w:fldChar w:fldCharType="begin"/>
      </w:r>
      <w:r w:rsidR="00AC0513" w:rsidRPr="00072D17">
        <w:instrText xml:space="preserve"> SEQ Table \* ARABIC </w:instrText>
      </w:r>
      <w:r w:rsidR="00AC0513" w:rsidRPr="00072D17">
        <w:fldChar w:fldCharType="separate"/>
      </w:r>
      <w:r w:rsidR="00744D8F" w:rsidRPr="00072D17">
        <w:rPr>
          <w:noProof/>
        </w:rPr>
        <w:t>8</w:t>
      </w:r>
      <w:r w:rsidR="00AC0513" w:rsidRPr="00072D17">
        <w:fldChar w:fldCharType="end"/>
      </w:r>
      <w:r w:rsidR="00AC0513" w:rsidRPr="00072D17">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072D17" w:rsidTr="004452B2">
        <w:tc>
          <w:tcPr>
            <w:tcW w:w="4957" w:type="dxa"/>
            <w:shd w:val="solid" w:color="DBE5F1" w:themeColor="accent1" w:themeTint="33" w:fill="DBE5F1" w:themeFill="accent1" w:themeFillTint="33"/>
          </w:tcPr>
          <w:p w:rsidR="0055137F" w:rsidRPr="00072D17" w:rsidRDefault="007F2F8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072D17" w:rsidRDefault="0055137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Points</w:t>
            </w:r>
          </w:p>
        </w:tc>
      </w:tr>
      <w:tr w:rsidR="0055137F" w:rsidRPr="00072D17"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Price</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80</w:t>
            </w:r>
          </w:p>
        </w:tc>
      </w:tr>
      <w:tr w:rsidR="0055137F"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B-BEE Status level of Contributor</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06635134"/>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72D17">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35pt;height:36pt" o:ole="" fillcolor="window">
            <v:imagedata r:id="rId16" o:title=""/>
          </v:shape>
          <o:OLEObject Type="Embed" ProgID="Equation.3" ShapeID="_x0000_i1025" DrawAspect="Content" ObjectID="_1719380031"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35pt;height:36pt" o:ole="" fillcolor="window">
            <v:imagedata r:id="rId18" o:title=""/>
          </v:shape>
          <o:OLEObject Type="Embed" ProgID="Equation.3" ShapeID="_x0000_i1026" DrawAspect="Content" ObjectID="_1719380032"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5" w:name="_Toc106635135"/>
      <w:r>
        <w:t>Points awarded for B-BBEE status level of contributor</w:t>
      </w:r>
      <w:bookmarkEnd w:id="75"/>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6" w:name="_Toc107394443"/>
      <w:r>
        <w:t xml:space="preserve">Table </w:t>
      </w:r>
      <w:r>
        <w:fldChar w:fldCharType="begin"/>
      </w:r>
      <w:r>
        <w:instrText xml:space="preserve"> SEQ Table \* ARABIC </w:instrText>
      </w:r>
      <w:r>
        <w:fldChar w:fldCharType="separate"/>
      </w:r>
      <w:r w:rsidR="00744D8F">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7" w:name="_Toc106635136"/>
      <w:r>
        <w:t>Bid Declaration</w:t>
      </w:r>
      <w:bookmarkEnd w:id="77"/>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8" w:name="_Toc106635137"/>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9" w:name="_Toc107394444"/>
      <w:r>
        <w:t xml:space="preserve">Table </w:t>
      </w:r>
      <w:r>
        <w:fldChar w:fldCharType="begin"/>
      </w:r>
      <w:r>
        <w:instrText xml:space="preserve"> SEQ Table \* ARABIC </w:instrText>
      </w:r>
      <w:r>
        <w:fldChar w:fldCharType="separate"/>
      </w:r>
      <w:r w:rsidR="00744D8F">
        <w:rPr>
          <w:noProof/>
        </w:rPr>
        <w:t>10</w:t>
      </w:r>
      <w:r>
        <w:fldChar w:fldCharType="end"/>
      </w:r>
      <w:r>
        <w:t>: Sub-Contracting</w:t>
      </w:r>
      <w:bookmarkEnd w:id="79"/>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0" w:name="_Toc107394445"/>
      <w:r>
        <w:lastRenderedPageBreak/>
        <w:t xml:space="preserve">Table </w:t>
      </w:r>
      <w:r>
        <w:fldChar w:fldCharType="begin"/>
      </w:r>
      <w:r>
        <w:instrText xml:space="preserve"> SEQ Table \* ARABIC </w:instrText>
      </w:r>
      <w:r>
        <w:fldChar w:fldCharType="separate"/>
      </w:r>
      <w:r w:rsidR="00744D8F">
        <w:rPr>
          <w:noProof/>
        </w:rPr>
        <w:t>11</w:t>
      </w:r>
      <w:r>
        <w:fldChar w:fldCharType="end"/>
      </w:r>
      <w:r>
        <w:t>: Designated Group</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821696">
        <w:tc>
          <w:tcPr>
            <w:tcW w:w="7792"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1" w:name="_Toc106635138"/>
      <w:r>
        <w:t>Declaration with regard to Company / Firm</w:t>
      </w:r>
      <w:bookmarkEnd w:id="81"/>
    </w:p>
    <w:p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744D8F">
        <w:rPr>
          <w:noProof/>
        </w:rPr>
        <w:t>12</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821696">
        <w:tc>
          <w:tcPr>
            <w:tcW w:w="3209" w:type="dxa"/>
            <w:shd w:val="clear" w:color="auto" w:fill="DBE5F1" w:themeFill="accent1" w:themeFillTint="33"/>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072D17"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821696">
        <w:tc>
          <w:tcPr>
            <w:tcW w:w="3209" w:type="dxa"/>
            <w:shd w:val="clear" w:color="auto" w:fill="DBE5F1" w:themeFill="accent1" w:themeFillTint="33"/>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821696">
        <w:tc>
          <w:tcPr>
            <w:tcW w:w="3209" w:type="dxa"/>
            <w:shd w:val="clear" w:color="auto" w:fill="DBE5F1" w:themeFill="accent1" w:themeFillTint="33"/>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3" w:name="_Toc106635139"/>
      <w:r w:rsidRPr="007531A4">
        <w:lastRenderedPageBreak/>
        <w:t>Government Procurement: General Conditions of Contract</w:t>
      </w:r>
      <w:bookmarkEnd w:id="83"/>
      <w:r w:rsidR="009C21F4">
        <w:t xml:space="preserve"> (GCC)</w:t>
      </w:r>
    </w:p>
    <w:p w:rsidR="00B21670" w:rsidRPr="008A2B1A" w:rsidRDefault="00B21670" w:rsidP="00B21670">
      <w:pPr>
        <w:pStyle w:val="Heading2"/>
        <w:rPr>
          <w:lang w:val="en-GB"/>
        </w:rPr>
      </w:pPr>
      <w:bookmarkStart w:id="84" w:name="_Toc106635140"/>
      <w:r>
        <w:rPr>
          <w:lang w:val="en-GB"/>
        </w:rPr>
        <w:t>Purpose</w:t>
      </w:r>
      <w:bookmarkEnd w:id="84"/>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06635141"/>
      <w:r w:rsidRPr="0056332A">
        <w:t>Application</w:t>
      </w:r>
      <w:bookmarkEnd w:id="85"/>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06635142"/>
      <w:r w:rsidRPr="0056332A">
        <w:t>General</w:t>
      </w:r>
      <w:bookmarkEnd w:id="86"/>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06635143"/>
      <w:r w:rsidRPr="0056332A">
        <w:t>Standards</w:t>
      </w:r>
      <w:bookmarkEnd w:id="87"/>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06635144"/>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06635145"/>
      <w:r w:rsidRPr="0056332A">
        <w:lastRenderedPageBreak/>
        <w:t>Patent rights</w:t>
      </w:r>
      <w:bookmarkEnd w:id="89"/>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06635146"/>
      <w:r w:rsidRPr="0056332A">
        <w:t>Performance security</w:t>
      </w:r>
      <w:bookmarkEnd w:id="90"/>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06635147"/>
      <w:r w:rsidRPr="0056332A">
        <w:t>Inspections, tests and analyses</w:t>
      </w:r>
      <w:bookmarkEnd w:id="91"/>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06635148"/>
      <w:r w:rsidRPr="0056332A">
        <w:t>Packing</w:t>
      </w:r>
      <w:bookmarkEnd w:id="92"/>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06635149"/>
      <w:r w:rsidRPr="0056332A">
        <w:t>Delivery and documents</w:t>
      </w:r>
      <w:bookmarkEnd w:id="93"/>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06635150"/>
      <w:r w:rsidRPr="000A01AD">
        <w:t>Insurance</w:t>
      </w:r>
      <w:bookmarkEnd w:id="94"/>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06635151"/>
      <w:r w:rsidRPr="000A01AD">
        <w:t>Transportation</w:t>
      </w:r>
      <w:bookmarkEnd w:id="95"/>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06635152"/>
      <w:r>
        <w:t>I</w:t>
      </w:r>
      <w:r w:rsidRPr="000A01AD">
        <w:t>ncidental services</w:t>
      </w:r>
      <w:bookmarkEnd w:id="96"/>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06635153"/>
      <w:r w:rsidRPr="000A01AD">
        <w:lastRenderedPageBreak/>
        <w:t>Spare parts</w:t>
      </w:r>
      <w:bookmarkEnd w:id="97"/>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06635154"/>
      <w:r w:rsidRPr="00A56683">
        <w:t>Warranty</w:t>
      </w:r>
      <w:bookmarkEnd w:id="98"/>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06635155"/>
      <w:r w:rsidRPr="00A56683">
        <w:t>Payment</w:t>
      </w:r>
      <w:bookmarkEnd w:id="99"/>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06635156"/>
      <w:r w:rsidRPr="00A56683">
        <w:lastRenderedPageBreak/>
        <w:t>Prices</w:t>
      </w:r>
      <w:bookmarkEnd w:id="100"/>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06635157"/>
      <w:r w:rsidRPr="005721E2">
        <w:t>Contract amendments</w:t>
      </w:r>
      <w:bookmarkEnd w:id="101"/>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06635158"/>
      <w:r w:rsidRPr="005721E2">
        <w:t>Assignment</w:t>
      </w:r>
      <w:bookmarkEnd w:id="102"/>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06635159"/>
      <w:r w:rsidRPr="005721E2">
        <w:t>Subcontracts</w:t>
      </w:r>
      <w:bookmarkEnd w:id="103"/>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06635160"/>
      <w:r w:rsidRPr="005721E2">
        <w:t>Delays in the supplier’s performance</w:t>
      </w:r>
      <w:bookmarkEnd w:id="104"/>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06635161"/>
      <w:r w:rsidRPr="005721E2">
        <w:lastRenderedPageBreak/>
        <w:t>Penalties</w:t>
      </w:r>
      <w:bookmarkEnd w:id="105"/>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06635162"/>
      <w:r w:rsidRPr="005721E2">
        <w:t>Termination for default</w:t>
      </w:r>
      <w:bookmarkEnd w:id="106"/>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06635163"/>
      <w:r w:rsidRPr="005721E2">
        <w:t>Anti-dumping and countervailing duties and rights</w:t>
      </w:r>
      <w:bookmarkEnd w:id="107"/>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06635164"/>
      <w:r w:rsidRPr="005721E2">
        <w:t>Force majeure</w:t>
      </w:r>
      <w:bookmarkEnd w:id="108"/>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06635165"/>
      <w:r w:rsidRPr="005721E2">
        <w:t>Termination for insolvency</w:t>
      </w:r>
      <w:bookmarkEnd w:id="109"/>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06635166"/>
      <w:r w:rsidRPr="005721E2">
        <w:t>Settlement of disputes</w:t>
      </w:r>
      <w:bookmarkEnd w:id="110"/>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06635167"/>
      <w:r w:rsidRPr="005721E2">
        <w:t>Limitation of liability</w:t>
      </w:r>
      <w:bookmarkEnd w:id="111"/>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06635168"/>
      <w:r w:rsidRPr="005721E2">
        <w:t>Governing language</w:t>
      </w:r>
      <w:bookmarkEnd w:id="112"/>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06635169"/>
      <w:r w:rsidRPr="005721E2">
        <w:t>Applicable law</w:t>
      </w:r>
      <w:bookmarkEnd w:id="113"/>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06635170"/>
      <w:r w:rsidRPr="005721E2">
        <w:t>Notices</w:t>
      </w:r>
      <w:bookmarkEnd w:id="114"/>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06635171"/>
      <w:r w:rsidRPr="005721E2">
        <w:t>Taxes and duties</w:t>
      </w:r>
      <w:bookmarkEnd w:id="115"/>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06635172"/>
      <w:r w:rsidRPr="005721E2">
        <w:t>National Industrial Participation (</w:t>
      </w:r>
      <w:r w:rsidR="00B313D3">
        <w:t>NIPP</w:t>
      </w:r>
      <w:r w:rsidRPr="005721E2">
        <w:t>) Programme</w:t>
      </w:r>
      <w:bookmarkEnd w:id="116"/>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06635173"/>
      <w:r w:rsidRPr="005721E2">
        <w:t>Prohibition of restrictive practices</w:t>
      </w:r>
      <w:bookmarkEnd w:id="117"/>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2D17" w:rsidRDefault="00B21670" w:rsidP="00B21670">
      <w:pPr>
        <w:pStyle w:val="Heading1"/>
      </w:pPr>
      <w:bookmarkStart w:id="118" w:name="_Toc106635174"/>
      <w:r w:rsidRPr="00072D17">
        <w:lastRenderedPageBreak/>
        <w:t>National Industrial Participation Programme (SBD 5)</w:t>
      </w:r>
      <w:bookmarkEnd w:id="118"/>
      <w:r w:rsidR="00072D17">
        <w:t xml:space="preserve"> (If Applicable)</w:t>
      </w:r>
    </w:p>
    <w:p w:rsidR="00B21670" w:rsidRPr="00534B6F" w:rsidRDefault="00B21670" w:rsidP="00B21670">
      <w:pPr>
        <w:pStyle w:val="Heading2"/>
        <w:rPr>
          <w:lang w:val="en-GB"/>
        </w:rPr>
      </w:pPr>
      <w:bookmarkStart w:id="119" w:name="_Toc106635175"/>
      <w:r w:rsidRPr="00534B6F">
        <w:rPr>
          <w:lang w:val="en-GB"/>
        </w:rPr>
        <w:t>Introduction</w:t>
      </w:r>
      <w:bookmarkEnd w:id="119"/>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0" w:name="_Toc106635176"/>
      <w:r w:rsidRPr="00534B6F">
        <w:rPr>
          <w:lang w:val="en-GB"/>
        </w:rPr>
        <w:t>Pillars of the programme</w:t>
      </w:r>
      <w:bookmarkEnd w:id="120"/>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1" w:name="_Toc106635177"/>
      <w:r w:rsidRPr="008D0EA5">
        <w:t xml:space="preserve">Requirements of the </w:t>
      </w:r>
      <w:r w:rsidR="002E1E41">
        <w:t>Department of Trade, Industry and Competition</w:t>
      </w:r>
      <w:bookmarkEnd w:id="121"/>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2" w:name="_Toc106635178"/>
      <w:r w:rsidRPr="002D68FB">
        <w:t>B</w:t>
      </w:r>
      <w:r>
        <w:t>id</w:t>
      </w:r>
      <w:r w:rsidRPr="002D68FB">
        <w:t xml:space="preserve"> submission and contract reporting requirements of bidders and successful bidders (contractors)</w:t>
      </w:r>
      <w:bookmarkEnd w:id="122"/>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4" w:name="_Toc106635179"/>
      <w:bookmarkEnd w:id="123"/>
      <w:r w:rsidRPr="0056332A">
        <w:t xml:space="preserve">Process to satisfy the </w:t>
      </w:r>
      <w:r>
        <w:t>NIPP</w:t>
      </w:r>
      <w:r w:rsidRPr="0056332A">
        <w:t xml:space="preserve"> obligation</w:t>
      </w:r>
      <w:bookmarkEnd w:id="124"/>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728D2" w:rsidRDefault="0036296B" w:rsidP="0036296B">
      <w:pPr>
        <w:pStyle w:val="Heading1"/>
        <w:rPr>
          <w:b w:val="0"/>
          <w:iCs w:val="0"/>
        </w:rPr>
      </w:pPr>
      <w:bookmarkStart w:id="125" w:name="_Toc106635180"/>
      <w:r w:rsidRPr="00D728D2">
        <w:lastRenderedPageBreak/>
        <w:t>Local Content Requirements (SBD 6.2)</w:t>
      </w:r>
      <w:bookmarkEnd w:id="125"/>
      <w:r w:rsidR="004A3540" w:rsidRPr="00D728D2">
        <w:t xml:space="preserve"> (If Applicable)</w:t>
      </w:r>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Default="00D728D2" w:rsidP="0036296B"/>
    <w:p w:rsidR="0036296B" w:rsidRDefault="0036296B" w:rsidP="0036296B">
      <w:pPr>
        <w:pStyle w:val="Heading2"/>
      </w:pPr>
      <w:bookmarkStart w:id="126" w:name="_Toc106635181"/>
      <w:r>
        <w:t>General Conditions</w:t>
      </w:r>
      <w:bookmarkEnd w:id="126"/>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7" w:name="_Toc107394447"/>
      <w:r>
        <w:t xml:space="preserve">Table </w:t>
      </w:r>
      <w:r>
        <w:fldChar w:fldCharType="begin"/>
      </w:r>
      <w:r>
        <w:instrText xml:space="preserve"> SEQ Table \* ARABIC </w:instrText>
      </w:r>
      <w:r>
        <w:fldChar w:fldCharType="separate"/>
      </w:r>
      <w:r w:rsidR="00744D8F">
        <w:rPr>
          <w:noProof/>
        </w:rPr>
        <w:t>13</w:t>
      </w:r>
      <w:r>
        <w:fldChar w:fldCharType="end"/>
      </w:r>
      <w:r>
        <w:t>: Minimum thresholds</w:t>
      </w:r>
      <w:bookmarkEnd w:id="12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2"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9" w:name="_Toc107394448"/>
      <w:r>
        <w:t xml:space="preserve">Table </w:t>
      </w:r>
      <w:r>
        <w:fldChar w:fldCharType="begin"/>
      </w:r>
      <w:r>
        <w:instrText xml:space="preserve"> SEQ Table \* ARABIC </w:instrText>
      </w:r>
      <w:r>
        <w:fldChar w:fldCharType="separate"/>
      </w:r>
      <w:r w:rsidR="00744D8F">
        <w:rPr>
          <w:noProof/>
        </w:rPr>
        <w:t>14</w:t>
      </w:r>
      <w:r>
        <w:fldChar w:fldCharType="end"/>
      </w:r>
      <w:r>
        <w:t>: Rates of Exchange</w:t>
      </w:r>
      <w:bookmarkEnd w:id="12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30" w:name="_Toc107394449"/>
      <w:r>
        <w:t xml:space="preserve">Table </w:t>
      </w:r>
      <w:r>
        <w:fldChar w:fldCharType="begin"/>
      </w:r>
      <w:r>
        <w:instrText xml:space="preserve"> SEQ Table \* ARABIC </w:instrText>
      </w:r>
      <w:r>
        <w:fldChar w:fldCharType="separate"/>
      </w:r>
      <w:r w:rsidR="00744D8F">
        <w:rPr>
          <w:noProof/>
        </w:rPr>
        <w:t>15</w:t>
      </w:r>
      <w:r>
        <w:fldChar w:fldCharType="end"/>
      </w:r>
      <w:r>
        <w:t>: Auditor details</w:t>
      </w:r>
      <w:bookmarkEnd w:id="13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821696">
        <w:tc>
          <w:tcPr>
            <w:tcW w:w="2333" w:type="dxa"/>
            <w:shd w:val="clear" w:color="auto" w:fill="DBE5F1" w:themeFill="accent1" w:themeFillTint="33"/>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Practice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Landline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Mobile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4A3540">
      <w:pPr>
        <w:spacing w:after="0"/>
      </w:pPr>
    </w:p>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lastRenderedPageBreak/>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31" w:name="_Toc106635182"/>
      <w:r w:rsidRPr="00E547B2">
        <w:t>Local Content Declaration</w:t>
      </w:r>
      <w:bookmarkEnd w:id="13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32" w:name="_Toc107394450"/>
      <w:r>
        <w:t xml:space="preserve">Table </w:t>
      </w:r>
      <w:r>
        <w:fldChar w:fldCharType="begin"/>
      </w:r>
      <w:r>
        <w:instrText xml:space="preserve"> SEQ Table \* ARABIC </w:instrText>
      </w:r>
      <w:r>
        <w:fldChar w:fldCharType="separate"/>
      </w:r>
      <w:r w:rsidR="00744D8F">
        <w:rPr>
          <w:noProof/>
        </w:rPr>
        <w:t>16</w:t>
      </w:r>
      <w:r>
        <w:fldChar w:fldCharType="end"/>
      </w:r>
      <w:r>
        <w:t>: Confirmation Local Content</w:t>
      </w:r>
      <w:bookmarkEnd w:id="13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3" w:name="_Toc488498846"/>
      <w:bookmarkStart w:id="134" w:name="_Toc106635183"/>
      <w:bookmarkEnd w:id="4"/>
      <w:bookmarkEnd w:id="5"/>
      <w:bookmarkEnd w:id="6"/>
      <w:bookmarkEnd w:id="7"/>
      <w:bookmarkEnd w:id="8"/>
      <w:r w:rsidRPr="00B7255B">
        <w:lastRenderedPageBreak/>
        <w:t>Abbreviations, Terms and Definitions</w:t>
      </w:r>
      <w:bookmarkEnd w:id="133"/>
      <w:bookmarkEnd w:id="134"/>
    </w:p>
    <w:p w:rsidR="001313AD" w:rsidRDefault="001313AD" w:rsidP="00710F8D">
      <w:pPr>
        <w:pStyle w:val="AnnexH2"/>
      </w:pPr>
      <w:bookmarkStart w:id="135" w:name="_Toc498843319"/>
      <w:bookmarkStart w:id="136" w:name="_Toc505652266"/>
      <w:bookmarkStart w:id="137" w:name="_Toc394778368"/>
      <w:bookmarkStart w:id="138" w:name="_Toc488498847"/>
      <w:bookmarkStart w:id="139" w:name="_Toc106635184"/>
      <w:bookmarkEnd w:id="9"/>
      <w:bookmarkEnd w:id="10"/>
      <w:r w:rsidRPr="00B80FF6">
        <w:t>Abbreviations</w:t>
      </w:r>
      <w:bookmarkEnd w:id="135"/>
      <w:bookmarkEnd w:id="136"/>
      <w:bookmarkEnd w:id="137"/>
      <w:bookmarkEnd w:id="138"/>
      <w:r w:rsidR="00D41F1F">
        <w:t xml:space="preserve"> and Acronyms</w:t>
      </w:r>
      <w:bookmarkEnd w:id="13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40" w:name="_Toc488498848"/>
      <w:bookmarkStart w:id="141" w:name="_Toc106635185"/>
      <w:r>
        <w:t>Terms and Definitions</w:t>
      </w:r>
      <w:bookmarkEnd w:id="140"/>
      <w:bookmarkEnd w:id="14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3F8" w:rsidRDefault="004843F8" w:rsidP="000C56A7">
      <w:pPr>
        <w:spacing w:after="0" w:line="240" w:lineRule="auto"/>
      </w:pPr>
      <w:r>
        <w:separator/>
      </w:r>
    </w:p>
  </w:endnote>
  <w:endnote w:type="continuationSeparator" w:id="0">
    <w:p w:rsidR="004843F8" w:rsidRDefault="004843F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Default="00C31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Default="00C3108B"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C3108B" w:rsidRPr="00CB4B80" w:rsidRDefault="00C3108B">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Default="00C31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3F8" w:rsidRDefault="004843F8" w:rsidP="000C56A7">
      <w:pPr>
        <w:spacing w:after="0" w:line="240" w:lineRule="auto"/>
      </w:pPr>
      <w:r>
        <w:separator/>
      </w:r>
    </w:p>
  </w:footnote>
  <w:footnote w:type="continuationSeparator" w:id="0">
    <w:p w:rsidR="004843F8" w:rsidRDefault="004843F8" w:rsidP="000C56A7">
      <w:pPr>
        <w:spacing w:after="0" w:line="240" w:lineRule="auto"/>
      </w:pPr>
      <w:r>
        <w:continuationSeparator/>
      </w:r>
    </w:p>
  </w:footnote>
  <w:footnote w:id="1">
    <w:p w:rsidR="00C3108B" w:rsidRPr="00A21FCD" w:rsidRDefault="00C310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C3108B" w:rsidRDefault="00C3108B" w:rsidP="009F515B">
      <w:pPr>
        <w:pStyle w:val="FootnoteText"/>
      </w:pPr>
    </w:p>
    <w:p w:rsidR="00C3108B" w:rsidRDefault="00C310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Default="00C31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Pr="00F37BD6" w:rsidRDefault="00C3108B">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08B" w:rsidRDefault="00C31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1"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5"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6"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5"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2"/>
  </w:num>
  <w:num w:numId="6">
    <w:abstractNumId w:val="7"/>
  </w:num>
  <w:num w:numId="7">
    <w:abstractNumId w:val="38"/>
  </w:num>
  <w:num w:numId="8">
    <w:abstractNumId w:val="53"/>
  </w:num>
  <w:num w:numId="9">
    <w:abstractNumId w:val="21"/>
  </w:num>
  <w:num w:numId="10">
    <w:abstractNumId w:val="50"/>
  </w:num>
  <w:num w:numId="11">
    <w:abstractNumId w:val="104"/>
  </w:num>
  <w:num w:numId="12">
    <w:abstractNumId w:val="80"/>
  </w:num>
  <w:num w:numId="13">
    <w:abstractNumId w:val="77"/>
  </w:num>
  <w:num w:numId="14">
    <w:abstractNumId w:val="49"/>
  </w:num>
  <w:num w:numId="15">
    <w:abstractNumId w:val="68"/>
  </w:num>
  <w:num w:numId="16">
    <w:abstractNumId w:val="75"/>
  </w:num>
  <w:num w:numId="17">
    <w:abstractNumId w:val="19"/>
  </w:num>
  <w:num w:numId="18">
    <w:abstractNumId w:val="34"/>
  </w:num>
  <w:num w:numId="19">
    <w:abstractNumId w:val="65"/>
  </w:num>
  <w:num w:numId="20">
    <w:abstractNumId w:val="42"/>
  </w:num>
  <w:num w:numId="21">
    <w:abstractNumId w:val="33"/>
  </w:num>
  <w:num w:numId="22">
    <w:abstractNumId w:val="99"/>
  </w:num>
  <w:num w:numId="23">
    <w:abstractNumId w:val="92"/>
  </w:num>
  <w:num w:numId="24">
    <w:abstractNumId w:val="85"/>
  </w:num>
  <w:num w:numId="25">
    <w:abstractNumId w:val="67"/>
  </w:num>
  <w:num w:numId="26">
    <w:abstractNumId w:val="60"/>
  </w:num>
  <w:num w:numId="27">
    <w:abstractNumId w:val="14"/>
  </w:num>
  <w:num w:numId="28">
    <w:abstractNumId w:val="98"/>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09"/>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5"/>
  </w:num>
  <w:num w:numId="44">
    <w:abstractNumId w:val="107"/>
  </w:num>
  <w:num w:numId="45">
    <w:abstractNumId w:val="5"/>
  </w:num>
  <w:num w:numId="46">
    <w:abstractNumId w:val="10"/>
  </w:num>
  <w:num w:numId="47">
    <w:abstractNumId w:val="20"/>
  </w:num>
  <w:num w:numId="48">
    <w:abstractNumId w:val="30"/>
  </w:num>
  <w:num w:numId="49">
    <w:abstractNumId w:val="79"/>
  </w:num>
  <w:num w:numId="50">
    <w:abstractNumId w:val="6"/>
  </w:num>
  <w:num w:numId="51">
    <w:abstractNumId w:val="15"/>
  </w:num>
  <w:num w:numId="52">
    <w:abstractNumId w:val="8"/>
  </w:num>
  <w:num w:numId="53">
    <w:abstractNumId w:val="76"/>
  </w:num>
  <w:num w:numId="54">
    <w:abstractNumId w:val="97"/>
  </w:num>
  <w:num w:numId="55">
    <w:abstractNumId w:val="3"/>
  </w:num>
  <w:num w:numId="56">
    <w:abstractNumId w:val="87"/>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0"/>
  </w:num>
  <w:num w:numId="65">
    <w:abstractNumId w:val="78"/>
  </w:num>
  <w:num w:numId="66">
    <w:abstractNumId w:val="71"/>
  </w:num>
  <w:num w:numId="67">
    <w:abstractNumId w:val="86"/>
  </w:num>
  <w:num w:numId="68">
    <w:abstractNumId w:val="81"/>
  </w:num>
  <w:num w:numId="69">
    <w:abstractNumId w:val="64"/>
  </w:num>
  <w:num w:numId="70">
    <w:abstractNumId w:val="54"/>
  </w:num>
  <w:num w:numId="71">
    <w:abstractNumId w:val="61"/>
  </w:num>
  <w:num w:numId="72">
    <w:abstractNumId w:val="84"/>
  </w:num>
  <w:num w:numId="73">
    <w:abstractNumId w:val="102"/>
  </w:num>
  <w:num w:numId="74">
    <w:abstractNumId w:val="46"/>
  </w:num>
  <w:num w:numId="75">
    <w:abstractNumId w:val="91"/>
  </w:num>
  <w:num w:numId="76">
    <w:abstractNumId w:val="88"/>
  </w:num>
  <w:num w:numId="77">
    <w:abstractNumId w:val="18"/>
  </w:num>
  <w:num w:numId="78">
    <w:abstractNumId w:val="70"/>
  </w:num>
  <w:num w:numId="79">
    <w:abstractNumId w:val="59"/>
  </w:num>
  <w:num w:numId="80">
    <w:abstractNumId w:val="110"/>
  </w:num>
  <w:num w:numId="81">
    <w:abstractNumId w:val="44"/>
  </w:num>
  <w:num w:numId="82">
    <w:abstractNumId w:val="27"/>
  </w:num>
  <w:num w:numId="83">
    <w:abstractNumId w:val="57"/>
  </w:num>
  <w:num w:numId="84">
    <w:abstractNumId w:val="1"/>
  </w:num>
  <w:num w:numId="85">
    <w:abstractNumId w:val="93"/>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3"/>
  </w:num>
  <w:num w:numId="93">
    <w:abstractNumId w:val="96"/>
  </w:num>
  <w:num w:numId="94">
    <w:abstractNumId w:val="101"/>
  </w:num>
  <w:num w:numId="95">
    <w:abstractNumId w:val="62"/>
  </w:num>
  <w:num w:numId="96">
    <w:abstractNumId w:val="108"/>
  </w:num>
  <w:num w:numId="97">
    <w:abstractNumId w:val="103"/>
  </w:num>
  <w:num w:numId="98">
    <w:abstractNumId w:val="13"/>
  </w:num>
  <w:num w:numId="99">
    <w:abstractNumId w:val="23"/>
  </w:num>
  <w:num w:numId="100">
    <w:abstractNumId w:val="9"/>
  </w:num>
  <w:num w:numId="101">
    <w:abstractNumId w:val="89"/>
  </w:num>
  <w:num w:numId="102">
    <w:abstractNumId w:val="82"/>
  </w:num>
  <w:num w:numId="103">
    <w:abstractNumId w:val="111"/>
  </w:num>
  <w:num w:numId="104">
    <w:abstractNumId w:val="55"/>
  </w:num>
  <w:num w:numId="105">
    <w:abstractNumId w:val="37"/>
  </w:num>
  <w:num w:numId="106">
    <w:abstractNumId w:val="35"/>
  </w:num>
  <w:num w:numId="107">
    <w:abstractNumId w:val="66"/>
  </w:num>
  <w:num w:numId="108">
    <w:abstractNumId w:val="90"/>
  </w:num>
  <w:num w:numId="109">
    <w:abstractNumId w:val="94"/>
  </w:num>
  <w:num w:numId="110">
    <w:abstractNumId w:val="95"/>
  </w:num>
  <w:num w:numId="111">
    <w:abstractNumId w:val="24"/>
  </w:num>
  <w:num w:numId="112">
    <w:abstractNumId w:val="10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5B8A"/>
    <w:rsid w:val="00025CF4"/>
    <w:rsid w:val="0002713C"/>
    <w:rsid w:val="0003762D"/>
    <w:rsid w:val="00051E74"/>
    <w:rsid w:val="00072D17"/>
    <w:rsid w:val="000875DD"/>
    <w:rsid w:val="00087CD2"/>
    <w:rsid w:val="000A01AD"/>
    <w:rsid w:val="000A4D76"/>
    <w:rsid w:val="000B3D25"/>
    <w:rsid w:val="000C56A7"/>
    <w:rsid w:val="000C68A6"/>
    <w:rsid w:val="000D0338"/>
    <w:rsid w:val="000D133B"/>
    <w:rsid w:val="000E028C"/>
    <w:rsid w:val="000E6F8E"/>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03C6D"/>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1EA9"/>
    <w:rsid w:val="003238E8"/>
    <w:rsid w:val="00347F1F"/>
    <w:rsid w:val="003531F7"/>
    <w:rsid w:val="00355E9B"/>
    <w:rsid w:val="0036296B"/>
    <w:rsid w:val="0036570B"/>
    <w:rsid w:val="003672E8"/>
    <w:rsid w:val="00381611"/>
    <w:rsid w:val="003C2D74"/>
    <w:rsid w:val="003C76EA"/>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0636"/>
    <w:rsid w:val="004814E8"/>
    <w:rsid w:val="004843F8"/>
    <w:rsid w:val="00486053"/>
    <w:rsid w:val="004A354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F011E"/>
    <w:rsid w:val="006F6614"/>
    <w:rsid w:val="00710F8D"/>
    <w:rsid w:val="00716354"/>
    <w:rsid w:val="0072505B"/>
    <w:rsid w:val="00733FB4"/>
    <w:rsid w:val="00742328"/>
    <w:rsid w:val="00744D8F"/>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06366"/>
    <w:rsid w:val="00820499"/>
    <w:rsid w:val="00820B03"/>
    <w:rsid w:val="00820BBC"/>
    <w:rsid w:val="00821696"/>
    <w:rsid w:val="0083551A"/>
    <w:rsid w:val="00837D22"/>
    <w:rsid w:val="00840E16"/>
    <w:rsid w:val="00842404"/>
    <w:rsid w:val="00886179"/>
    <w:rsid w:val="00886A16"/>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60F83"/>
    <w:rsid w:val="00961F82"/>
    <w:rsid w:val="009A6CDE"/>
    <w:rsid w:val="009B34EB"/>
    <w:rsid w:val="009B7620"/>
    <w:rsid w:val="009C21F4"/>
    <w:rsid w:val="009C6F28"/>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200C2"/>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4C4F"/>
    <w:rsid w:val="00C15393"/>
    <w:rsid w:val="00C2646C"/>
    <w:rsid w:val="00C3108B"/>
    <w:rsid w:val="00C32641"/>
    <w:rsid w:val="00C43725"/>
    <w:rsid w:val="00C62945"/>
    <w:rsid w:val="00C66667"/>
    <w:rsid w:val="00C7701B"/>
    <w:rsid w:val="00C82094"/>
    <w:rsid w:val="00C838A7"/>
    <w:rsid w:val="00CA0B40"/>
    <w:rsid w:val="00CA2193"/>
    <w:rsid w:val="00CA6749"/>
    <w:rsid w:val="00CB4B80"/>
    <w:rsid w:val="00CE321E"/>
    <w:rsid w:val="00CE60AF"/>
    <w:rsid w:val="00D277BF"/>
    <w:rsid w:val="00D35D88"/>
    <w:rsid w:val="00D41F1F"/>
    <w:rsid w:val="00D42328"/>
    <w:rsid w:val="00D44BDF"/>
    <w:rsid w:val="00D61DC6"/>
    <w:rsid w:val="00D64DC3"/>
    <w:rsid w:val="00D728D2"/>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1B49"/>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345B"/>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40455"/>
  <w15:chartTrackingRefBased/>
  <w15:docId w15:val="{E2A736FE-3507-4ED1-A219-2D211DD3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kwanda.wasa@sita.co.za"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kwanda.wasa@sita.co.za" TargetMode="External"/><Relationship Id="rId22" Type="http://schemas.openxmlformats.org/officeDocument/2006/relationships/hyperlink" Target="http://www.reservebank.co.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7F4FFD"/>
    <w:rsid w:val="00F35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64BF0535-2436-44F3-81DA-C0A52896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269</TotalTime>
  <Pages>1</Pages>
  <Words>14410</Words>
  <Characters>82137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Nokwanda Wasa</cp:lastModifiedBy>
  <cp:revision>5</cp:revision>
  <cp:lastPrinted>2017-11-22T15:08:00Z</cp:lastPrinted>
  <dcterms:created xsi:type="dcterms:W3CDTF">2022-07-14T07:30:00Z</dcterms:created>
  <dcterms:modified xsi:type="dcterms:W3CDTF">2022-07-15T06:47:00Z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