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proofErr w:type="spellStart"/>
            <w:r w:rsidRPr="00C9667B">
              <w:rPr>
                <w:rFonts w:cs="Arial"/>
                <w:sz w:val="22"/>
              </w:rPr>
              <w:lastRenderedPageBreak/>
              <w:t>Eg</w:t>
            </w:r>
            <w:proofErr w:type="spellEnd"/>
            <w:r w:rsidRPr="00C9667B">
              <w:rPr>
                <w:rFonts w:cs="Arial"/>
                <w:sz w:val="22"/>
              </w:rPr>
              <w:t xml:space="preserve">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proofErr w:type="gramStart"/>
            <w:r w:rsidRPr="00C9667B">
              <w:rPr>
                <w:rFonts w:cs="Arial"/>
                <w:sz w:val="22"/>
                <w:szCs w:val="22"/>
              </w:rPr>
              <w:t>In the event that</w:t>
            </w:r>
            <w:bookmarkEnd w:id="22"/>
            <w:proofErr w:type="gramEnd"/>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 xml:space="preserve">ESKOM requires assurance from the Supplier that ESKOM can rely on the services. Supplier will be required to provide ESKOM with (i)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436"/>
      <w:gridCol w:w="851"/>
      <w:gridCol w:w="850"/>
    </w:tblGrid>
    <w:tr w:rsidR="00DE0B21" w:rsidRPr="00116E60" w14:paraId="0DDD0497" w14:textId="77777777" w:rsidTr="43484CAA">
      <w:trPr>
        <w:cantSplit/>
        <w:trHeight w:val="379"/>
      </w:trPr>
      <w:tc>
        <w:tcPr>
          <w:tcW w:w="3261" w:type="dxa"/>
          <w:vMerge w:val="restart"/>
          <w:vAlign w:val="bottom"/>
        </w:tcPr>
        <w:p w14:paraId="2A83D638" w14:textId="77777777" w:rsidR="00DE0B21" w:rsidRPr="003914DE" w:rsidRDefault="005A7D6C"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18840091"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436" w:type="dxa"/>
          <w:shd w:val="clear" w:color="auto" w:fill="auto"/>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shd w:val="clear" w:color="auto" w:fill="auto"/>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shd w:val="clear" w:color="auto" w:fill="auto"/>
          <w:vAlign w:val="center"/>
        </w:tcPr>
        <w:p w14:paraId="568CE9D7" w14:textId="77777777" w:rsidR="00DE0B21" w:rsidRPr="003914DE" w:rsidRDefault="00DE0B21" w:rsidP="00DE0B21">
          <w:pPr>
            <w:rPr>
              <w:b/>
            </w:rPr>
          </w:pPr>
          <w:r w:rsidRPr="003914DE">
            <w:rPr>
              <w:b/>
            </w:rPr>
            <w:t>Review Date</w:t>
          </w:r>
        </w:p>
      </w:tc>
      <w:tc>
        <w:tcPr>
          <w:tcW w:w="3137" w:type="dxa"/>
          <w:gridSpan w:val="3"/>
          <w:shd w:val="clear" w:color="auto" w:fill="auto"/>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2.xml><?xml version="1.0" encoding="utf-8"?>
<ds:datastoreItem xmlns:ds="http://schemas.openxmlformats.org/officeDocument/2006/customXml" ds:itemID="{DB96D471-97AE-4B69-BDA4-F16626CFE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4.xml><?xml version="1.0" encoding="utf-8"?>
<ds:datastoreItem xmlns:ds="http://schemas.openxmlformats.org/officeDocument/2006/customXml" ds:itemID="{9F5DCF8E-EDEF-4493-A71D-4213B8FB4D4A}">
  <ds:schemaRefs>
    <ds:schemaRef ds:uri="http://purl.org/dc/terms/"/>
    <ds:schemaRef ds:uri="http://purl.org/dc/elements/1.1/"/>
    <ds:schemaRef ds:uri="http://www.w3.org/XML/1998/namespace"/>
    <ds:schemaRef ds:uri="4efed9b1-1c9e-4d15-bbe0-b7b819c88069"/>
    <ds:schemaRef ds:uri="http://schemas.microsoft.com/office/infopath/2007/PartnerControls"/>
    <ds:schemaRef ds:uri="http://schemas.openxmlformats.org/package/2006/metadata/core-properties"/>
    <ds:schemaRef ds:uri="485827c2-f495-4d19-952f-5e9b6f9e0b50"/>
    <ds:schemaRef ds:uri="http://schemas.microsoft.com/office/2006/documentManagement/types"/>
    <ds:schemaRef ds:uri="http://purl.org/dc/dcmitype/"/>
    <ds:schemaRef ds:uri="http://schemas.microsoft.com/office/2006/metadata/propertie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Petru Swanepoel</cp:lastModifiedBy>
  <cp:revision>2</cp:revision>
  <cp:lastPrinted>2017-07-13T06:37:00Z</cp:lastPrinted>
  <dcterms:created xsi:type="dcterms:W3CDTF">2025-09-08T10:35:00Z</dcterms:created>
  <dcterms:modified xsi:type="dcterms:W3CDTF">2025-09-08T10:35:00Z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