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B7B9" w14:textId="77777777" w:rsidR="003808A4" w:rsidRDefault="00FC269F" w:rsidP="003808A4">
      <w:pPr>
        <w:spacing w:after="200" w:line="276" w:lineRule="auto"/>
        <w:rPr>
          <w:rFonts w:ascii="Arial" w:eastAsia="Arial" w:hAnsi="Arial" w:cs="Arial"/>
          <w:b/>
          <w:sz w:val="24"/>
        </w:rPr>
      </w:pPr>
      <w:r>
        <w:rPr>
          <w:rFonts w:ascii="Arial" w:eastAsia="Arial" w:hAnsi="Arial" w:cs="Arial"/>
          <w:b/>
          <w:noProof/>
          <w:sz w:val="24"/>
        </w:rPr>
        <w:object w:dxaOrig="1440" w:dyaOrig="1440" w14:anchorId="4A33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3.7pt;margin-top:-25.3pt;width:123.9pt;height:91.9pt;z-index:251659264" wrapcoords="-92 0 -92 21459 21600 21459 21600 0 -92 0" fillcolor="window">
            <v:imagedata r:id="rId5" o:title=""/>
            <w10:wrap type="tight"/>
          </v:shape>
          <o:OLEObject Type="Embed" ProgID="PBrush" ShapeID="_x0000_s1026" DrawAspect="Content" ObjectID="_1773825578" r:id="rId6"/>
        </w:object>
      </w:r>
    </w:p>
    <w:p w14:paraId="5F3B0F9E" w14:textId="77777777" w:rsidR="003808A4" w:rsidRDefault="003808A4" w:rsidP="003808A4">
      <w:pPr>
        <w:spacing w:after="200" w:line="276" w:lineRule="auto"/>
        <w:jc w:val="center"/>
        <w:rPr>
          <w:rFonts w:ascii="Arial" w:eastAsia="Arial" w:hAnsi="Arial" w:cs="Arial"/>
          <w:b/>
          <w:sz w:val="28"/>
          <w:u w:val="single"/>
        </w:rPr>
      </w:pPr>
    </w:p>
    <w:p w14:paraId="77D31150" w14:textId="77777777" w:rsidR="003808A4" w:rsidRDefault="003808A4" w:rsidP="003808A4">
      <w:pPr>
        <w:spacing w:after="200" w:line="276" w:lineRule="auto"/>
        <w:rPr>
          <w:rFonts w:ascii="Arial Narrow" w:eastAsia="Arial Narrow" w:hAnsi="Arial Narrow" w:cs="Arial Narrow"/>
          <w:b/>
          <w:sz w:val="28"/>
          <w:u w:val="single"/>
        </w:rPr>
      </w:pPr>
    </w:p>
    <w:p w14:paraId="774C1FFF" w14:textId="77777777" w:rsidR="003808A4" w:rsidRDefault="003808A4" w:rsidP="003808A4">
      <w:pPr>
        <w:spacing w:after="200" w:line="276" w:lineRule="auto"/>
        <w:rPr>
          <w:rFonts w:ascii="Arial Narrow" w:eastAsia="Arial Narrow" w:hAnsi="Arial Narrow" w:cs="Arial Narrow"/>
          <w:b/>
          <w:sz w:val="28"/>
          <w:u w:val="single"/>
        </w:rPr>
      </w:pPr>
    </w:p>
    <w:p w14:paraId="3E74763E" w14:textId="77777777" w:rsidR="003808A4" w:rsidRDefault="003808A4" w:rsidP="003808A4">
      <w:pPr>
        <w:spacing w:after="0" w:line="240" w:lineRule="auto"/>
        <w:jc w:val="center"/>
        <w:rPr>
          <w:rFonts w:ascii="Arial" w:eastAsia="Arial" w:hAnsi="Arial" w:cs="Arial"/>
          <w:b/>
          <w:sz w:val="24"/>
          <w:u w:val="single"/>
        </w:rPr>
      </w:pPr>
      <w:r>
        <w:rPr>
          <w:rFonts w:ascii="Arial" w:eastAsia="Arial" w:hAnsi="Arial" w:cs="Arial"/>
          <w:b/>
          <w:sz w:val="24"/>
          <w:u w:val="single"/>
        </w:rPr>
        <w:t xml:space="preserve">TENDER NO. </w:t>
      </w:r>
      <w:r w:rsidRPr="00552757">
        <w:rPr>
          <w:rFonts w:ascii="Arial" w:eastAsia="Arial" w:hAnsi="Arial" w:cs="Arial"/>
          <w:b/>
          <w:sz w:val="24"/>
          <w:u w:val="single"/>
        </w:rPr>
        <w:t xml:space="preserve">MN </w:t>
      </w:r>
      <w:r>
        <w:rPr>
          <w:rFonts w:ascii="Arial" w:eastAsia="Arial" w:hAnsi="Arial" w:cs="Arial"/>
          <w:b/>
          <w:sz w:val="24"/>
          <w:u w:val="single"/>
        </w:rPr>
        <w:t>35/2024</w:t>
      </w:r>
    </w:p>
    <w:p w14:paraId="14E90510" w14:textId="77777777" w:rsidR="003808A4" w:rsidRDefault="003808A4" w:rsidP="003808A4">
      <w:pPr>
        <w:spacing w:after="0" w:line="276" w:lineRule="auto"/>
        <w:jc w:val="center"/>
        <w:rPr>
          <w:rFonts w:ascii="Arial" w:eastAsia="Arial" w:hAnsi="Arial" w:cs="Arial"/>
          <w:b/>
        </w:rPr>
      </w:pPr>
    </w:p>
    <w:p w14:paraId="4A73F6CD" w14:textId="77777777" w:rsidR="003808A4" w:rsidRDefault="003808A4" w:rsidP="003808A4">
      <w:pPr>
        <w:spacing w:after="0" w:line="276" w:lineRule="auto"/>
        <w:jc w:val="center"/>
        <w:rPr>
          <w:rFonts w:ascii="Arial" w:eastAsia="Arial" w:hAnsi="Arial" w:cs="Arial"/>
          <w:b/>
        </w:rPr>
      </w:pPr>
      <w:r>
        <w:rPr>
          <w:rFonts w:ascii="Arial" w:eastAsia="Arial" w:hAnsi="Arial" w:cs="Arial"/>
          <w:b/>
        </w:rPr>
        <w:t>TENDER FOR THE PROVISION OF BANKING SERVICES</w:t>
      </w:r>
    </w:p>
    <w:p w14:paraId="5DCFF4F5" w14:textId="77777777" w:rsidR="003808A4" w:rsidRDefault="003808A4" w:rsidP="003808A4">
      <w:pPr>
        <w:spacing w:after="200" w:line="276" w:lineRule="auto"/>
        <w:jc w:val="center"/>
        <w:rPr>
          <w:rFonts w:ascii="Arial" w:eastAsia="Arial" w:hAnsi="Arial" w:cs="Arial"/>
          <w:b/>
        </w:rPr>
      </w:pPr>
      <w:r>
        <w:rPr>
          <w:rFonts w:ascii="Arial" w:eastAsia="Arial" w:hAnsi="Arial" w:cs="Arial"/>
          <w:b/>
        </w:rPr>
        <w:t xml:space="preserve">FOR A PERIOD OF 60 MONTHS </w:t>
      </w:r>
      <w:bookmarkStart w:id="0" w:name="_Hlk163124241"/>
      <w:bookmarkStart w:id="1" w:name="_Hlk163122511"/>
      <w:r>
        <w:rPr>
          <w:rFonts w:ascii="Arial" w:eastAsia="Arial" w:hAnsi="Arial" w:cs="Arial"/>
          <w:b/>
        </w:rPr>
        <w:t>(1 JANUARY 2025 – 31 DECEMBER 2029)</w:t>
      </w:r>
      <w:bookmarkEnd w:id="0"/>
    </w:p>
    <w:bookmarkEnd w:id="1"/>
    <w:p w14:paraId="0DF536B8" w14:textId="77777777" w:rsidR="003808A4" w:rsidRPr="003911E8" w:rsidRDefault="003808A4" w:rsidP="003808A4">
      <w:pPr>
        <w:spacing w:after="200" w:line="276" w:lineRule="auto"/>
        <w:jc w:val="both"/>
        <w:rPr>
          <w:rFonts w:ascii="Arial" w:eastAsia="Arial" w:hAnsi="Arial" w:cs="Arial"/>
        </w:rPr>
      </w:pPr>
      <w:r w:rsidRPr="003911E8">
        <w:rPr>
          <w:rFonts w:ascii="Arial" w:eastAsia="Arial" w:hAnsi="Arial" w:cs="Arial"/>
        </w:rPr>
        <w:t xml:space="preserve">In terms of Chapter 11 of the Municipal Finance Management Act 25 no 56 of 2003, tenders are hereby invited from registered financial institutions/commercial banks, registered in terms of the Banks Act, Act No 94 of 1990 to provide banking services to the Municipality of KwaDukuza. </w:t>
      </w:r>
    </w:p>
    <w:p w14:paraId="1340F0E9" w14:textId="01AC6442" w:rsidR="003808A4" w:rsidRPr="00ED4829" w:rsidRDefault="003808A4" w:rsidP="003808A4">
      <w:pPr>
        <w:spacing w:after="200" w:line="276" w:lineRule="auto"/>
        <w:jc w:val="both"/>
        <w:rPr>
          <w:rFonts w:ascii="Arial" w:eastAsia="Arial" w:hAnsi="Arial" w:cs="Arial"/>
        </w:rPr>
      </w:pPr>
      <w:r w:rsidRPr="003911E8">
        <w:rPr>
          <w:rFonts w:ascii="Arial" w:eastAsia="Arial" w:hAnsi="Arial" w:cs="Arial"/>
        </w:rPr>
        <w:t xml:space="preserve">The physical address for </w:t>
      </w:r>
      <w:r w:rsidRPr="00ED4829">
        <w:rPr>
          <w:rFonts w:ascii="Arial" w:eastAsia="Arial" w:hAnsi="Arial" w:cs="Arial"/>
        </w:rPr>
        <w:t xml:space="preserve">collection of tender documents is: General Justice Mpanza Building, 104 Mahatma Gandhi Street, Ramesh </w:t>
      </w:r>
      <w:proofErr w:type="spellStart"/>
      <w:r w:rsidRPr="00ED4829">
        <w:rPr>
          <w:rFonts w:ascii="Arial" w:eastAsia="Arial" w:hAnsi="Arial" w:cs="Arial"/>
        </w:rPr>
        <w:t>Rampersadh</w:t>
      </w:r>
      <w:proofErr w:type="spellEnd"/>
      <w:r w:rsidRPr="00ED4829">
        <w:rPr>
          <w:rFonts w:ascii="Arial" w:eastAsia="Arial" w:hAnsi="Arial" w:cs="Arial"/>
        </w:rPr>
        <w:t xml:space="preserve"> (032 437 5536), email </w:t>
      </w:r>
      <w:hyperlink r:id="rId7">
        <w:r w:rsidRPr="00ED4829">
          <w:rPr>
            <w:rFonts w:ascii="Arial" w:eastAsia="Arial" w:hAnsi="Arial" w:cs="Arial"/>
            <w:color w:val="0000FF"/>
            <w:u w:val="single"/>
          </w:rPr>
          <w:t>rameshr@kwadukuza.gov.za</w:t>
        </w:r>
      </w:hyperlink>
      <w:r w:rsidRPr="00ED4829">
        <w:rPr>
          <w:rFonts w:ascii="Arial" w:eastAsia="Arial" w:hAnsi="Arial" w:cs="Arial"/>
        </w:rPr>
        <w:t xml:space="preserve">. KwaDukuza, upon presentation of a receipt proving prior payment of a non-refundable fee of R441.00 inclusive of VAT having been made at the Municipal Finance Directorate, General Justice Mpanza Building, 104 Mahatma Gandhi Street, KwaDukuza during the hours: Monday to Friday 08h00 to 15h30. (Cash or EFT). </w:t>
      </w:r>
      <w:r w:rsidR="00734182" w:rsidRPr="00FC269F">
        <w:rPr>
          <w:rFonts w:ascii="Times New Roman" w:hAnsi="Times New Roman" w:cs="Times New Roman"/>
          <w:b/>
          <w:lang w:val="en-US"/>
        </w:rPr>
        <w:t>Tender documents will be available from 0</w:t>
      </w:r>
      <w:r w:rsidR="00FD7F80" w:rsidRPr="00FC269F">
        <w:rPr>
          <w:rFonts w:ascii="Times New Roman" w:hAnsi="Times New Roman" w:cs="Times New Roman"/>
          <w:b/>
          <w:lang w:val="en-US"/>
        </w:rPr>
        <w:t>9</w:t>
      </w:r>
      <w:r w:rsidR="00734182" w:rsidRPr="00FC269F">
        <w:rPr>
          <w:rFonts w:ascii="Times New Roman" w:hAnsi="Times New Roman" w:cs="Times New Roman"/>
          <w:b/>
          <w:lang w:val="en-US"/>
        </w:rPr>
        <w:t xml:space="preserve">h00 on </w:t>
      </w:r>
      <w:r w:rsidR="00834BA1" w:rsidRPr="00FC269F">
        <w:rPr>
          <w:rFonts w:ascii="Times New Roman" w:hAnsi="Times New Roman" w:cs="Times New Roman"/>
          <w:b/>
          <w:u w:val="single"/>
          <w:lang w:val="en-US"/>
        </w:rPr>
        <w:t>08 April</w:t>
      </w:r>
      <w:r w:rsidR="00734182" w:rsidRPr="00FC269F">
        <w:rPr>
          <w:rFonts w:ascii="Times New Roman" w:hAnsi="Times New Roman" w:cs="Times New Roman"/>
          <w:b/>
          <w:u w:val="single"/>
          <w:lang w:val="en-US"/>
        </w:rPr>
        <w:t xml:space="preserve"> 2024 </w:t>
      </w:r>
      <w:r w:rsidR="00734182" w:rsidRPr="00FC269F">
        <w:rPr>
          <w:rFonts w:ascii="Times New Roman" w:hAnsi="Times New Roman" w:cs="Times New Roman"/>
          <w:b/>
          <w:lang w:val="en-US"/>
        </w:rPr>
        <w:t xml:space="preserve">until 15h00. The cut-off time for selling of tender document is 15h00 on the </w:t>
      </w:r>
      <w:r w:rsidR="00FD0CA3" w:rsidRPr="00FC269F">
        <w:rPr>
          <w:rFonts w:ascii="Times New Roman" w:hAnsi="Times New Roman" w:cs="Times New Roman"/>
          <w:b/>
          <w:u w:val="single"/>
          <w:lang w:val="en-US"/>
        </w:rPr>
        <w:t>13</w:t>
      </w:r>
      <w:r w:rsidR="00734182" w:rsidRPr="00FC269F">
        <w:rPr>
          <w:rFonts w:ascii="Times New Roman" w:hAnsi="Times New Roman" w:cs="Times New Roman"/>
          <w:b/>
          <w:u w:val="single"/>
          <w:lang w:val="en-US"/>
        </w:rPr>
        <w:t xml:space="preserve"> </w:t>
      </w:r>
      <w:r w:rsidR="00FD0CA3" w:rsidRPr="00FC269F">
        <w:rPr>
          <w:rFonts w:ascii="Times New Roman" w:hAnsi="Times New Roman" w:cs="Times New Roman"/>
          <w:b/>
          <w:u w:val="single"/>
          <w:lang w:val="en-US"/>
        </w:rPr>
        <w:t>June</w:t>
      </w:r>
      <w:r w:rsidR="00734182" w:rsidRPr="00FC269F">
        <w:rPr>
          <w:rFonts w:ascii="Times New Roman" w:hAnsi="Times New Roman" w:cs="Times New Roman"/>
          <w:b/>
          <w:u w:val="single"/>
          <w:lang w:val="en-US"/>
        </w:rPr>
        <w:t xml:space="preserve"> 2024</w:t>
      </w:r>
      <w:r w:rsidR="00834BA1" w:rsidRPr="00FC269F">
        <w:rPr>
          <w:rFonts w:ascii="Times New Roman" w:hAnsi="Times New Roman" w:cs="Times New Roman"/>
          <w:b/>
          <w:u w:val="single"/>
          <w:lang w:val="en-US"/>
        </w:rPr>
        <w:t xml:space="preserve">. </w:t>
      </w:r>
      <w:r w:rsidRPr="00884968">
        <w:rPr>
          <w:rFonts w:ascii="Arial" w:eastAsia="Arial" w:hAnsi="Arial" w:cs="Arial"/>
        </w:rPr>
        <w:t xml:space="preserve">Queries </w:t>
      </w:r>
      <w:r w:rsidRPr="00ED4829">
        <w:rPr>
          <w:rFonts w:ascii="Arial" w:eastAsia="Arial" w:hAnsi="Arial" w:cs="Arial"/>
        </w:rPr>
        <w:t xml:space="preserve">regarding this notice may be directed to </w:t>
      </w:r>
      <w:r w:rsidR="009A0919" w:rsidRPr="00ED4829">
        <w:rPr>
          <w:rFonts w:ascii="Arial" w:eastAsia="Arial" w:hAnsi="Arial" w:cs="Arial"/>
        </w:rPr>
        <w:t>Mthandeni Nene</w:t>
      </w:r>
      <w:r w:rsidRPr="00ED4829">
        <w:rPr>
          <w:rFonts w:ascii="Arial" w:eastAsia="Arial" w:hAnsi="Arial" w:cs="Arial"/>
        </w:rPr>
        <w:t xml:space="preserve">, e-mail: </w:t>
      </w:r>
      <w:hyperlink r:id="rId8" w:history="1">
        <w:r w:rsidRPr="00ED4829">
          <w:rPr>
            <w:rStyle w:val="Hyperlink"/>
            <w:rFonts w:ascii="Arial" w:eastAsia="Arial" w:hAnsi="Arial" w:cs="Arial"/>
          </w:rPr>
          <w:t>mthandenin@kwadukuza.gov.za</w:t>
        </w:r>
      </w:hyperlink>
      <w:r w:rsidRPr="00ED4829">
        <w:rPr>
          <w:rFonts w:ascii="Arial" w:eastAsia="Arial" w:hAnsi="Arial" w:cs="Arial"/>
        </w:rPr>
        <w:t xml:space="preserve"> contact number 032 437 5501.</w:t>
      </w:r>
    </w:p>
    <w:p w14:paraId="3D66D9BC" w14:textId="210D856B" w:rsidR="003808A4" w:rsidRPr="00ED4829" w:rsidRDefault="003808A4" w:rsidP="003808A4">
      <w:pPr>
        <w:spacing w:after="200" w:line="276" w:lineRule="auto"/>
        <w:jc w:val="both"/>
        <w:rPr>
          <w:rFonts w:ascii="Arial" w:eastAsia="Times New Roman" w:hAnsi="Arial" w:cs="Arial"/>
          <w:lang w:eastAsia="en-ZA"/>
        </w:rPr>
      </w:pPr>
      <w:r w:rsidRPr="00ED4829">
        <w:rPr>
          <w:rFonts w:ascii="Arial" w:eastAsia="Times New Roman" w:hAnsi="Arial" w:cs="Arial"/>
          <w:lang w:eastAsia="en-ZA"/>
        </w:rPr>
        <w:t xml:space="preserve">A compulsory clarification meeting, with representatives of the Employer, will take place at the KwaDukuza Municipality: </w:t>
      </w:r>
      <w:r w:rsidRPr="00FC269F">
        <w:rPr>
          <w:rFonts w:ascii="Arial" w:eastAsia="Times New Roman" w:hAnsi="Arial" w:cs="Arial"/>
          <w:b/>
          <w:bCs/>
          <w:lang w:eastAsia="en-ZA"/>
        </w:rPr>
        <w:t xml:space="preserve">FINANCE BOARDROOM (General </w:t>
      </w:r>
      <w:proofErr w:type="spellStart"/>
      <w:r w:rsidRPr="00FC269F">
        <w:rPr>
          <w:rFonts w:ascii="Arial" w:eastAsia="Times New Roman" w:hAnsi="Arial" w:cs="Arial"/>
          <w:b/>
          <w:bCs/>
          <w:lang w:eastAsia="en-ZA"/>
        </w:rPr>
        <w:t>Gizenga</w:t>
      </w:r>
      <w:proofErr w:type="spellEnd"/>
      <w:r w:rsidRPr="00FC269F">
        <w:rPr>
          <w:rFonts w:ascii="Arial" w:eastAsia="Times New Roman" w:hAnsi="Arial" w:cs="Arial"/>
          <w:b/>
          <w:bCs/>
          <w:lang w:eastAsia="en-ZA"/>
        </w:rPr>
        <w:t xml:space="preserve"> Mpanza Building, 104 Mahatma Gandhi Street, KwaDukuza, 4450) on </w:t>
      </w:r>
      <w:r w:rsidR="00B22E9A" w:rsidRPr="00FC269F">
        <w:rPr>
          <w:rFonts w:ascii="Arial" w:eastAsia="Times New Roman" w:hAnsi="Arial" w:cs="Arial"/>
          <w:b/>
          <w:bCs/>
          <w:shd w:val="clear" w:color="auto" w:fill="FFFFFF" w:themeFill="background1"/>
          <w:lang w:eastAsia="en-ZA"/>
        </w:rPr>
        <w:t>14</w:t>
      </w:r>
      <w:r w:rsidRPr="00FC269F">
        <w:rPr>
          <w:rFonts w:ascii="Arial" w:eastAsia="Times New Roman" w:hAnsi="Arial" w:cs="Arial"/>
          <w:b/>
          <w:bCs/>
          <w:shd w:val="clear" w:color="auto" w:fill="FFFFFF" w:themeFill="background1"/>
          <w:lang w:eastAsia="en-ZA"/>
        </w:rPr>
        <w:t xml:space="preserve"> </w:t>
      </w:r>
      <w:r w:rsidR="00347BE4" w:rsidRPr="00FC269F">
        <w:rPr>
          <w:rFonts w:ascii="Arial" w:eastAsia="Times New Roman" w:hAnsi="Arial" w:cs="Arial"/>
          <w:b/>
          <w:bCs/>
          <w:shd w:val="clear" w:color="auto" w:fill="FFFFFF" w:themeFill="background1"/>
          <w:lang w:eastAsia="en-ZA"/>
        </w:rPr>
        <w:t>June</w:t>
      </w:r>
      <w:r w:rsidRPr="00FC269F">
        <w:rPr>
          <w:rFonts w:ascii="Arial" w:eastAsia="Times New Roman" w:hAnsi="Arial" w:cs="Arial"/>
          <w:b/>
          <w:bCs/>
          <w:shd w:val="clear" w:color="auto" w:fill="FFFFFF" w:themeFill="background1"/>
          <w:lang w:eastAsia="en-ZA"/>
        </w:rPr>
        <w:t xml:space="preserve"> 2024</w:t>
      </w:r>
      <w:r w:rsidRPr="00FC269F">
        <w:rPr>
          <w:rFonts w:ascii="Arial" w:eastAsia="Times New Roman" w:hAnsi="Arial" w:cs="Arial"/>
          <w:b/>
          <w:bCs/>
          <w:lang w:eastAsia="en-ZA"/>
        </w:rPr>
        <w:t>, starting at 10h00</w:t>
      </w:r>
      <w:r w:rsidRPr="00ED4829">
        <w:rPr>
          <w:rFonts w:ascii="Arial" w:eastAsia="Times New Roman" w:hAnsi="Arial" w:cs="Arial"/>
          <w:lang w:eastAsia="en-ZA"/>
        </w:rPr>
        <w:t>. Failure to attend the compulsory clarification meeting will disqualify the tender. Doors to the venue will be closed at 10H00 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meeting.</w:t>
      </w:r>
    </w:p>
    <w:p w14:paraId="2DBBD8E4" w14:textId="7F7CEB29" w:rsidR="003808A4" w:rsidRPr="00ED4829" w:rsidRDefault="003808A4" w:rsidP="003808A4">
      <w:pPr>
        <w:spacing w:after="200" w:line="276" w:lineRule="auto"/>
        <w:rPr>
          <w:rFonts w:ascii="Arial" w:eastAsia="Arial" w:hAnsi="Arial" w:cs="Arial"/>
        </w:rPr>
      </w:pPr>
      <w:r w:rsidRPr="00ED4829">
        <w:rPr>
          <w:rFonts w:ascii="Arial" w:eastAsia="Arial" w:hAnsi="Arial" w:cs="Arial"/>
        </w:rPr>
        <w:t>Tenders shall be placed in a sealed envelopes endorsed “</w:t>
      </w:r>
      <w:r w:rsidRPr="00ED4829">
        <w:rPr>
          <w:rFonts w:ascii="Arial" w:eastAsia="Arial" w:hAnsi="Arial" w:cs="Arial"/>
          <w:b/>
        </w:rPr>
        <w:t>TENDER NO MN 35/2024:</w:t>
      </w:r>
      <w:r w:rsidRPr="00ED4829">
        <w:rPr>
          <w:rFonts w:ascii="Arial" w:eastAsia="Arial" w:hAnsi="Arial" w:cs="Arial"/>
        </w:rPr>
        <w:t xml:space="preserve"> </w:t>
      </w:r>
      <w:r w:rsidRPr="00ED4829">
        <w:rPr>
          <w:rFonts w:ascii="Arial" w:eastAsia="Arial" w:hAnsi="Arial" w:cs="Arial"/>
          <w:b/>
        </w:rPr>
        <w:t xml:space="preserve">TENDER FOR THE PROVISION OF BANKING SERVICES FOR A PERIOD OF 60 MONTHS(1 JANUARY 2025 – 31 DECEMBER 2029) </w:t>
      </w:r>
      <w:r w:rsidRPr="00ED4829">
        <w:rPr>
          <w:rFonts w:ascii="Arial" w:eastAsia="Arial" w:hAnsi="Arial" w:cs="Arial"/>
        </w:rPr>
        <w:t xml:space="preserve">and be deposited in the tender box situated at the KwaDukuza Municipality </w:t>
      </w:r>
      <w:proofErr w:type="spellStart"/>
      <w:r w:rsidRPr="00AB380B">
        <w:rPr>
          <w:rFonts w:ascii="Arial" w:eastAsia="Arial" w:hAnsi="Arial" w:cs="Arial"/>
        </w:rPr>
        <w:t>Lavoippierre</w:t>
      </w:r>
      <w:proofErr w:type="spellEnd"/>
      <w:r w:rsidRPr="00AB380B">
        <w:rPr>
          <w:rFonts w:ascii="Arial" w:eastAsia="Arial" w:hAnsi="Arial" w:cs="Arial"/>
        </w:rPr>
        <w:t xml:space="preserve"> Buildings, No. 2 </w:t>
      </w:r>
      <w:proofErr w:type="spellStart"/>
      <w:r w:rsidRPr="00AB380B">
        <w:rPr>
          <w:rFonts w:ascii="Arial" w:eastAsia="Arial" w:hAnsi="Arial" w:cs="Arial"/>
        </w:rPr>
        <w:t>Industria</w:t>
      </w:r>
      <w:proofErr w:type="spellEnd"/>
      <w:r w:rsidRPr="00AB380B">
        <w:rPr>
          <w:rFonts w:ascii="Arial" w:eastAsia="Arial" w:hAnsi="Arial" w:cs="Arial"/>
        </w:rPr>
        <w:t xml:space="preserve"> Crescent, SCM / Stores KwaDukuza not later than </w:t>
      </w:r>
      <w:r w:rsidRPr="00AB380B">
        <w:rPr>
          <w:rFonts w:ascii="Arial" w:eastAsia="Arial" w:hAnsi="Arial" w:cs="Arial"/>
          <w:b/>
        </w:rPr>
        <w:t>12h0</w:t>
      </w:r>
      <w:r w:rsidRPr="00C0372F">
        <w:rPr>
          <w:rFonts w:ascii="Arial" w:eastAsia="Arial" w:hAnsi="Arial" w:cs="Arial"/>
          <w:b/>
        </w:rPr>
        <w:t xml:space="preserve">0, </w:t>
      </w:r>
      <w:r w:rsidR="00347BE4" w:rsidRPr="00AB380B">
        <w:rPr>
          <w:rFonts w:ascii="Arial" w:eastAsia="Arial" w:hAnsi="Arial" w:cs="Arial"/>
          <w:b/>
          <w:color w:val="FF0000"/>
        </w:rPr>
        <w:t>02 July</w:t>
      </w:r>
      <w:r w:rsidRPr="00AB380B">
        <w:rPr>
          <w:rFonts w:ascii="Arial" w:eastAsia="Arial" w:hAnsi="Arial" w:cs="Arial"/>
          <w:b/>
          <w:color w:val="FF0000"/>
        </w:rPr>
        <w:t xml:space="preserve"> 2024</w:t>
      </w:r>
      <w:r w:rsidRPr="00AB380B">
        <w:rPr>
          <w:rFonts w:ascii="Arial" w:eastAsia="Arial" w:hAnsi="Arial" w:cs="Arial"/>
          <w:b/>
        </w:rPr>
        <w:t>,</w:t>
      </w:r>
      <w:r w:rsidRPr="00AB380B">
        <w:rPr>
          <w:rFonts w:ascii="Arial" w:eastAsia="Arial" w:hAnsi="Arial" w:cs="Arial"/>
        </w:rPr>
        <w:t xml:space="preserve"> when tenders</w:t>
      </w:r>
      <w:r w:rsidRPr="00ED4829">
        <w:rPr>
          <w:rFonts w:ascii="Arial" w:eastAsia="Arial" w:hAnsi="Arial" w:cs="Arial"/>
        </w:rPr>
        <w:t xml:space="preserve"> will be opened in public. Electronic or faxed tenders will not be accepted.</w:t>
      </w:r>
    </w:p>
    <w:p w14:paraId="1A80A22A" w14:textId="77777777" w:rsidR="009528DD" w:rsidRPr="00ED4829" w:rsidRDefault="009528DD" w:rsidP="003808A4">
      <w:pPr>
        <w:spacing w:after="200" w:line="276" w:lineRule="auto"/>
        <w:rPr>
          <w:rFonts w:ascii="Arial" w:eastAsia="Arial" w:hAnsi="Arial" w:cs="Arial"/>
        </w:rPr>
      </w:pPr>
    </w:p>
    <w:p w14:paraId="6BF700F1" w14:textId="77777777" w:rsidR="009528DD" w:rsidRPr="00ED4829" w:rsidRDefault="009528DD" w:rsidP="003808A4">
      <w:pPr>
        <w:spacing w:after="200" w:line="276" w:lineRule="auto"/>
        <w:rPr>
          <w:rFonts w:ascii="Arial" w:eastAsia="Arial" w:hAnsi="Arial" w:cs="Arial"/>
        </w:rPr>
      </w:pPr>
    </w:p>
    <w:p w14:paraId="65EDCA7B" w14:textId="77777777" w:rsidR="009528DD" w:rsidRPr="00ED4829" w:rsidRDefault="009528DD" w:rsidP="003808A4">
      <w:pPr>
        <w:spacing w:after="200" w:line="276" w:lineRule="auto"/>
        <w:rPr>
          <w:rFonts w:ascii="Arial" w:eastAsia="Arial" w:hAnsi="Arial" w:cs="Arial"/>
        </w:rPr>
      </w:pPr>
    </w:p>
    <w:p w14:paraId="6959E6DB" w14:textId="77777777" w:rsidR="009528DD" w:rsidRPr="00ED4829" w:rsidRDefault="009528DD" w:rsidP="003808A4">
      <w:pPr>
        <w:spacing w:after="200" w:line="276" w:lineRule="auto"/>
        <w:rPr>
          <w:rFonts w:ascii="Arial" w:eastAsia="Arial" w:hAnsi="Arial" w:cs="Arial"/>
        </w:rPr>
      </w:pPr>
    </w:p>
    <w:p w14:paraId="2979720C" w14:textId="77777777" w:rsidR="009528DD" w:rsidRPr="00ED4829" w:rsidRDefault="009528DD" w:rsidP="009528DD">
      <w:pPr>
        <w:spacing w:after="0" w:line="240" w:lineRule="auto"/>
        <w:jc w:val="both"/>
        <w:rPr>
          <w:rFonts w:ascii="Arial" w:eastAsia="Arial" w:hAnsi="Arial" w:cs="Arial"/>
          <w:b/>
          <w:color w:val="000000"/>
        </w:rPr>
      </w:pPr>
      <w:r w:rsidRPr="00ED4829">
        <w:rPr>
          <w:rFonts w:ascii="Arial" w:eastAsia="Arial" w:hAnsi="Arial" w:cs="Arial"/>
          <w:b/>
        </w:rPr>
        <w:t>Tenders w</w:t>
      </w:r>
      <w:r w:rsidRPr="00ED4829">
        <w:rPr>
          <w:rFonts w:ascii="Arial" w:eastAsia="Arial" w:hAnsi="Arial" w:cs="Arial"/>
          <w:b/>
          <w:color w:val="000000"/>
        </w:rPr>
        <w:t>ill be evaluated and adjudicated according to the following criteria: -</w:t>
      </w:r>
    </w:p>
    <w:p w14:paraId="3318FF31" w14:textId="77777777" w:rsidR="009528DD" w:rsidRPr="00ED4829" w:rsidRDefault="009528DD" w:rsidP="009528DD">
      <w:pPr>
        <w:pStyle w:val="ListParagraph"/>
        <w:numPr>
          <w:ilvl w:val="0"/>
          <w:numId w:val="1"/>
        </w:numPr>
        <w:jc w:val="both"/>
        <w:rPr>
          <w:rFonts w:ascii="Arial" w:hAnsi="Arial"/>
        </w:rPr>
      </w:pPr>
      <w:bookmarkStart w:id="2" w:name="_Hlk163118868"/>
      <w:r w:rsidRPr="00ED4829">
        <w:rPr>
          <w:rFonts w:ascii="Arial" w:hAnsi="Arial"/>
        </w:rPr>
        <w:t>Bids will be evaluated and adjudicated in terms of KwaDukuza Municipality’s Supply Chain Management Policy in terms of two envelopes systems, with first envelope being the  evaluation of technical proposal and the second envelope being the evaluation of financial proposal utilising 80/20 preference point scoring system</w:t>
      </w:r>
      <w:bookmarkEnd w:id="2"/>
      <w:r w:rsidRPr="00ED4829">
        <w:rPr>
          <w:rFonts w:ascii="Arial" w:hAnsi="Arial"/>
        </w:rPr>
        <w:t>. Only bidders who score the minimum threshold of 70 points on functionality criteria will qualify for the second envelope of evaluation. This bid will further be evaluated in terms of the Preferential Procurement Regulations, 2022 pertaining to the PPPFA (No. 5 of 2000)</w:t>
      </w:r>
    </w:p>
    <w:p w14:paraId="6102C38E" w14:textId="77777777" w:rsidR="009528DD" w:rsidRPr="00ED4829" w:rsidRDefault="009528DD" w:rsidP="009528DD">
      <w:pPr>
        <w:ind w:firstLine="360"/>
        <w:rPr>
          <w:rFonts w:ascii="Arial" w:hAnsi="Arial"/>
        </w:rPr>
      </w:pPr>
      <w:r w:rsidRPr="00ED4829">
        <w:rPr>
          <w:rFonts w:ascii="Arial" w:hAnsi="Arial"/>
        </w:rPr>
        <w:t>The Functionality Evaluation Criteria will be conducted in terms of the following: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4671"/>
      </w:tblGrid>
      <w:tr w:rsidR="009528DD" w:rsidRPr="00ED4829" w14:paraId="74901492" w14:textId="77777777" w:rsidTr="000E69AD">
        <w:trPr>
          <w:trHeight w:val="246"/>
        </w:trPr>
        <w:tc>
          <w:tcPr>
            <w:tcW w:w="3798" w:type="dxa"/>
            <w:shd w:val="clear" w:color="auto" w:fill="auto"/>
          </w:tcPr>
          <w:p w14:paraId="421506BD" w14:textId="77777777" w:rsidR="009528DD" w:rsidRPr="00ED4829" w:rsidRDefault="009528DD" w:rsidP="000E69AD">
            <w:pPr>
              <w:spacing w:after="120"/>
              <w:rPr>
                <w:rFonts w:ascii="Arial" w:hAnsi="Arial"/>
                <w:b/>
              </w:rPr>
            </w:pPr>
            <w:r w:rsidRPr="00ED4829">
              <w:rPr>
                <w:rFonts w:ascii="Arial" w:hAnsi="Arial"/>
                <w:b/>
              </w:rPr>
              <w:t xml:space="preserve">Functionality Criteria </w:t>
            </w:r>
          </w:p>
        </w:tc>
        <w:tc>
          <w:tcPr>
            <w:tcW w:w="4671" w:type="dxa"/>
            <w:shd w:val="clear" w:color="auto" w:fill="auto"/>
          </w:tcPr>
          <w:p w14:paraId="3BB04692" w14:textId="77777777" w:rsidR="009528DD" w:rsidRPr="00ED4829" w:rsidRDefault="009528DD" w:rsidP="000E69AD">
            <w:pPr>
              <w:spacing w:after="120"/>
              <w:rPr>
                <w:rFonts w:ascii="Arial" w:hAnsi="Arial"/>
                <w:b/>
              </w:rPr>
            </w:pPr>
            <w:r w:rsidRPr="00ED4829">
              <w:rPr>
                <w:rFonts w:ascii="Arial" w:hAnsi="Arial"/>
                <w:b/>
              </w:rPr>
              <w:t xml:space="preserve">Maximum Points </w:t>
            </w:r>
          </w:p>
        </w:tc>
      </w:tr>
      <w:tr w:rsidR="009528DD" w:rsidRPr="003911E8" w14:paraId="7C9AC8EA" w14:textId="77777777" w:rsidTr="000E69AD">
        <w:trPr>
          <w:trHeight w:val="246"/>
        </w:trPr>
        <w:tc>
          <w:tcPr>
            <w:tcW w:w="3798" w:type="dxa"/>
            <w:shd w:val="clear" w:color="auto" w:fill="auto"/>
          </w:tcPr>
          <w:p w14:paraId="56721475" w14:textId="77777777" w:rsidR="009528DD" w:rsidRPr="00ED4829" w:rsidRDefault="009528DD" w:rsidP="000E69AD">
            <w:pPr>
              <w:spacing w:after="120"/>
              <w:rPr>
                <w:rFonts w:ascii="Arial" w:hAnsi="Arial"/>
              </w:rPr>
            </w:pPr>
            <w:r w:rsidRPr="00ED4829">
              <w:rPr>
                <w:rFonts w:ascii="Arial" w:hAnsi="Arial"/>
              </w:rPr>
              <w:t xml:space="preserve">Bank Rating </w:t>
            </w:r>
          </w:p>
        </w:tc>
        <w:tc>
          <w:tcPr>
            <w:tcW w:w="4671" w:type="dxa"/>
            <w:shd w:val="clear" w:color="auto" w:fill="auto"/>
          </w:tcPr>
          <w:p w14:paraId="7187AA3D" w14:textId="77777777" w:rsidR="009528DD" w:rsidRPr="003911E8" w:rsidRDefault="009528DD" w:rsidP="000E69AD">
            <w:pPr>
              <w:spacing w:after="120"/>
              <w:rPr>
                <w:rFonts w:ascii="Arial" w:hAnsi="Arial"/>
              </w:rPr>
            </w:pPr>
            <w:r w:rsidRPr="00ED4829">
              <w:rPr>
                <w:rFonts w:ascii="Arial" w:hAnsi="Arial"/>
              </w:rPr>
              <w:t>25 Points</w:t>
            </w:r>
            <w:r w:rsidRPr="003911E8">
              <w:rPr>
                <w:rFonts w:ascii="Arial" w:hAnsi="Arial"/>
              </w:rPr>
              <w:t xml:space="preserve"> </w:t>
            </w:r>
          </w:p>
        </w:tc>
      </w:tr>
      <w:tr w:rsidR="009528DD" w:rsidRPr="003911E8" w14:paraId="503BF761" w14:textId="77777777" w:rsidTr="000E69AD">
        <w:trPr>
          <w:trHeight w:val="259"/>
        </w:trPr>
        <w:tc>
          <w:tcPr>
            <w:tcW w:w="3798" w:type="dxa"/>
            <w:shd w:val="clear" w:color="auto" w:fill="auto"/>
          </w:tcPr>
          <w:p w14:paraId="591AA26E" w14:textId="77777777" w:rsidR="009528DD" w:rsidRPr="003911E8" w:rsidRDefault="009528DD" w:rsidP="000E69AD">
            <w:pPr>
              <w:spacing w:after="120"/>
              <w:rPr>
                <w:rFonts w:ascii="Arial" w:hAnsi="Arial"/>
              </w:rPr>
            </w:pPr>
            <w:r w:rsidRPr="003911E8">
              <w:rPr>
                <w:rFonts w:ascii="Arial" w:hAnsi="Arial"/>
              </w:rPr>
              <w:t xml:space="preserve">Similar Experience </w:t>
            </w:r>
          </w:p>
        </w:tc>
        <w:tc>
          <w:tcPr>
            <w:tcW w:w="4671" w:type="dxa"/>
            <w:shd w:val="clear" w:color="auto" w:fill="auto"/>
          </w:tcPr>
          <w:p w14:paraId="6DD645AD" w14:textId="77777777" w:rsidR="009528DD" w:rsidRPr="003911E8" w:rsidRDefault="009528DD" w:rsidP="000E69AD">
            <w:pPr>
              <w:spacing w:after="120"/>
              <w:rPr>
                <w:rFonts w:ascii="Arial" w:hAnsi="Arial"/>
              </w:rPr>
            </w:pPr>
            <w:r w:rsidRPr="003911E8">
              <w:rPr>
                <w:rFonts w:ascii="Arial" w:hAnsi="Arial"/>
              </w:rPr>
              <w:t xml:space="preserve">25 Points </w:t>
            </w:r>
          </w:p>
        </w:tc>
      </w:tr>
      <w:tr w:rsidR="009528DD" w:rsidRPr="003911E8" w14:paraId="7D8F4B96" w14:textId="77777777" w:rsidTr="000E69AD">
        <w:trPr>
          <w:trHeight w:val="246"/>
        </w:trPr>
        <w:tc>
          <w:tcPr>
            <w:tcW w:w="3798" w:type="dxa"/>
            <w:shd w:val="clear" w:color="auto" w:fill="auto"/>
          </w:tcPr>
          <w:p w14:paraId="278E360E" w14:textId="77777777" w:rsidR="009528DD" w:rsidRPr="003911E8" w:rsidRDefault="009528DD" w:rsidP="000E69AD">
            <w:pPr>
              <w:spacing w:after="120"/>
              <w:rPr>
                <w:rFonts w:ascii="Arial" w:hAnsi="Arial"/>
              </w:rPr>
            </w:pPr>
            <w:r w:rsidRPr="003911E8">
              <w:rPr>
                <w:rFonts w:ascii="Arial" w:hAnsi="Arial"/>
              </w:rPr>
              <w:t>Key Personnel (Account Executive)</w:t>
            </w:r>
          </w:p>
        </w:tc>
        <w:tc>
          <w:tcPr>
            <w:tcW w:w="4671" w:type="dxa"/>
            <w:shd w:val="clear" w:color="auto" w:fill="auto"/>
          </w:tcPr>
          <w:p w14:paraId="15BC8D8E" w14:textId="77777777" w:rsidR="009528DD" w:rsidRPr="003911E8" w:rsidRDefault="009528DD" w:rsidP="000E69AD">
            <w:pPr>
              <w:spacing w:after="120"/>
              <w:rPr>
                <w:rFonts w:ascii="Arial" w:hAnsi="Arial"/>
              </w:rPr>
            </w:pPr>
            <w:r w:rsidRPr="003911E8">
              <w:rPr>
                <w:rFonts w:ascii="Arial" w:hAnsi="Arial"/>
              </w:rPr>
              <w:t>2</w:t>
            </w:r>
            <w:r>
              <w:rPr>
                <w:rFonts w:ascii="Arial" w:hAnsi="Arial"/>
              </w:rPr>
              <w:t>5</w:t>
            </w:r>
            <w:r w:rsidRPr="003911E8">
              <w:rPr>
                <w:rFonts w:ascii="Arial" w:hAnsi="Arial"/>
              </w:rPr>
              <w:t xml:space="preserve"> Points </w:t>
            </w:r>
          </w:p>
        </w:tc>
      </w:tr>
      <w:tr w:rsidR="009528DD" w:rsidRPr="003911E8" w14:paraId="5F701FA8" w14:textId="77777777" w:rsidTr="000E69AD">
        <w:trPr>
          <w:trHeight w:val="246"/>
        </w:trPr>
        <w:tc>
          <w:tcPr>
            <w:tcW w:w="3798" w:type="dxa"/>
            <w:shd w:val="clear" w:color="auto" w:fill="auto"/>
          </w:tcPr>
          <w:p w14:paraId="7D53B2DF" w14:textId="77777777" w:rsidR="009528DD" w:rsidRPr="003911E8" w:rsidRDefault="009528DD" w:rsidP="000E69AD">
            <w:pPr>
              <w:spacing w:after="120"/>
              <w:rPr>
                <w:rFonts w:ascii="Arial" w:hAnsi="Arial"/>
              </w:rPr>
            </w:pPr>
            <w:r w:rsidRPr="003911E8">
              <w:rPr>
                <w:rFonts w:ascii="Arial" w:hAnsi="Arial"/>
              </w:rPr>
              <w:t xml:space="preserve">Corporate Social Investments initiatives </w:t>
            </w:r>
          </w:p>
        </w:tc>
        <w:tc>
          <w:tcPr>
            <w:tcW w:w="4671" w:type="dxa"/>
            <w:shd w:val="clear" w:color="auto" w:fill="auto"/>
          </w:tcPr>
          <w:p w14:paraId="0F021F1C" w14:textId="77777777" w:rsidR="009528DD" w:rsidRPr="003911E8" w:rsidRDefault="009528DD" w:rsidP="000E69AD">
            <w:pPr>
              <w:spacing w:after="120"/>
              <w:rPr>
                <w:rFonts w:ascii="Arial" w:hAnsi="Arial"/>
              </w:rPr>
            </w:pPr>
            <w:r>
              <w:rPr>
                <w:rFonts w:ascii="Arial" w:hAnsi="Arial"/>
              </w:rPr>
              <w:t>2</w:t>
            </w:r>
            <w:r w:rsidRPr="003911E8">
              <w:rPr>
                <w:rFonts w:ascii="Arial" w:hAnsi="Arial"/>
              </w:rPr>
              <w:t xml:space="preserve">5 Points </w:t>
            </w:r>
          </w:p>
        </w:tc>
      </w:tr>
      <w:tr w:rsidR="009528DD" w:rsidRPr="003911E8" w14:paraId="102C1E97" w14:textId="77777777" w:rsidTr="000E69AD">
        <w:trPr>
          <w:trHeight w:val="246"/>
        </w:trPr>
        <w:tc>
          <w:tcPr>
            <w:tcW w:w="3798" w:type="dxa"/>
            <w:shd w:val="clear" w:color="auto" w:fill="auto"/>
          </w:tcPr>
          <w:p w14:paraId="6B7B497E" w14:textId="77777777" w:rsidR="009528DD" w:rsidRPr="003911E8" w:rsidRDefault="009528DD" w:rsidP="000E69AD">
            <w:pPr>
              <w:spacing w:after="120"/>
              <w:rPr>
                <w:rFonts w:ascii="Arial" w:hAnsi="Arial"/>
              </w:rPr>
            </w:pPr>
            <w:r w:rsidRPr="003911E8">
              <w:rPr>
                <w:rFonts w:ascii="Arial" w:hAnsi="Arial"/>
              </w:rPr>
              <w:t xml:space="preserve">Maximum Points = 100 </w:t>
            </w:r>
          </w:p>
        </w:tc>
        <w:tc>
          <w:tcPr>
            <w:tcW w:w="4671" w:type="dxa"/>
            <w:shd w:val="clear" w:color="auto" w:fill="auto"/>
          </w:tcPr>
          <w:p w14:paraId="73BF6254" w14:textId="77777777" w:rsidR="009528DD" w:rsidRPr="003911E8" w:rsidRDefault="009528DD" w:rsidP="000E69AD">
            <w:pPr>
              <w:spacing w:after="120"/>
              <w:rPr>
                <w:rFonts w:ascii="Arial" w:hAnsi="Arial"/>
              </w:rPr>
            </w:pPr>
            <w:r w:rsidRPr="003911E8">
              <w:rPr>
                <w:rFonts w:ascii="Arial" w:hAnsi="Arial"/>
              </w:rPr>
              <w:t xml:space="preserve">Minimum Threshold = </w:t>
            </w:r>
            <w:r>
              <w:rPr>
                <w:rFonts w:ascii="Arial" w:hAnsi="Arial"/>
              </w:rPr>
              <w:t>7</w:t>
            </w:r>
            <w:r w:rsidRPr="003911E8">
              <w:rPr>
                <w:rFonts w:ascii="Arial" w:hAnsi="Arial"/>
              </w:rPr>
              <w:t xml:space="preserve">0 Points (100* </w:t>
            </w:r>
            <w:r>
              <w:rPr>
                <w:rFonts w:ascii="Arial" w:hAnsi="Arial"/>
              </w:rPr>
              <w:t>7</w:t>
            </w:r>
            <w:r w:rsidRPr="003911E8">
              <w:rPr>
                <w:rFonts w:ascii="Arial" w:hAnsi="Arial"/>
              </w:rPr>
              <w:t xml:space="preserve">0%) </w:t>
            </w:r>
          </w:p>
        </w:tc>
      </w:tr>
    </w:tbl>
    <w:p w14:paraId="079E33E4" w14:textId="77777777" w:rsidR="009528DD" w:rsidRPr="003911E8" w:rsidRDefault="009528DD" w:rsidP="009528DD">
      <w:pPr>
        <w:spacing w:after="0" w:line="240" w:lineRule="auto"/>
        <w:ind w:left="1080"/>
        <w:jc w:val="both"/>
        <w:rPr>
          <w:rFonts w:ascii="Arial" w:eastAsia="Arial" w:hAnsi="Arial" w:cs="Arial"/>
          <w:color w:val="000000"/>
        </w:rPr>
      </w:pPr>
    </w:p>
    <w:p w14:paraId="5B396BAC"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color w:val="000000"/>
        </w:rPr>
        <w:t>Contractor must be registered on the National Treasury’s Central Supplier Database.</w:t>
      </w:r>
    </w:p>
    <w:p w14:paraId="44E48804"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color w:val="000000"/>
        </w:rPr>
        <w:t>Council’s Supply Chain Management Policy.</w:t>
      </w:r>
    </w:p>
    <w:p w14:paraId="0E42D5D3"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Prices tendered must be firm and inclusive of VAT.</w:t>
      </w:r>
    </w:p>
    <w:p w14:paraId="3511C75C"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Contractor shall provide the Municipality with a compliance clearance PIN to verify your tax compliance status.</w:t>
      </w:r>
    </w:p>
    <w:p w14:paraId="0619E7BF"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 xml:space="preserve">A copy of the most recent municipal account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 from paying rates, Electricity and Water </w:t>
      </w:r>
    </w:p>
    <w:p w14:paraId="2ADC3D44"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 xml:space="preserve">The tender offer validity period of 90 days. </w:t>
      </w:r>
    </w:p>
    <w:p w14:paraId="5E2719FD"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hAnsi="Arial" w:cs="Arial"/>
          <w:color w:val="000000"/>
        </w:rPr>
        <w:t>Certificate of Attendance at the clarification meeting.</w:t>
      </w:r>
    </w:p>
    <w:p w14:paraId="1D1CF945"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 xml:space="preserve">Must be registered in terms of the Banks Act, Act No 94 of 1990 to provide banking services to the Municipality of KwaDukuza. </w:t>
      </w:r>
    </w:p>
    <w:p w14:paraId="7B93974B"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Must submit audited annual financial statements for the past three years, or since the Tenderer’s establishment.</w:t>
      </w:r>
    </w:p>
    <w:p w14:paraId="6820002B" w14:textId="77777777" w:rsidR="009528DD" w:rsidRPr="003911E8"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All prospective tenderers will be screened in accordance with the National Treasury’s Defaulters Database.</w:t>
      </w:r>
    </w:p>
    <w:p w14:paraId="2EB36F6D" w14:textId="77777777" w:rsidR="009528DD" w:rsidRPr="00D20A3B" w:rsidRDefault="009528DD" w:rsidP="009528DD">
      <w:pPr>
        <w:pStyle w:val="ListParagraph"/>
        <w:numPr>
          <w:ilvl w:val="0"/>
          <w:numId w:val="1"/>
        </w:numPr>
        <w:spacing w:after="0" w:line="240" w:lineRule="auto"/>
        <w:jc w:val="both"/>
        <w:rPr>
          <w:rFonts w:ascii="Arial" w:eastAsia="Arial" w:hAnsi="Arial" w:cs="Arial"/>
          <w:color w:val="000000"/>
        </w:rPr>
      </w:pPr>
      <w:r w:rsidRPr="003911E8">
        <w:rPr>
          <w:rFonts w:ascii="Arial" w:eastAsia="Arial" w:hAnsi="Arial" w:cs="Arial"/>
        </w:rPr>
        <w:t>Council does not bind itself to accept the lowest tender or any tender and reserves the right to accept any part or the whole of any tender and preference will be given to Affirmative Business Enterprises. The Municipality also reserves the right to call on preferred bidders to form a joint venture with a BEE company. Canvassing in any form in the gift is strictly prohibited and will lead to the disqualification of the tender. No bids will be considered from persons in the services of any organ of the state.</w:t>
      </w:r>
    </w:p>
    <w:p w14:paraId="34C68177" w14:textId="77777777" w:rsidR="009528DD" w:rsidRPr="003911E8" w:rsidRDefault="009528DD" w:rsidP="009528DD">
      <w:pPr>
        <w:tabs>
          <w:tab w:val="left" w:pos="960"/>
          <w:tab w:val="left" w:pos="3969"/>
        </w:tabs>
        <w:spacing w:after="0" w:line="240" w:lineRule="auto"/>
        <w:jc w:val="both"/>
        <w:rPr>
          <w:rFonts w:ascii="Arial" w:eastAsia="Arial" w:hAnsi="Arial" w:cs="Arial"/>
          <w:lang w:val="fr-FR"/>
        </w:rPr>
      </w:pPr>
      <w:r w:rsidRPr="003911E8">
        <w:rPr>
          <w:rFonts w:ascii="Arial" w:eastAsia="Arial" w:hAnsi="Arial" w:cs="Arial"/>
          <w:lang w:val="fr-FR"/>
        </w:rPr>
        <w:t>__________________</w:t>
      </w:r>
    </w:p>
    <w:p w14:paraId="3E61760A" w14:textId="77777777" w:rsidR="009528DD" w:rsidRPr="003911E8" w:rsidRDefault="009528DD" w:rsidP="009528DD">
      <w:pPr>
        <w:tabs>
          <w:tab w:val="left" w:pos="960"/>
          <w:tab w:val="left" w:pos="3969"/>
        </w:tabs>
        <w:spacing w:after="0" w:line="240" w:lineRule="auto"/>
        <w:jc w:val="both"/>
        <w:rPr>
          <w:rFonts w:ascii="Arial" w:eastAsia="Arial" w:hAnsi="Arial" w:cs="Arial"/>
          <w:b/>
          <w:lang w:val="fr-FR"/>
        </w:rPr>
      </w:pPr>
      <w:r w:rsidRPr="003911E8">
        <w:rPr>
          <w:rFonts w:ascii="Arial" w:eastAsia="Arial" w:hAnsi="Arial" w:cs="Arial"/>
          <w:b/>
          <w:lang w:val="fr-FR"/>
        </w:rPr>
        <w:t>N.J. Mdakane</w:t>
      </w:r>
    </w:p>
    <w:p w14:paraId="3BFA463C" w14:textId="77777777" w:rsidR="009528DD" w:rsidRDefault="009528DD" w:rsidP="009528DD">
      <w:pPr>
        <w:tabs>
          <w:tab w:val="left" w:pos="960"/>
          <w:tab w:val="left" w:pos="3969"/>
        </w:tabs>
        <w:spacing w:after="0" w:line="240" w:lineRule="auto"/>
        <w:jc w:val="both"/>
        <w:rPr>
          <w:rFonts w:ascii="Arial" w:eastAsia="Arial" w:hAnsi="Arial" w:cs="Arial"/>
          <w:b/>
          <w:lang w:val="fr-FR"/>
        </w:rPr>
      </w:pPr>
      <w:r w:rsidRPr="003911E8">
        <w:rPr>
          <w:rFonts w:ascii="Arial" w:eastAsia="Arial" w:hAnsi="Arial" w:cs="Arial"/>
          <w:b/>
          <w:lang w:val="fr-FR"/>
        </w:rPr>
        <w:t>MUNICIPAL MANAGER</w:t>
      </w:r>
    </w:p>
    <w:p w14:paraId="4AB82919" w14:textId="77777777" w:rsidR="00E2132E" w:rsidRDefault="00E2132E"/>
    <w:sectPr w:rsidR="00E21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70530"/>
    <w:multiLevelType w:val="hybridMultilevel"/>
    <w:tmpl w:val="5F3027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747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A4"/>
    <w:rsid w:val="0008452F"/>
    <w:rsid w:val="001C19C5"/>
    <w:rsid w:val="00347BE4"/>
    <w:rsid w:val="003808A4"/>
    <w:rsid w:val="006959C8"/>
    <w:rsid w:val="00724F65"/>
    <w:rsid w:val="00734182"/>
    <w:rsid w:val="00834BA1"/>
    <w:rsid w:val="00884968"/>
    <w:rsid w:val="009528DD"/>
    <w:rsid w:val="00984B29"/>
    <w:rsid w:val="009A0919"/>
    <w:rsid w:val="00AB380B"/>
    <w:rsid w:val="00B22E9A"/>
    <w:rsid w:val="00C0372F"/>
    <w:rsid w:val="00C77855"/>
    <w:rsid w:val="00CF14C0"/>
    <w:rsid w:val="00DD59FA"/>
    <w:rsid w:val="00DE1EE6"/>
    <w:rsid w:val="00E2132E"/>
    <w:rsid w:val="00ED4829"/>
    <w:rsid w:val="00FC269F"/>
    <w:rsid w:val="00FD0CA3"/>
    <w:rsid w:val="00FD7F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FA1B7E"/>
  <w15:chartTrackingRefBased/>
  <w15:docId w15:val="{5C3A2CF4-E46F-4F1C-8A4B-8035F3A5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A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08A4"/>
    <w:rPr>
      <w:color w:val="0000FF"/>
      <w:u w:val="single"/>
    </w:rPr>
  </w:style>
  <w:style w:type="paragraph" w:styleId="ListParagraph">
    <w:name w:val="List Paragraph"/>
    <w:aliases w:val="Indent Paragraph"/>
    <w:basedOn w:val="Normal"/>
    <w:link w:val="ListParagraphChar"/>
    <w:uiPriority w:val="1"/>
    <w:qFormat/>
    <w:rsid w:val="009528DD"/>
    <w:pPr>
      <w:spacing w:after="200" w:line="276" w:lineRule="auto"/>
      <w:ind w:left="720"/>
      <w:contextualSpacing/>
    </w:pPr>
    <w:rPr>
      <w:rFonts w:ascii="Calibri" w:eastAsia="Times New Roman" w:hAnsi="Calibri" w:cs="Times New Roman"/>
      <w:lang w:eastAsia="en-ZA"/>
    </w:rPr>
  </w:style>
  <w:style w:type="character" w:customStyle="1" w:styleId="ListParagraphChar">
    <w:name w:val="List Paragraph Char"/>
    <w:aliases w:val="Indent Paragraph Char"/>
    <w:link w:val="ListParagraph"/>
    <w:uiPriority w:val="1"/>
    <w:rsid w:val="009528DD"/>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andenin@kwadukuza.gov.za" TargetMode="External"/><Relationship Id="rId3" Type="http://schemas.openxmlformats.org/officeDocument/2006/relationships/settings" Target="settings.xml"/><Relationship Id="rId7" Type="http://schemas.openxmlformats.org/officeDocument/2006/relationships/hyperlink" Target="mailto:rameshr@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12</cp:revision>
  <cp:lastPrinted>2024-04-05T10:29:00Z</cp:lastPrinted>
  <dcterms:created xsi:type="dcterms:W3CDTF">2024-04-05T10:21:00Z</dcterms:created>
  <dcterms:modified xsi:type="dcterms:W3CDTF">2024-04-05T10:33:00Z</dcterms:modified>
</cp:coreProperties>
</file>