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F20A" w14:textId="4DBE5B97" w:rsidR="00C55CF3" w:rsidRPr="00CB6503" w:rsidRDefault="00C55CF3" w:rsidP="00CD2794">
      <w:pPr>
        <w:adjustRightInd w:val="0"/>
        <w:spacing w:after="0" w:line="240" w:lineRule="auto"/>
        <w:ind w:left="426" w:hanging="426"/>
        <w:jc w:val="both"/>
        <w:rPr>
          <w:rFonts w:ascii="Arial" w:hAnsi="Arial" w:cs="Arial"/>
          <w:b/>
          <w:bCs/>
          <w:sz w:val="24"/>
          <w:szCs w:val="24"/>
        </w:rPr>
      </w:pPr>
      <w:r w:rsidRPr="00CB6503">
        <w:rPr>
          <w:rFonts w:ascii="Arial" w:hAnsi="Arial" w:cs="Arial"/>
          <w:b/>
          <w:bCs/>
          <w:sz w:val="24"/>
          <w:szCs w:val="24"/>
        </w:rPr>
        <w:t>Annexure B</w:t>
      </w:r>
      <w:r w:rsidR="00E83914" w:rsidRPr="00CB6503">
        <w:rPr>
          <w:rFonts w:ascii="Arial" w:hAnsi="Arial" w:cs="Arial"/>
          <w:b/>
          <w:bCs/>
          <w:sz w:val="24"/>
          <w:szCs w:val="24"/>
        </w:rPr>
        <w:t>: Format for fee proposal (Pricing Example)</w:t>
      </w:r>
    </w:p>
    <w:p w14:paraId="6E6A2E94" w14:textId="77777777" w:rsidR="00C55CF3" w:rsidRPr="00CB6503" w:rsidRDefault="00C55CF3" w:rsidP="00C55CF3">
      <w:pPr>
        <w:adjustRightInd w:val="0"/>
        <w:spacing w:after="0" w:line="240" w:lineRule="auto"/>
        <w:jc w:val="both"/>
        <w:rPr>
          <w:rFonts w:ascii="Arial" w:hAnsi="Arial" w:cs="Arial"/>
          <w:sz w:val="24"/>
          <w:szCs w:val="24"/>
        </w:rPr>
      </w:pPr>
    </w:p>
    <w:p w14:paraId="74E278E7" w14:textId="77E02EA4" w:rsidR="00CD2794" w:rsidRPr="00CB6503" w:rsidRDefault="00CD2794" w:rsidP="009046D1">
      <w:pPr>
        <w:pStyle w:val="ListParagraph"/>
        <w:numPr>
          <w:ilvl w:val="0"/>
          <w:numId w:val="1"/>
        </w:numPr>
        <w:adjustRightInd w:val="0"/>
        <w:spacing w:after="0" w:line="240" w:lineRule="auto"/>
        <w:ind w:left="567" w:hanging="567"/>
        <w:jc w:val="both"/>
        <w:rPr>
          <w:rFonts w:ascii="Arial" w:hAnsi="Arial" w:cs="Arial"/>
          <w:sz w:val="24"/>
          <w:szCs w:val="24"/>
        </w:rPr>
      </w:pPr>
      <w:r w:rsidRPr="00CB6503">
        <w:rPr>
          <w:rFonts w:ascii="Arial" w:hAnsi="Arial" w:cs="Arial"/>
          <w:sz w:val="24"/>
          <w:szCs w:val="24"/>
        </w:rPr>
        <w:t>Bidders are required to submit their fee schedule (quotation) using the example below (the quotation must be on the letterhead of the bidder). The proposed fee must include all costs for providing outsourcing services to the ECIC as described in this bid.</w:t>
      </w:r>
    </w:p>
    <w:p w14:paraId="2F451F32" w14:textId="77777777" w:rsidR="00CD2794" w:rsidRPr="00CB6503" w:rsidRDefault="00CD2794" w:rsidP="009046D1">
      <w:pPr>
        <w:pStyle w:val="ListParagraph"/>
        <w:adjustRightInd w:val="0"/>
        <w:spacing w:after="0" w:line="240" w:lineRule="auto"/>
        <w:ind w:left="567"/>
        <w:jc w:val="both"/>
        <w:rPr>
          <w:rFonts w:ascii="Arial" w:hAnsi="Arial" w:cs="Arial"/>
          <w:sz w:val="24"/>
          <w:szCs w:val="24"/>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191"/>
        <w:gridCol w:w="1338"/>
        <w:gridCol w:w="1275"/>
        <w:gridCol w:w="1276"/>
        <w:gridCol w:w="1418"/>
      </w:tblGrid>
      <w:tr w:rsidR="00A2436B" w:rsidRPr="00CB6503" w14:paraId="43A842BE" w14:textId="738D1D5E" w:rsidTr="00CE0708">
        <w:trPr>
          <w:trHeight w:val="91"/>
          <w:tblHeader/>
        </w:trPr>
        <w:tc>
          <w:tcPr>
            <w:tcW w:w="8080" w:type="dxa"/>
            <w:gridSpan w:val="4"/>
            <w:shd w:val="clear" w:color="auto" w:fill="002060"/>
            <w:vAlign w:val="center"/>
          </w:tcPr>
          <w:p w14:paraId="616B0E0C" w14:textId="77777777"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Description</w:t>
            </w:r>
          </w:p>
        </w:tc>
        <w:tc>
          <w:tcPr>
            <w:tcW w:w="1418" w:type="dxa"/>
            <w:shd w:val="clear" w:color="auto" w:fill="002060"/>
          </w:tcPr>
          <w:p w14:paraId="18A4B1B4" w14:textId="79EB430D" w:rsidR="00A2436B" w:rsidRPr="00CB6503" w:rsidRDefault="00A2436B" w:rsidP="00A2436B">
            <w:pPr>
              <w:spacing w:after="0" w:line="240" w:lineRule="auto"/>
              <w:ind w:left="851" w:hanging="781"/>
              <w:jc w:val="right"/>
              <w:rPr>
                <w:rFonts w:ascii="Arial" w:eastAsia="Arial" w:hAnsi="Arial" w:cs="Arial"/>
                <w:b/>
                <w:bCs/>
                <w:sz w:val="24"/>
                <w:szCs w:val="24"/>
                <w:lang w:val="en-ZA"/>
              </w:rPr>
            </w:pPr>
            <w:r w:rsidRPr="00CB6503">
              <w:rPr>
                <w:rFonts w:ascii="Arial" w:eastAsia="Arial" w:hAnsi="Arial" w:cs="Arial"/>
                <w:b/>
                <w:bCs/>
                <w:sz w:val="24"/>
                <w:szCs w:val="24"/>
                <w:lang w:val="en-ZA"/>
              </w:rPr>
              <w:t>Amount</w:t>
            </w:r>
          </w:p>
        </w:tc>
      </w:tr>
      <w:tr w:rsidR="00755583" w:rsidRPr="00CB6503" w14:paraId="079585E4" w14:textId="09BA5D85" w:rsidTr="009046D1">
        <w:trPr>
          <w:trHeight w:val="378"/>
        </w:trPr>
        <w:tc>
          <w:tcPr>
            <w:tcW w:w="9498" w:type="dxa"/>
            <w:gridSpan w:val="5"/>
            <w:shd w:val="clear" w:color="auto" w:fill="E7E6E6" w:themeFill="background2"/>
            <w:vAlign w:val="center"/>
          </w:tcPr>
          <w:p w14:paraId="2E8A7D04" w14:textId="43F4CC46" w:rsidR="00755583" w:rsidRPr="00CB6503" w:rsidRDefault="00755583" w:rsidP="00CE0708">
            <w:pPr>
              <w:spacing w:after="0" w:line="240" w:lineRule="auto"/>
              <w:jc w:val="both"/>
              <w:rPr>
                <w:rFonts w:ascii="Arial" w:eastAsia="Arial" w:hAnsi="Arial" w:cs="Arial"/>
                <w:b/>
                <w:bCs/>
                <w:sz w:val="24"/>
                <w:szCs w:val="24"/>
                <w:lang w:val="en-ZA"/>
              </w:rPr>
            </w:pPr>
            <w:r w:rsidRPr="00CB6503">
              <w:rPr>
                <w:rFonts w:ascii="Arial" w:hAnsi="Arial" w:cs="Arial"/>
                <w:b/>
                <w:sz w:val="24"/>
                <w:szCs w:val="24"/>
              </w:rPr>
              <w:t>Insurance Management System</w:t>
            </w:r>
          </w:p>
        </w:tc>
      </w:tr>
      <w:tr w:rsidR="00CE0708" w:rsidRPr="00CB6503" w14:paraId="5C54EB5B" w14:textId="6FB923F1" w:rsidTr="00EC2A4C">
        <w:trPr>
          <w:trHeight w:val="267"/>
        </w:trPr>
        <w:tc>
          <w:tcPr>
            <w:tcW w:w="5529" w:type="dxa"/>
            <w:gridSpan w:val="2"/>
            <w:vMerge w:val="restart"/>
            <w:shd w:val="clear" w:color="auto" w:fill="auto"/>
            <w:vAlign w:val="center"/>
          </w:tcPr>
          <w:p w14:paraId="06BB167C" w14:textId="7BA7948B" w:rsidR="00CE0708" w:rsidRDefault="00CE0708"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 xml:space="preserve">System (software) licensing for a period of </w:t>
            </w:r>
            <w:r>
              <w:rPr>
                <w:rFonts w:ascii="Arial" w:eastAsia="Arial" w:hAnsi="Arial" w:cs="Arial"/>
                <w:sz w:val="24"/>
                <w:szCs w:val="24"/>
              </w:rPr>
              <w:t>five</w:t>
            </w:r>
            <w:r w:rsidRPr="00CB6503">
              <w:rPr>
                <w:rFonts w:ascii="Arial" w:eastAsia="Arial" w:hAnsi="Arial" w:cs="Arial"/>
                <w:sz w:val="24"/>
                <w:szCs w:val="24"/>
              </w:rPr>
              <w:t xml:space="preserve"> (</w:t>
            </w:r>
            <w:r>
              <w:rPr>
                <w:rFonts w:ascii="Arial" w:eastAsia="Arial" w:hAnsi="Arial" w:cs="Arial"/>
                <w:sz w:val="24"/>
                <w:szCs w:val="24"/>
              </w:rPr>
              <w:t>5</w:t>
            </w:r>
            <w:r w:rsidRPr="00CB6503">
              <w:rPr>
                <w:rFonts w:ascii="Arial" w:eastAsia="Arial" w:hAnsi="Arial" w:cs="Arial"/>
                <w:sz w:val="24"/>
                <w:szCs w:val="24"/>
              </w:rPr>
              <w:t>) year</w:t>
            </w:r>
            <w:r>
              <w:rPr>
                <w:rFonts w:ascii="Arial" w:eastAsia="Arial" w:hAnsi="Arial" w:cs="Arial"/>
                <w:sz w:val="24"/>
                <w:szCs w:val="24"/>
              </w:rPr>
              <w:t>s</w:t>
            </w:r>
            <w:r w:rsidRPr="00CB6503">
              <w:rPr>
                <w:rFonts w:ascii="Arial" w:eastAsia="Arial" w:hAnsi="Arial" w:cs="Arial"/>
                <w:sz w:val="24"/>
                <w:szCs w:val="24"/>
              </w:rPr>
              <w:t xml:space="preserve"> </w:t>
            </w:r>
          </w:p>
          <w:p w14:paraId="662210DD" w14:textId="77777777" w:rsidR="00CE0708" w:rsidRPr="00CB6503" w:rsidRDefault="00CE0708" w:rsidP="00CE0708">
            <w:pPr>
              <w:spacing w:after="0" w:line="240" w:lineRule="auto"/>
              <w:jc w:val="both"/>
              <w:rPr>
                <w:rFonts w:ascii="Arial" w:eastAsia="Arial" w:hAnsi="Arial" w:cs="Arial"/>
                <w:sz w:val="24"/>
                <w:szCs w:val="24"/>
              </w:rPr>
            </w:pPr>
          </w:p>
          <w:p w14:paraId="41B7F6B9" w14:textId="64B5982A"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ECIC will renew the licenses on a yearly basis for the duration the contract with the appointed bidder.</w:t>
            </w:r>
          </w:p>
          <w:p w14:paraId="29155555" w14:textId="0F1FBB65" w:rsidR="00CE0708" w:rsidRPr="00CB6503" w:rsidRDefault="00CE0708" w:rsidP="00CE0708">
            <w:pPr>
              <w:spacing w:after="0" w:line="240" w:lineRule="auto"/>
              <w:jc w:val="both"/>
              <w:rPr>
                <w:rFonts w:ascii="Arial" w:eastAsia="Arial" w:hAnsi="Arial" w:cs="Arial"/>
                <w:sz w:val="24"/>
                <w:szCs w:val="24"/>
                <w:lang w:val="en-ZA"/>
              </w:rPr>
            </w:pPr>
          </w:p>
        </w:tc>
        <w:tc>
          <w:tcPr>
            <w:tcW w:w="1275" w:type="dxa"/>
            <w:shd w:val="clear" w:color="auto" w:fill="002060"/>
            <w:vAlign w:val="center"/>
          </w:tcPr>
          <w:p w14:paraId="30B9A81E" w14:textId="11518B9B"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b/>
                <w:bCs/>
                <w:sz w:val="24"/>
                <w:szCs w:val="24"/>
                <w:lang w:val="en-ZA"/>
              </w:rPr>
              <w:t>Period</w:t>
            </w:r>
          </w:p>
        </w:tc>
        <w:tc>
          <w:tcPr>
            <w:tcW w:w="1276" w:type="dxa"/>
            <w:shd w:val="clear" w:color="auto" w:fill="002060"/>
            <w:vAlign w:val="center"/>
          </w:tcPr>
          <w:p w14:paraId="7243A398" w14:textId="0065849E" w:rsidR="00CE0708" w:rsidRPr="00CB6503" w:rsidRDefault="00CE0708" w:rsidP="00CE0708">
            <w:pPr>
              <w:spacing w:after="0" w:line="240" w:lineRule="auto"/>
              <w:jc w:val="right"/>
              <w:rPr>
                <w:rFonts w:ascii="Arial" w:eastAsia="Arial" w:hAnsi="Arial" w:cs="Arial"/>
                <w:sz w:val="24"/>
                <w:szCs w:val="24"/>
                <w:lang w:val="en-ZA"/>
              </w:rPr>
            </w:pPr>
            <w:r w:rsidRPr="00CB6503">
              <w:rPr>
                <w:rFonts w:ascii="Arial" w:eastAsia="Arial" w:hAnsi="Arial" w:cs="Arial"/>
                <w:b/>
                <w:bCs/>
                <w:sz w:val="24"/>
                <w:szCs w:val="24"/>
                <w:lang w:val="en-ZA"/>
              </w:rPr>
              <w:t>Amount</w:t>
            </w:r>
          </w:p>
        </w:tc>
        <w:tc>
          <w:tcPr>
            <w:tcW w:w="1418" w:type="dxa"/>
            <w:vMerge w:val="restart"/>
            <w:shd w:val="clear" w:color="auto" w:fill="auto"/>
            <w:vAlign w:val="center"/>
          </w:tcPr>
          <w:p w14:paraId="32775D58" w14:textId="5458EB31"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3BDA3F8D" w14:textId="77777777" w:rsidTr="00EC2A4C">
        <w:trPr>
          <w:trHeight w:val="300"/>
        </w:trPr>
        <w:tc>
          <w:tcPr>
            <w:tcW w:w="5529" w:type="dxa"/>
            <w:gridSpan w:val="2"/>
            <w:vMerge/>
            <w:shd w:val="clear" w:color="auto" w:fill="auto"/>
            <w:vAlign w:val="center"/>
          </w:tcPr>
          <w:p w14:paraId="467A5612"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5E44BB9E" w14:textId="519D4391"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Year 1</w:t>
            </w:r>
          </w:p>
        </w:tc>
        <w:tc>
          <w:tcPr>
            <w:tcW w:w="1276" w:type="dxa"/>
            <w:shd w:val="clear" w:color="auto" w:fill="auto"/>
            <w:vAlign w:val="center"/>
          </w:tcPr>
          <w:p w14:paraId="0DDE7664"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2A709393"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3F507344" w14:textId="77777777" w:rsidTr="00EC2A4C">
        <w:trPr>
          <w:trHeight w:val="375"/>
        </w:trPr>
        <w:tc>
          <w:tcPr>
            <w:tcW w:w="5529" w:type="dxa"/>
            <w:gridSpan w:val="2"/>
            <w:vMerge/>
            <w:shd w:val="clear" w:color="auto" w:fill="auto"/>
            <w:vAlign w:val="center"/>
          </w:tcPr>
          <w:p w14:paraId="538C11A4"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3F8DA49C" w14:textId="1935E4ED"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2</w:t>
            </w:r>
          </w:p>
        </w:tc>
        <w:tc>
          <w:tcPr>
            <w:tcW w:w="1276" w:type="dxa"/>
            <w:shd w:val="clear" w:color="auto" w:fill="auto"/>
            <w:vAlign w:val="center"/>
          </w:tcPr>
          <w:p w14:paraId="37F0BAF5"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29410B04"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2BFFA7E0" w14:textId="77777777" w:rsidTr="00EC2A4C">
        <w:trPr>
          <w:trHeight w:val="390"/>
        </w:trPr>
        <w:tc>
          <w:tcPr>
            <w:tcW w:w="5529" w:type="dxa"/>
            <w:gridSpan w:val="2"/>
            <w:vMerge/>
            <w:shd w:val="clear" w:color="auto" w:fill="auto"/>
            <w:vAlign w:val="center"/>
          </w:tcPr>
          <w:p w14:paraId="56E14844"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1B9E4713" w14:textId="439C1264"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3</w:t>
            </w:r>
          </w:p>
        </w:tc>
        <w:tc>
          <w:tcPr>
            <w:tcW w:w="1276" w:type="dxa"/>
            <w:shd w:val="clear" w:color="auto" w:fill="auto"/>
            <w:vAlign w:val="center"/>
          </w:tcPr>
          <w:p w14:paraId="22196CBC"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446D310D"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632C4864" w14:textId="77777777" w:rsidTr="00EC2A4C">
        <w:trPr>
          <w:trHeight w:val="255"/>
        </w:trPr>
        <w:tc>
          <w:tcPr>
            <w:tcW w:w="5529" w:type="dxa"/>
            <w:gridSpan w:val="2"/>
            <w:vMerge/>
            <w:shd w:val="clear" w:color="auto" w:fill="auto"/>
            <w:vAlign w:val="center"/>
          </w:tcPr>
          <w:p w14:paraId="2D4D14FC"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012AD673" w14:textId="557A6C4E"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4</w:t>
            </w:r>
          </w:p>
        </w:tc>
        <w:tc>
          <w:tcPr>
            <w:tcW w:w="1276" w:type="dxa"/>
            <w:shd w:val="clear" w:color="auto" w:fill="auto"/>
            <w:vAlign w:val="center"/>
          </w:tcPr>
          <w:p w14:paraId="6371B784"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1C9A3692"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CE0708" w:rsidRPr="00CB6503" w14:paraId="21BC2439" w14:textId="77777777" w:rsidTr="00EC2A4C">
        <w:trPr>
          <w:trHeight w:val="270"/>
        </w:trPr>
        <w:tc>
          <w:tcPr>
            <w:tcW w:w="5529" w:type="dxa"/>
            <w:gridSpan w:val="2"/>
            <w:vMerge/>
            <w:shd w:val="clear" w:color="auto" w:fill="auto"/>
            <w:vAlign w:val="center"/>
          </w:tcPr>
          <w:p w14:paraId="69633F2B" w14:textId="77777777" w:rsidR="00CE0708" w:rsidRPr="00CB6503" w:rsidRDefault="00CE0708"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1F7B520E" w14:textId="5499CE57" w:rsidR="00CE0708" w:rsidRPr="00CB6503" w:rsidRDefault="00CE0708"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Year 5</w:t>
            </w:r>
          </w:p>
        </w:tc>
        <w:tc>
          <w:tcPr>
            <w:tcW w:w="1276" w:type="dxa"/>
            <w:shd w:val="clear" w:color="auto" w:fill="auto"/>
            <w:vAlign w:val="center"/>
          </w:tcPr>
          <w:p w14:paraId="5907991C" w14:textId="77777777" w:rsidR="00CE0708" w:rsidRPr="00CB6503" w:rsidRDefault="00CE0708"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13899F97" w14:textId="77777777" w:rsidR="00CE0708" w:rsidRPr="00CB6503" w:rsidRDefault="00CE0708" w:rsidP="00CE0708">
            <w:pPr>
              <w:spacing w:after="0" w:line="240" w:lineRule="auto"/>
              <w:jc w:val="right"/>
              <w:rPr>
                <w:rFonts w:ascii="Arial" w:eastAsia="Arial" w:hAnsi="Arial" w:cs="Arial"/>
                <w:b/>
                <w:bCs/>
                <w:sz w:val="24"/>
                <w:szCs w:val="24"/>
                <w:lang w:val="en-ZA"/>
              </w:rPr>
            </w:pPr>
          </w:p>
        </w:tc>
      </w:tr>
      <w:tr w:rsidR="00A2436B" w:rsidRPr="00CB6503" w14:paraId="0A3EAFD7" w14:textId="047A28B1" w:rsidTr="00CE0708">
        <w:trPr>
          <w:trHeight w:val="666"/>
        </w:trPr>
        <w:tc>
          <w:tcPr>
            <w:tcW w:w="8080" w:type="dxa"/>
            <w:gridSpan w:val="4"/>
            <w:shd w:val="clear" w:color="auto" w:fill="auto"/>
            <w:vAlign w:val="center"/>
          </w:tcPr>
          <w:p w14:paraId="40D5E2B7" w14:textId="7839C7EF" w:rsidR="00A2436B" w:rsidRPr="00CB6503" w:rsidRDefault="00A2436B"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rPr>
              <w:t>Implementation cost (configuration/development, historical data migration, testing, deployment, and training)</w:t>
            </w:r>
            <w:r w:rsidR="00F501C3" w:rsidRPr="00CB6503">
              <w:rPr>
                <w:rFonts w:ascii="Arial" w:eastAsia="Arial" w:hAnsi="Arial" w:cs="Arial"/>
                <w:sz w:val="24"/>
                <w:szCs w:val="24"/>
              </w:rPr>
              <w:t xml:space="preserve"> </w:t>
            </w:r>
            <w:r w:rsidR="00F501C3" w:rsidRPr="00CB6503">
              <w:rPr>
                <w:rFonts w:ascii="Arial" w:eastAsia="Arial" w:hAnsi="Arial" w:cs="Arial"/>
                <w:b/>
                <w:bCs/>
                <w:sz w:val="24"/>
                <w:szCs w:val="24"/>
              </w:rPr>
              <w:t>(once off)</w:t>
            </w:r>
          </w:p>
        </w:tc>
        <w:tc>
          <w:tcPr>
            <w:tcW w:w="1418" w:type="dxa"/>
            <w:shd w:val="clear" w:color="auto" w:fill="auto"/>
            <w:vAlign w:val="center"/>
          </w:tcPr>
          <w:p w14:paraId="68676C75" w14:textId="57EC50B1" w:rsidR="00A2436B" w:rsidRPr="00CB6503" w:rsidRDefault="00A2436B" w:rsidP="00C271EA">
            <w:pPr>
              <w:spacing w:after="0" w:line="240" w:lineRule="auto"/>
              <w:jc w:val="right"/>
              <w:rPr>
                <w:rFonts w:ascii="Arial" w:eastAsia="Arial" w:hAnsi="Arial" w:cs="Arial"/>
                <w:b/>
                <w:bCs/>
                <w:sz w:val="24"/>
                <w:szCs w:val="24"/>
                <w:lang w:val="en-ZA"/>
              </w:rPr>
            </w:pPr>
          </w:p>
        </w:tc>
      </w:tr>
      <w:tr w:rsidR="009046D1" w:rsidRPr="00CB6503" w14:paraId="35B59166" w14:textId="77E60F28" w:rsidTr="00EC2A4C">
        <w:trPr>
          <w:trHeight w:val="111"/>
        </w:trPr>
        <w:tc>
          <w:tcPr>
            <w:tcW w:w="5529" w:type="dxa"/>
            <w:gridSpan w:val="2"/>
            <w:vMerge w:val="restart"/>
            <w:shd w:val="clear" w:color="auto" w:fill="auto"/>
            <w:vAlign w:val="center"/>
          </w:tcPr>
          <w:p w14:paraId="38A25726" w14:textId="77777777" w:rsidR="00421311" w:rsidRDefault="00421311"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 xml:space="preserve">Support and maintenance for a period of five (5) year after implementation </w:t>
            </w:r>
          </w:p>
          <w:p w14:paraId="6DBF27E5" w14:textId="77777777" w:rsidR="00224A80" w:rsidRDefault="00224A80" w:rsidP="00CE0708">
            <w:pPr>
              <w:spacing w:after="0" w:line="240" w:lineRule="auto"/>
              <w:jc w:val="both"/>
              <w:rPr>
                <w:rFonts w:ascii="Arial" w:eastAsia="Arial" w:hAnsi="Arial" w:cs="Arial"/>
                <w:sz w:val="24"/>
                <w:szCs w:val="24"/>
              </w:rPr>
            </w:pPr>
          </w:p>
          <w:p w14:paraId="1C88C8CA" w14:textId="24AC792E" w:rsidR="00224A80" w:rsidRPr="00CB6503" w:rsidRDefault="00E31241" w:rsidP="00CE0708">
            <w:pPr>
              <w:spacing w:after="0" w:line="240" w:lineRule="auto"/>
              <w:jc w:val="both"/>
              <w:rPr>
                <w:rFonts w:ascii="Arial" w:eastAsia="Arial" w:hAnsi="Arial" w:cs="Arial"/>
                <w:sz w:val="24"/>
                <w:szCs w:val="24"/>
                <w:lang w:val="en-ZA"/>
              </w:rPr>
            </w:pPr>
            <w:r w:rsidRPr="00E31241">
              <w:rPr>
                <w:rFonts w:ascii="Arial" w:eastAsia="Arial" w:hAnsi="Arial" w:cs="Arial"/>
                <w:sz w:val="24"/>
                <w:szCs w:val="24"/>
                <w:lang w:val="en-ZA"/>
              </w:rPr>
              <w:t>ECIC will renew the support and maintenance on a yearly basis for the duration the contract with the appointed bidder.</w:t>
            </w:r>
          </w:p>
        </w:tc>
        <w:tc>
          <w:tcPr>
            <w:tcW w:w="1275" w:type="dxa"/>
            <w:shd w:val="clear" w:color="auto" w:fill="002060"/>
            <w:vAlign w:val="center"/>
          </w:tcPr>
          <w:p w14:paraId="47714F3F" w14:textId="374292C8" w:rsidR="00421311" w:rsidRPr="00CB6503" w:rsidRDefault="00BE0D52"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Period</w:t>
            </w:r>
          </w:p>
        </w:tc>
        <w:tc>
          <w:tcPr>
            <w:tcW w:w="1276" w:type="dxa"/>
            <w:shd w:val="clear" w:color="auto" w:fill="002060"/>
            <w:vAlign w:val="center"/>
          </w:tcPr>
          <w:p w14:paraId="08138BF5" w14:textId="233C863C" w:rsidR="00421311" w:rsidRPr="00CB6503" w:rsidRDefault="00BE0D52" w:rsidP="00CE0708">
            <w:pPr>
              <w:spacing w:after="0" w:line="240" w:lineRule="auto"/>
              <w:jc w:val="right"/>
              <w:rPr>
                <w:rFonts w:ascii="Arial" w:eastAsia="Arial" w:hAnsi="Arial" w:cs="Arial"/>
                <w:b/>
                <w:bCs/>
                <w:sz w:val="24"/>
                <w:szCs w:val="24"/>
                <w:lang w:val="en-ZA"/>
              </w:rPr>
            </w:pPr>
            <w:r w:rsidRPr="00CB6503">
              <w:rPr>
                <w:rFonts w:ascii="Arial" w:eastAsia="Arial" w:hAnsi="Arial" w:cs="Arial"/>
                <w:b/>
                <w:bCs/>
                <w:sz w:val="24"/>
                <w:szCs w:val="24"/>
                <w:lang w:val="en-ZA"/>
              </w:rPr>
              <w:t>Amount</w:t>
            </w:r>
          </w:p>
        </w:tc>
        <w:tc>
          <w:tcPr>
            <w:tcW w:w="1418" w:type="dxa"/>
            <w:vMerge w:val="restart"/>
            <w:shd w:val="clear" w:color="auto" w:fill="auto"/>
            <w:vAlign w:val="center"/>
          </w:tcPr>
          <w:p w14:paraId="468BA9B3" w14:textId="45B9E85A" w:rsidR="00421311" w:rsidRPr="00CB6503" w:rsidRDefault="00421311" w:rsidP="00C271EA">
            <w:pPr>
              <w:spacing w:after="0" w:line="240" w:lineRule="auto"/>
              <w:jc w:val="right"/>
              <w:rPr>
                <w:rFonts w:ascii="Arial" w:eastAsia="Arial" w:hAnsi="Arial" w:cs="Arial"/>
                <w:b/>
                <w:bCs/>
                <w:sz w:val="24"/>
                <w:szCs w:val="24"/>
                <w:lang w:val="en-ZA"/>
              </w:rPr>
            </w:pPr>
          </w:p>
        </w:tc>
      </w:tr>
      <w:tr w:rsidR="00792712" w:rsidRPr="00CB6503" w14:paraId="2FEEADD9" w14:textId="77777777" w:rsidTr="00EC2A4C">
        <w:trPr>
          <w:trHeight w:val="150"/>
        </w:trPr>
        <w:tc>
          <w:tcPr>
            <w:tcW w:w="5529" w:type="dxa"/>
            <w:gridSpan w:val="2"/>
            <w:vMerge/>
            <w:shd w:val="clear" w:color="auto" w:fill="auto"/>
            <w:vAlign w:val="center"/>
          </w:tcPr>
          <w:p w14:paraId="64ACD956" w14:textId="77777777" w:rsidR="009010DC" w:rsidRPr="00CB6503" w:rsidRDefault="009010DC"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561A9DD8" w14:textId="769ACDF0" w:rsidR="009010DC" w:rsidRPr="00CB6503" w:rsidRDefault="00BE0D52"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Year 1</w:t>
            </w:r>
          </w:p>
        </w:tc>
        <w:tc>
          <w:tcPr>
            <w:tcW w:w="1276" w:type="dxa"/>
            <w:shd w:val="clear" w:color="auto" w:fill="auto"/>
            <w:vAlign w:val="center"/>
          </w:tcPr>
          <w:p w14:paraId="56264CFF" w14:textId="77777777" w:rsidR="009010DC" w:rsidRPr="00CB6503" w:rsidRDefault="009010DC" w:rsidP="00CE0708">
            <w:pPr>
              <w:spacing w:after="0" w:line="240" w:lineRule="auto"/>
              <w:jc w:val="right"/>
              <w:rPr>
                <w:rFonts w:ascii="Arial" w:eastAsia="Arial" w:hAnsi="Arial" w:cs="Arial"/>
                <w:sz w:val="24"/>
                <w:szCs w:val="24"/>
                <w:lang w:val="en-ZA"/>
              </w:rPr>
            </w:pPr>
          </w:p>
        </w:tc>
        <w:tc>
          <w:tcPr>
            <w:tcW w:w="1418" w:type="dxa"/>
            <w:vMerge/>
            <w:shd w:val="clear" w:color="auto" w:fill="auto"/>
            <w:vAlign w:val="center"/>
          </w:tcPr>
          <w:p w14:paraId="1664B133" w14:textId="77777777" w:rsidR="009010DC" w:rsidRPr="00CB6503" w:rsidRDefault="009010DC" w:rsidP="00C271EA">
            <w:pPr>
              <w:spacing w:after="0" w:line="240" w:lineRule="auto"/>
              <w:jc w:val="right"/>
              <w:rPr>
                <w:rFonts w:ascii="Arial" w:eastAsia="Arial" w:hAnsi="Arial" w:cs="Arial"/>
                <w:b/>
                <w:bCs/>
                <w:sz w:val="24"/>
                <w:szCs w:val="24"/>
                <w:lang w:val="en-ZA"/>
              </w:rPr>
            </w:pPr>
          </w:p>
        </w:tc>
      </w:tr>
      <w:tr w:rsidR="00792712" w:rsidRPr="00CB6503" w14:paraId="79072EAE" w14:textId="77777777" w:rsidTr="00EC2A4C">
        <w:trPr>
          <w:trHeight w:val="111"/>
        </w:trPr>
        <w:tc>
          <w:tcPr>
            <w:tcW w:w="5529" w:type="dxa"/>
            <w:gridSpan w:val="2"/>
            <w:vMerge/>
            <w:shd w:val="clear" w:color="auto" w:fill="auto"/>
            <w:vAlign w:val="center"/>
          </w:tcPr>
          <w:p w14:paraId="5DF50642" w14:textId="77777777" w:rsidR="00421311" w:rsidRPr="00CB6503" w:rsidRDefault="00421311"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3134026A" w14:textId="6195C50F" w:rsidR="00421311" w:rsidRPr="00CB6503" w:rsidRDefault="00421311"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Year 2</w:t>
            </w:r>
          </w:p>
        </w:tc>
        <w:tc>
          <w:tcPr>
            <w:tcW w:w="1276" w:type="dxa"/>
            <w:shd w:val="clear" w:color="auto" w:fill="auto"/>
            <w:vAlign w:val="center"/>
          </w:tcPr>
          <w:p w14:paraId="732DB5A0" w14:textId="77777777" w:rsidR="00421311" w:rsidRPr="00CB6503" w:rsidRDefault="00421311" w:rsidP="00CE0708">
            <w:pPr>
              <w:spacing w:after="0" w:line="240" w:lineRule="auto"/>
              <w:jc w:val="right"/>
              <w:rPr>
                <w:rFonts w:ascii="Arial" w:eastAsia="Arial" w:hAnsi="Arial" w:cs="Arial"/>
                <w:sz w:val="24"/>
                <w:szCs w:val="24"/>
              </w:rPr>
            </w:pPr>
          </w:p>
        </w:tc>
        <w:tc>
          <w:tcPr>
            <w:tcW w:w="1418" w:type="dxa"/>
            <w:vMerge/>
            <w:shd w:val="clear" w:color="auto" w:fill="auto"/>
            <w:vAlign w:val="center"/>
          </w:tcPr>
          <w:p w14:paraId="1BFDF75B" w14:textId="1669C816" w:rsidR="00421311" w:rsidRPr="00CB6503" w:rsidRDefault="00421311" w:rsidP="00C271EA">
            <w:pPr>
              <w:spacing w:after="0" w:line="240" w:lineRule="auto"/>
              <w:jc w:val="right"/>
              <w:rPr>
                <w:rFonts w:ascii="Arial" w:eastAsia="Arial" w:hAnsi="Arial" w:cs="Arial"/>
                <w:b/>
                <w:bCs/>
                <w:sz w:val="24"/>
                <w:szCs w:val="24"/>
                <w:lang w:val="en-ZA"/>
              </w:rPr>
            </w:pPr>
          </w:p>
        </w:tc>
      </w:tr>
      <w:tr w:rsidR="00792712" w:rsidRPr="00CB6503" w14:paraId="7BC4C940" w14:textId="77777777" w:rsidTr="00EC2A4C">
        <w:trPr>
          <w:trHeight w:val="150"/>
        </w:trPr>
        <w:tc>
          <w:tcPr>
            <w:tcW w:w="5529" w:type="dxa"/>
            <w:gridSpan w:val="2"/>
            <w:vMerge/>
            <w:shd w:val="clear" w:color="auto" w:fill="auto"/>
            <w:vAlign w:val="center"/>
          </w:tcPr>
          <w:p w14:paraId="2418DEE9" w14:textId="77777777" w:rsidR="00421311" w:rsidRPr="00CB6503" w:rsidRDefault="00421311"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692C53DA" w14:textId="18F7416B" w:rsidR="00421311" w:rsidRPr="00CB6503" w:rsidRDefault="00421311"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Year 3</w:t>
            </w:r>
          </w:p>
        </w:tc>
        <w:tc>
          <w:tcPr>
            <w:tcW w:w="1276" w:type="dxa"/>
            <w:shd w:val="clear" w:color="auto" w:fill="auto"/>
            <w:vAlign w:val="center"/>
          </w:tcPr>
          <w:p w14:paraId="1B70BED7" w14:textId="77777777" w:rsidR="00421311" w:rsidRPr="00CB6503" w:rsidRDefault="00421311" w:rsidP="00CE0708">
            <w:pPr>
              <w:spacing w:after="0" w:line="240" w:lineRule="auto"/>
              <w:jc w:val="right"/>
              <w:rPr>
                <w:rFonts w:ascii="Arial" w:eastAsia="Arial" w:hAnsi="Arial" w:cs="Arial"/>
                <w:sz w:val="24"/>
                <w:szCs w:val="24"/>
              </w:rPr>
            </w:pPr>
          </w:p>
        </w:tc>
        <w:tc>
          <w:tcPr>
            <w:tcW w:w="1418" w:type="dxa"/>
            <w:vMerge/>
            <w:shd w:val="clear" w:color="auto" w:fill="auto"/>
            <w:vAlign w:val="center"/>
          </w:tcPr>
          <w:p w14:paraId="6499CFC6" w14:textId="0A55DFA0" w:rsidR="00421311" w:rsidRPr="00CB6503" w:rsidRDefault="00421311" w:rsidP="00C271EA">
            <w:pPr>
              <w:spacing w:after="0" w:line="240" w:lineRule="auto"/>
              <w:jc w:val="right"/>
              <w:rPr>
                <w:rFonts w:ascii="Arial" w:eastAsia="Arial" w:hAnsi="Arial" w:cs="Arial"/>
                <w:b/>
                <w:bCs/>
                <w:sz w:val="24"/>
                <w:szCs w:val="24"/>
                <w:lang w:val="en-ZA"/>
              </w:rPr>
            </w:pPr>
          </w:p>
        </w:tc>
      </w:tr>
      <w:tr w:rsidR="00792712" w:rsidRPr="00CB6503" w14:paraId="3A276E48" w14:textId="77777777" w:rsidTr="00EC2A4C">
        <w:trPr>
          <w:trHeight w:val="126"/>
        </w:trPr>
        <w:tc>
          <w:tcPr>
            <w:tcW w:w="5529" w:type="dxa"/>
            <w:gridSpan w:val="2"/>
            <w:vMerge/>
            <w:shd w:val="clear" w:color="auto" w:fill="auto"/>
            <w:vAlign w:val="center"/>
          </w:tcPr>
          <w:p w14:paraId="1FFFDC48" w14:textId="77777777" w:rsidR="00421311" w:rsidRPr="00CB6503" w:rsidRDefault="00421311"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35B27BFE" w14:textId="79085676" w:rsidR="00421311" w:rsidRPr="00CB6503" w:rsidRDefault="00421311"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Year 4</w:t>
            </w:r>
          </w:p>
        </w:tc>
        <w:tc>
          <w:tcPr>
            <w:tcW w:w="1276" w:type="dxa"/>
            <w:shd w:val="clear" w:color="auto" w:fill="auto"/>
            <w:vAlign w:val="center"/>
          </w:tcPr>
          <w:p w14:paraId="656852DD" w14:textId="77777777" w:rsidR="00421311" w:rsidRPr="00CB6503" w:rsidRDefault="00421311" w:rsidP="00CE0708">
            <w:pPr>
              <w:spacing w:after="0" w:line="240" w:lineRule="auto"/>
              <w:jc w:val="right"/>
              <w:rPr>
                <w:rFonts w:ascii="Arial" w:eastAsia="Arial" w:hAnsi="Arial" w:cs="Arial"/>
                <w:sz w:val="24"/>
                <w:szCs w:val="24"/>
              </w:rPr>
            </w:pPr>
          </w:p>
        </w:tc>
        <w:tc>
          <w:tcPr>
            <w:tcW w:w="1418" w:type="dxa"/>
            <w:vMerge/>
            <w:shd w:val="clear" w:color="auto" w:fill="auto"/>
            <w:vAlign w:val="center"/>
          </w:tcPr>
          <w:p w14:paraId="1B4B7DD7" w14:textId="0D50876F" w:rsidR="00421311" w:rsidRPr="00CB6503" w:rsidRDefault="00421311" w:rsidP="00C271EA">
            <w:pPr>
              <w:spacing w:after="0" w:line="240" w:lineRule="auto"/>
              <w:jc w:val="right"/>
              <w:rPr>
                <w:rFonts w:ascii="Arial" w:eastAsia="Arial" w:hAnsi="Arial" w:cs="Arial"/>
                <w:b/>
                <w:bCs/>
                <w:sz w:val="24"/>
                <w:szCs w:val="24"/>
                <w:lang w:val="en-ZA"/>
              </w:rPr>
            </w:pPr>
          </w:p>
        </w:tc>
      </w:tr>
      <w:tr w:rsidR="00792712" w:rsidRPr="00CB6503" w14:paraId="0EF4CF83" w14:textId="77777777" w:rsidTr="00EC2A4C">
        <w:trPr>
          <w:trHeight w:val="165"/>
        </w:trPr>
        <w:tc>
          <w:tcPr>
            <w:tcW w:w="5529" w:type="dxa"/>
            <w:gridSpan w:val="2"/>
            <w:vMerge/>
            <w:shd w:val="clear" w:color="auto" w:fill="auto"/>
            <w:vAlign w:val="center"/>
          </w:tcPr>
          <w:p w14:paraId="623E1345" w14:textId="77777777" w:rsidR="00421311" w:rsidRPr="00CB6503" w:rsidRDefault="00421311" w:rsidP="00CE0708">
            <w:pPr>
              <w:spacing w:after="0" w:line="240" w:lineRule="auto"/>
              <w:jc w:val="both"/>
              <w:rPr>
                <w:rFonts w:ascii="Arial" w:eastAsia="Arial" w:hAnsi="Arial" w:cs="Arial"/>
                <w:sz w:val="24"/>
                <w:szCs w:val="24"/>
              </w:rPr>
            </w:pPr>
          </w:p>
        </w:tc>
        <w:tc>
          <w:tcPr>
            <w:tcW w:w="1275" w:type="dxa"/>
            <w:shd w:val="clear" w:color="auto" w:fill="auto"/>
            <w:vAlign w:val="center"/>
          </w:tcPr>
          <w:p w14:paraId="02762758" w14:textId="42ADA0EA" w:rsidR="00421311" w:rsidRPr="00CB6503" w:rsidRDefault="00421311" w:rsidP="00CE0708">
            <w:pPr>
              <w:spacing w:after="0" w:line="240" w:lineRule="auto"/>
              <w:jc w:val="both"/>
              <w:rPr>
                <w:rFonts w:ascii="Arial" w:eastAsia="Arial" w:hAnsi="Arial" w:cs="Arial"/>
                <w:sz w:val="24"/>
                <w:szCs w:val="24"/>
              </w:rPr>
            </w:pPr>
            <w:r w:rsidRPr="00CB6503">
              <w:rPr>
                <w:rFonts w:ascii="Arial" w:eastAsia="Arial" w:hAnsi="Arial" w:cs="Arial"/>
                <w:sz w:val="24"/>
                <w:szCs w:val="24"/>
              </w:rPr>
              <w:t>Year 5</w:t>
            </w:r>
          </w:p>
        </w:tc>
        <w:tc>
          <w:tcPr>
            <w:tcW w:w="1276" w:type="dxa"/>
            <w:shd w:val="clear" w:color="auto" w:fill="auto"/>
            <w:vAlign w:val="center"/>
          </w:tcPr>
          <w:p w14:paraId="5588E9DC" w14:textId="77777777" w:rsidR="00421311" w:rsidRPr="00CB6503" w:rsidRDefault="00421311" w:rsidP="00CE0708">
            <w:pPr>
              <w:spacing w:after="0" w:line="240" w:lineRule="auto"/>
              <w:jc w:val="right"/>
              <w:rPr>
                <w:rFonts w:ascii="Arial" w:eastAsia="Arial" w:hAnsi="Arial" w:cs="Arial"/>
                <w:sz w:val="24"/>
                <w:szCs w:val="24"/>
              </w:rPr>
            </w:pPr>
          </w:p>
        </w:tc>
        <w:tc>
          <w:tcPr>
            <w:tcW w:w="1418" w:type="dxa"/>
            <w:vMerge/>
            <w:shd w:val="clear" w:color="auto" w:fill="auto"/>
            <w:vAlign w:val="center"/>
          </w:tcPr>
          <w:p w14:paraId="09D01651" w14:textId="1A1C94E6" w:rsidR="00421311" w:rsidRPr="00CB6503" w:rsidRDefault="00421311" w:rsidP="00C271EA">
            <w:pPr>
              <w:spacing w:after="0" w:line="240" w:lineRule="auto"/>
              <w:jc w:val="right"/>
              <w:rPr>
                <w:rFonts w:ascii="Arial" w:eastAsia="Arial" w:hAnsi="Arial" w:cs="Arial"/>
                <w:b/>
                <w:bCs/>
                <w:sz w:val="24"/>
                <w:szCs w:val="24"/>
                <w:lang w:val="en-ZA"/>
              </w:rPr>
            </w:pPr>
          </w:p>
        </w:tc>
      </w:tr>
      <w:tr w:rsidR="00A2436B" w:rsidRPr="00CB6503" w14:paraId="6C1E9D56" w14:textId="3C14D183" w:rsidTr="00CE0708">
        <w:trPr>
          <w:trHeight w:val="378"/>
        </w:trPr>
        <w:tc>
          <w:tcPr>
            <w:tcW w:w="8080" w:type="dxa"/>
            <w:gridSpan w:val="4"/>
            <w:shd w:val="clear" w:color="auto" w:fill="auto"/>
            <w:vAlign w:val="center"/>
          </w:tcPr>
          <w:p w14:paraId="083D3B61" w14:textId="5F91E33F"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Sub Total</w:t>
            </w:r>
          </w:p>
        </w:tc>
        <w:tc>
          <w:tcPr>
            <w:tcW w:w="1418" w:type="dxa"/>
            <w:tcBorders>
              <w:bottom w:val="single" w:sz="2" w:space="0" w:color="auto"/>
            </w:tcBorders>
            <w:shd w:val="clear" w:color="auto" w:fill="auto"/>
            <w:vAlign w:val="center"/>
          </w:tcPr>
          <w:p w14:paraId="301BA3C6" w14:textId="0BE34296"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500D990D" w14:textId="7AD86A69" w:rsidTr="00CE0708">
        <w:trPr>
          <w:trHeight w:val="378"/>
        </w:trPr>
        <w:tc>
          <w:tcPr>
            <w:tcW w:w="4191" w:type="dxa"/>
            <w:vMerge w:val="restart"/>
            <w:tcBorders>
              <w:right w:val="single" w:sz="2" w:space="0" w:color="auto"/>
            </w:tcBorders>
            <w:shd w:val="clear" w:color="auto" w:fill="auto"/>
            <w:vAlign w:val="center"/>
          </w:tcPr>
          <w:p w14:paraId="42A36CB4" w14:textId="77777777" w:rsidR="00A2436B" w:rsidRPr="00CB6503" w:rsidRDefault="00A2436B" w:rsidP="00CE0708">
            <w:pPr>
              <w:spacing w:after="0" w:line="240" w:lineRule="auto"/>
              <w:jc w:val="both"/>
              <w:rPr>
                <w:rFonts w:ascii="Arial" w:eastAsia="Arial" w:hAnsi="Arial" w:cs="Arial"/>
                <w:sz w:val="24"/>
                <w:szCs w:val="24"/>
                <w:lang w:val="en-ZA"/>
              </w:rPr>
            </w:pPr>
            <w:r w:rsidRPr="00CB6503">
              <w:rPr>
                <w:rFonts w:ascii="Arial" w:eastAsia="Arial" w:hAnsi="Arial" w:cs="Arial"/>
                <w:sz w:val="24"/>
                <w:szCs w:val="24"/>
                <w:lang w:val="en-ZA"/>
              </w:rPr>
              <w:t>Any other costs not included above</w:t>
            </w:r>
          </w:p>
        </w:tc>
        <w:tc>
          <w:tcPr>
            <w:tcW w:w="3889" w:type="dxa"/>
            <w:gridSpan w:val="3"/>
            <w:tcBorders>
              <w:left w:val="single" w:sz="2" w:space="0" w:color="auto"/>
              <w:bottom w:val="single" w:sz="2" w:space="0" w:color="auto"/>
            </w:tcBorders>
            <w:shd w:val="clear" w:color="auto" w:fill="auto"/>
            <w:vAlign w:val="center"/>
          </w:tcPr>
          <w:p w14:paraId="128E01AC"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6CE2D383" w14:textId="6D1503CF"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3925C04D" w14:textId="211BF3C2" w:rsidTr="00CE0708">
        <w:trPr>
          <w:trHeight w:val="378"/>
        </w:trPr>
        <w:tc>
          <w:tcPr>
            <w:tcW w:w="4191" w:type="dxa"/>
            <w:vMerge/>
            <w:vAlign w:val="center"/>
          </w:tcPr>
          <w:p w14:paraId="34B55F2B"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3889" w:type="dxa"/>
            <w:gridSpan w:val="3"/>
            <w:tcBorders>
              <w:top w:val="single" w:sz="2" w:space="0" w:color="auto"/>
              <w:left w:val="single" w:sz="2" w:space="0" w:color="auto"/>
              <w:bottom w:val="single" w:sz="2" w:space="0" w:color="auto"/>
            </w:tcBorders>
            <w:shd w:val="clear" w:color="auto" w:fill="auto"/>
            <w:vAlign w:val="center"/>
          </w:tcPr>
          <w:p w14:paraId="2D10BE21"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765AB2BB" w14:textId="657A0CAE"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1FE4620D" w14:textId="0499B0A1" w:rsidTr="00CE0708">
        <w:trPr>
          <w:trHeight w:val="378"/>
        </w:trPr>
        <w:tc>
          <w:tcPr>
            <w:tcW w:w="4191" w:type="dxa"/>
            <w:vMerge/>
            <w:vAlign w:val="center"/>
          </w:tcPr>
          <w:p w14:paraId="784F1D37"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3889" w:type="dxa"/>
            <w:gridSpan w:val="3"/>
            <w:tcBorders>
              <w:top w:val="single" w:sz="2" w:space="0" w:color="auto"/>
              <w:left w:val="single" w:sz="2" w:space="0" w:color="auto"/>
              <w:bottom w:val="single" w:sz="2" w:space="0" w:color="auto"/>
            </w:tcBorders>
            <w:shd w:val="clear" w:color="auto" w:fill="auto"/>
            <w:vAlign w:val="center"/>
          </w:tcPr>
          <w:p w14:paraId="0E20BF9E"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1963D4F6" w14:textId="263C5ED9"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2409A695" w14:textId="1158B8CF" w:rsidTr="00CE0708">
        <w:trPr>
          <w:trHeight w:val="378"/>
        </w:trPr>
        <w:tc>
          <w:tcPr>
            <w:tcW w:w="4191" w:type="dxa"/>
            <w:vMerge/>
            <w:tcBorders>
              <w:bottom w:val="single" w:sz="4" w:space="0" w:color="auto"/>
            </w:tcBorders>
            <w:vAlign w:val="center"/>
          </w:tcPr>
          <w:p w14:paraId="17924C57"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3889" w:type="dxa"/>
            <w:gridSpan w:val="3"/>
            <w:tcBorders>
              <w:top w:val="single" w:sz="2" w:space="0" w:color="auto"/>
              <w:left w:val="single" w:sz="2" w:space="0" w:color="auto"/>
              <w:bottom w:val="single" w:sz="4" w:space="0" w:color="auto"/>
            </w:tcBorders>
            <w:shd w:val="clear" w:color="auto" w:fill="auto"/>
            <w:vAlign w:val="center"/>
          </w:tcPr>
          <w:p w14:paraId="6287613F" w14:textId="77777777" w:rsidR="00A2436B" w:rsidRPr="00CB6503" w:rsidRDefault="00A2436B" w:rsidP="00CE0708">
            <w:pPr>
              <w:spacing w:after="0" w:line="240" w:lineRule="auto"/>
              <w:jc w:val="both"/>
              <w:rPr>
                <w:rFonts w:ascii="Arial" w:eastAsia="Arial" w:hAnsi="Arial" w:cs="Arial"/>
                <w:sz w:val="24"/>
                <w:szCs w:val="24"/>
                <w:lang w:val="en-ZA"/>
              </w:rPr>
            </w:pPr>
          </w:p>
        </w:tc>
        <w:tc>
          <w:tcPr>
            <w:tcW w:w="1418" w:type="dxa"/>
            <w:tcBorders>
              <w:top w:val="single" w:sz="2" w:space="0" w:color="auto"/>
              <w:bottom w:val="single" w:sz="2" w:space="0" w:color="auto"/>
            </w:tcBorders>
            <w:shd w:val="clear" w:color="auto" w:fill="auto"/>
            <w:vAlign w:val="center"/>
          </w:tcPr>
          <w:p w14:paraId="7EAA9E33" w14:textId="259BC2B4"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4ADA10CD" w14:textId="7A13CA7A" w:rsidTr="00CE0708">
        <w:trPr>
          <w:trHeight w:val="350"/>
        </w:trPr>
        <w:tc>
          <w:tcPr>
            <w:tcW w:w="8080" w:type="dxa"/>
            <w:gridSpan w:val="4"/>
            <w:shd w:val="clear" w:color="auto" w:fill="auto"/>
            <w:vAlign w:val="center"/>
          </w:tcPr>
          <w:p w14:paraId="43A871DC" w14:textId="39E1626E"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Total excluding VAT</w:t>
            </w:r>
          </w:p>
        </w:tc>
        <w:tc>
          <w:tcPr>
            <w:tcW w:w="1418" w:type="dxa"/>
            <w:tcBorders>
              <w:top w:val="single" w:sz="18" w:space="0" w:color="auto"/>
            </w:tcBorders>
            <w:shd w:val="clear" w:color="auto" w:fill="auto"/>
            <w:vAlign w:val="center"/>
          </w:tcPr>
          <w:p w14:paraId="053475BB" w14:textId="52D93233"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710CD9DF" w14:textId="41E36AF5" w:rsidTr="00CE0708">
        <w:trPr>
          <w:trHeight w:val="457"/>
        </w:trPr>
        <w:tc>
          <w:tcPr>
            <w:tcW w:w="8080" w:type="dxa"/>
            <w:gridSpan w:val="4"/>
            <w:tcBorders>
              <w:bottom w:val="single" w:sz="4" w:space="0" w:color="auto"/>
            </w:tcBorders>
            <w:shd w:val="clear" w:color="auto" w:fill="auto"/>
            <w:vAlign w:val="center"/>
          </w:tcPr>
          <w:p w14:paraId="11B0A95B" w14:textId="2986C766"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Value Added Tax (at 15%), where applicable</w:t>
            </w:r>
          </w:p>
        </w:tc>
        <w:tc>
          <w:tcPr>
            <w:tcW w:w="1418" w:type="dxa"/>
            <w:tcBorders>
              <w:bottom w:val="single" w:sz="18" w:space="0" w:color="auto"/>
            </w:tcBorders>
            <w:shd w:val="clear" w:color="auto" w:fill="auto"/>
            <w:vAlign w:val="center"/>
          </w:tcPr>
          <w:p w14:paraId="24070F97" w14:textId="285702D2" w:rsidR="00A2436B" w:rsidRPr="00CB6503" w:rsidRDefault="00A2436B" w:rsidP="00C271EA">
            <w:pPr>
              <w:spacing w:after="0" w:line="240" w:lineRule="auto"/>
              <w:jc w:val="right"/>
              <w:rPr>
                <w:rFonts w:ascii="Arial" w:eastAsia="Arial" w:hAnsi="Arial" w:cs="Arial"/>
                <w:b/>
                <w:bCs/>
                <w:sz w:val="24"/>
                <w:szCs w:val="24"/>
                <w:lang w:val="en-ZA"/>
              </w:rPr>
            </w:pPr>
          </w:p>
        </w:tc>
      </w:tr>
      <w:tr w:rsidR="00A2436B" w:rsidRPr="00CB6503" w14:paraId="5A601D78" w14:textId="21C4B219" w:rsidTr="00CE0708">
        <w:trPr>
          <w:trHeight w:val="346"/>
        </w:trPr>
        <w:tc>
          <w:tcPr>
            <w:tcW w:w="8080" w:type="dxa"/>
            <w:gridSpan w:val="4"/>
            <w:tcBorders>
              <w:left w:val="nil"/>
              <w:bottom w:val="nil"/>
            </w:tcBorders>
            <w:shd w:val="clear" w:color="auto" w:fill="auto"/>
            <w:vAlign w:val="center"/>
          </w:tcPr>
          <w:p w14:paraId="6CFB1DF0" w14:textId="0787BA4B" w:rsidR="00A2436B" w:rsidRPr="00CB6503" w:rsidRDefault="00A2436B" w:rsidP="00CE0708">
            <w:pPr>
              <w:spacing w:after="0" w:line="240" w:lineRule="auto"/>
              <w:jc w:val="both"/>
              <w:rPr>
                <w:rFonts w:ascii="Arial" w:eastAsia="Arial" w:hAnsi="Arial" w:cs="Arial"/>
                <w:b/>
                <w:bCs/>
                <w:sz w:val="24"/>
                <w:szCs w:val="24"/>
                <w:lang w:val="en-ZA"/>
              </w:rPr>
            </w:pPr>
            <w:r w:rsidRPr="00CB6503">
              <w:rPr>
                <w:rFonts w:ascii="Arial" w:eastAsia="Arial" w:hAnsi="Arial" w:cs="Arial"/>
                <w:b/>
                <w:bCs/>
                <w:sz w:val="24"/>
                <w:szCs w:val="24"/>
                <w:lang w:val="en-ZA"/>
              </w:rPr>
              <w:t>Total (including Value Added Tax, where applicable)</w:t>
            </w:r>
          </w:p>
        </w:tc>
        <w:tc>
          <w:tcPr>
            <w:tcW w:w="1418" w:type="dxa"/>
            <w:tcBorders>
              <w:top w:val="single" w:sz="18" w:space="0" w:color="auto"/>
              <w:bottom w:val="double" w:sz="4" w:space="0" w:color="auto"/>
            </w:tcBorders>
            <w:shd w:val="clear" w:color="auto" w:fill="auto"/>
            <w:vAlign w:val="center"/>
          </w:tcPr>
          <w:p w14:paraId="00738588" w14:textId="6A6FD0A5" w:rsidR="00A2436B" w:rsidRPr="00CB6503" w:rsidRDefault="00A2436B" w:rsidP="00C271EA">
            <w:pPr>
              <w:spacing w:after="0" w:line="240" w:lineRule="auto"/>
              <w:jc w:val="right"/>
              <w:rPr>
                <w:rFonts w:ascii="Arial" w:eastAsia="Arial" w:hAnsi="Arial" w:cs="Arial"/>
                <w:b/>
                <w:bCs/>
                <w:sz w:val="24"/>
                <w:szCs w:val="24"/>
                <w:lang w:val="en-ZA"/>
              </w:rPr>
            </w:pPr>
          </w:p>
        </w:tc>
      </w:tr>
    </w:tbl>
    <w:p w14:paraId="34577A3B" w14:textId="77777777" w:rsidR="00CD2794" w:rsidRPr="00CB6503" w:rsidRDefault="00CD2794" w:rsidP="00CB6503">
      <w:pPr>
        <w:pStyle w:val="ListParagraph"/>
        <w:adjustRightInd w:val="0"/>
        <w:spacing w:after="0" w:line="240" w:lineRule="auto"/>
        <w:ind w:left="426"/>
        <w:jc w:val="both"/>
        <w:rPr>
          <w:rFonts w:ascii="Arial" w:eastAsia="Times New Roman" w:hAnsi="Arial" w:cs="Arial"/>
          <w:color w:val="000000"/>
          <w:sz w:val="24"/>
          <w:szCs w:val="24"/>
          <w:lang w:val="en-ZA" w:eastAsia="en-ZA"/>
        </w:rPr>
      </w:pPr>
    </w:p>
    <w:p w14:paraId="1AF90A05" w14:textId="7008CCB6" w:rsidR="00CD2794" w:rsidRPr="00CB6503" w:rsidRDefault="00CD2794" w:rsidP="00CD2794">
      <w:pPr>
        <w:pStyle w:val="ListParagraph"/>
        <w:numPr>
          <w:ilvl w:val="0"/>
          <w:numId w:val="1"/>
        </w:numPr>
        <w:tabs>
          <w:tab w:val="num" w:pos="851"/>
        </w:tabs>
        <w:adjustRightInd w:val="0"/>
        <w:spacing w:after="0" w:line="240" w:lineRule="auto"/>
        <w:ind w:left="426" w:hanging="426"/>
        <w:jc w:val="both"/>
        <w:rPr>
          <w:rFonts w:ascii="Arial" w:hAnsi="Arial" w:cs="Arial"/>
          <w:color w:val="000000"/>
          <w:sz w:val="24"/>
          <w:szCs w:val="24"/>
        </w:rPr>
      </w:pPr>
      <w:r w:rsidRPr="00CB6503">
        <w:rPr>
          <w:rFonts w:ascii="Arial" w:hAnsi="Arial" w:cs="Arial"/>
          <w:color w:val="000000"/>
          <w:sz w:val="24"/>
          <w:szCs w:val="24"/>
        </w:rPr>
        <w:t>Bidders are required to provide their quotation using the example above as a basis. ECIC will not accept any other costing other than the method indicated in the table above.</w:t>
      </w:r>
    </w:p>
    <w:p w14:paraId="5F021A76" w14:textId="77777777" w:rsidR="00CD2794" w:rsidRPr="00CB6503" w:rsidRDefault="00CD2794" w:rsidP="00CB6503">
      <w:pPr>
        <w:pStyle w:val="ListParagraph"/>
        <w:adjustRightInd w:val="0"/>
        <w:spacing w:after="0" w:line="240" w:lineRule="auto"/>
        <w:ind w:left="426"/>
        <w:jc w:val="both"/>
        <w:rPr>
          <w:rFonts w:ascii="Arial" w:hAnsi="Arial" w:cs="Arial"/>
          <w:color w:val="000000"/>
          <w:sz w:val="24"/>
          <w:szCs w:val="24"/>
        </w:rPr>
      </w:pPr>
    </w:p>
    <w:p w14:paraId="11842E6E" w14:textId="7A69B6E8" w:rsidR="00017058" w:rsidRPr="00CB6503" w:rsidRDefault="00CD2794" w:rsidP="00800188">
      <w:pPr>
        <w:pStyle w:val="ListParagraph"/>
        <w:numPr>
          <w:ilvl w:val="0"/>
          <w:numId w:val="1"/>
        </w:numPr>
        <w:tabs>
          <w:tab w:val="num" w:pos="851"/>
        </w:tabs>
        <w:adjustRightInd w:val="0"/>
        <w:spacing w:after="0" w:line="240" w:lineRule="auto"/>
        <w:ind w:left="426" w:hanging="426"/>
        <w:jc w:val="both"/>
        <w:rPr>
          <w:rFonts w:ascii="Arial" w:hAnsi="Arial" w:cs="Arial"/>
          <w:sz w:val="24"/>
          <w:szCs w:val="24"/>
        </w:rPr>
      </w:pPr>
      <w:r w:rsidRPr="00CB6503">
        <w:rPr>
          <w:rFonts w:ascii="Arial" w:hAnsi="Arial" w:cs="Arial"/>
          <w:color w:val="000000"/>
          <w:sz w:val="24"/>
          <w:szCs w:val="24"/>
        </w:rPr>
        <w:t>The quotation must be on the letterhead of the bidder.</w:t>
      </w:r>
    </w:p>
    <w:p w14:paraId="6A56D87C" w14:textId="77777777" w:rsidR="00755583" w:rsidRPr="00CB6503" w:rsidRDefault="00755583" w:rsidP="00CB6503">
      <w:pPr>
        <w:pStyle w:val="ListParagraph"/>
        <w:adjustRightInd w:val="0"/>
        <w:spacing w:after="0" w:line="240" w:lineRule="auto"/>
        <w:ind w:left="426"/>
        <w:jc w:val="both"/>
        <w:rPr>
          <w:rFonts w:ascii="Arial" w:hAnsi="Arial" w:cs="Arial"/>
          <w:sz w:val="24"/>
          <w:szCs w:val="24"/>
        </w:rPr>
      </w:pPr>
    </w:p>
    <w:p w14:paraId="46612ABA" w14:textId="14C00DCF" w:rsidR="00755583" w:rsidRPr="00EC2A4C" w:rsidRDefault="00E31241" w:rsidP="00E31241">
      <w:pPr>
        <w:pStyle w:val="ListParagraph"/>
        <w:numPr>
          <w:ilvl w:val="0"/>
          <w:numId w:val="1"/>
        </w:numPr>
        <w:tabs>
          <w:tab w:val="num" w:pos="851"/>
        </w:tabs>
        <w:adjustRightInd w:val="0"/>
        <w:spacing w:after="0" w:line="240" w:lineRule="auto"/>
        <w:ind w:left="426" w:hanging="426"/>
        <w:jc w:val="both"/>
        <w:rPr>
          <w:rFonts w:ascii="Arial" w:hAnsi="Arial" w:cs="Arial"/>
          <w:sz w:val="24"/>
          <w:szCs w:val="24"/>
        </w:rPr>
      </w:pPr>
      <w:r>
        <w:rPr>
          <w:rFonts w:ascii="Arial" w:eastAsia="Arial" w:hAnsi="Arial" w:cs="Arial"/>
          <w:sz w:val="24"/>
          <w:szCs w:val="24"/>
          <w:lang w:val="en-ZA"/>
        </w:rPr>
        <w:t xml:space="preserve">Bidders must indicate the currency they are </w:t>
      </w:r>
      <w:r w:rsidR="009D02E8">
        <w:rPr>
          <w:rFonts w:ascii="Arial" w:eastAsia="Arial" w:hAnsi="Arial" w:cs="Arial"/>
          <w:sz w:val="24"/>
          <w:szCs w:val="24"/>
          <w:lang w:val="en-ZA"/>
        </w:rPr>
        <w:t>quoting on.</w:t>
      </w:r>
    </w:p>
    <w:p w14:paraId="4D30975F" w14:textId="77777777" w:rsidR="00EC2A4C" w:rsidRPr="00EC2A4C" w:rsidRDefault="00EC2A4C" w:rsidP="00EC2A4C">
      <w:pPr>
        <w:pStyle w:val="ListParagraph"/>
        <w:adjustRightInd w:val="0"/>
        <w:spacing w:after="0" w:line="240" w:lineRule="auto"/>
        <w:ind w:left="426"/>
        <w:jc w:val="both"/>
        <w:rPr>
          <w:rFonts w:ascii="Arial" w:hAnsi="Arial" w:cs="Arial"/>
          <w:sz w:val="24"/>
          <w:szCs w:val="24"/>
        </w:rPr>
      </w:pPr>
    </w:p>
    <w:p w14:paraId="1DD69C22" w14:textId="20A3CFEF" w:rsidR="00EC2A4C" w:rsidRPr="00EC2A4C" w:rsidRDefault="00EC2A4C" w:rsidP="00EC2A4C">
      <w:pPr>
        <w:pStyle w:val="ListParagraph"/>
        <w:numPr>
          <w:ilvl w:val="0"/>
          <w:numId w:val="1"/>
        </w:numPr>
        <w:tabs>
          <w:tab w:val="num" w:pos="426"/>
        </w:tabs>
        <w:adjustRightInd w:val="0"/>
        <w:spacing w:after="0" w:line="240" w:lineRule="auto"/>
        <w:ind w:left="426" w:hanging="426"/>
        <w:jc w:val="both"/>
        <w:rPr>
          <w:rFonts w:ascii="Arial" w:eastAsia="Calibri" w:hAnsi="Arial" w:cs="Arial"/>
          <w:sz w:val="24"/>
          <w:szCs w:val="24"/>
        </w:rPr>
      </w:pPr>
      <w:r w:rsidRPr="00FF4738">
        <w:rPr>
          <w:rFonts w:ascii="Arial" w:eastAsia="Calibri" w:hAnsi="Arial" w:cs="Arial"/>
          <w:sz w:val="24"/>
          <w:szCs w:val="24"/>
        </w:rPr>
        <w:t xml:space="preserve">In the event that bidder ‘s proposal is in </w:t>
      </w:r>
      <w:r w:rsidR="00CF0A56">
        <w:rPr>
          <w:rStyle w:val="FootnoteReference"/>
          <w:rFonts w:ascii="Arial" w:eastAsia="Calibri" w:hAnsi="Arial" w:cs="Arial"/>
          <w:sz w:val="24"/>
          <w:szCs w:val="24"/>
        </w:rPr>
        <w:footnoteReference w:id="2"/>
      </w:r>
      <w:r w:rsidRPr="00FF4738">
        <w:rPr>
          <w:rFonts w:ascii="Arial" w:eastAsia="Calibri" w:hAnsi="Arial" w:cs="Arial"/>
          <w:sz w:val="24"/>
          <w:szCs w:val="24"/>
        </w:rPr>
        <w:t>foreign currency, for evaluation purposes, ECIC will convert the quotation provided to the currency of the Republic of South Africa as at the closing date and time of the bid, using rates published by the South African Reserve Bank. Depending on the proposal of the bidder, ECIC will commit to pay the appointed bidder on South African Rands or United States Dollar for foreign service provider in line with the applicable regulations.</w:t>
      </w:r>
    </w:p>
    <w:sectPr w:rsidR="00EC2A4C" w:rsidRPr="00EC2A4C" w:rsidSect="00CB6503">
      <w:pgSz w:w="11906" w:h="16838"/>
      <w:pgMar w:top="820" w:right="99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2134" w14:textId="77777777" w:rsidR="00490434" w:rsidRDefault="00490434" w:rsidP="00EA52F9">
      <w:pPr>
        <w:spacing w:after="0" w:line="240" w:lineRule="auto"/>
      </w:pPr>
      <w:r>
        <w:separator/>
      </w:r>
    </w:p>
  </w:endnote>
  <w:endnote w:type="continuationSeparator" w:id="0">
    <w:p w14:paraId="41B594FA" w14:textId="77777777" w:rsidR="00490434" w:rsidRDefault="00490434" w:rsidP="00EA52F9">
      <w:pPr>
        <w:spacing w:after="0" w:line="240" w:lineRule="auto"/>
      </w:pPr>
      <w:r>
        <w:continuationSeparator/>
      </w:r>
    </w:p>
  </w:endnote>
  <w:endnote w:type="continuationNotice" w:id="1">
    <w:p w14:paraId="06EBA004" w14:textId="77777777" w:rsidR="00490434" w:rsidRDefault="00490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C24F" w14:textId="77777777" w:rsidR="00490434" w:rsidRDefault="00490434" w:rsidP="00EA52F9">
      <w:pPr>
        <w:spacing w:after="0" w:line="240" w:lineRule="auto"/>
      </w:pPr>
      <w:r>
        <w:separator/>
      </w:r>
    </w:p>
  </w:footnote>
  <w:footnote w:type="continuationSeparator" w:id="0">
    <w:p w14:paraId="769F5940" w14:textId="77777777" w:rsidR="00490434" w:rsidRDefault="00490434" w:rsidP="00EA52F9">
      <w:pPr>
        <w:spacing w:after="0" w:line="240" w:lineRule="auto"/>
      </w:pPr>
      <w:r>
        <w:continuationSeparator/>
      </w:r>
    </w:p>
  </w:footnote>
  <w:footnote w:type="continuationNotice" w:id="1">
    <w:p w14:paraId="79F9A232" w14:textId="77777777" w:rsidR="00490434" w:rsidRDefault="00490434">
      <w:pPr>
        <w:spacing w:after="0" w:line="240" w:lineRule="auto"/>
      </w:pPr>
    </w:p>
  </w:footnote>
  <w:footnote w:id="2">
    <w:p w14:paraId="476CB966" w14:textId="3750BDC8" w:rsidR="00CF0A56" w:rsidRPr="00CF0A56" w:rsidRDefault="00CF0A56">
      <w:pPr>
        <w:pStyle w:val="FootnoteText"/>
        <w:rPr>
          <w:lang w:val="en-ZA"/>
        </w:rPr>
      </w:pPr>
      <w:r>
        <w:rPr>
          <w:rStyle w:val="FootnoteReference"/>
        </w:rPr>
        <w:footnoteRef/>
      </w:r>
      <w:r>
        <w:t xml:space="preserve"> Any currency other than South African Rand (ZAR).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2508B"/>
    <w:multiLevelType w:val="hybridMultilevel"/>
    <w:tmpl w:val="F3C8D7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E9F22B9"/>
    <w:multiLevelType w:val="multilevel"/>
    <w:tmpl w:val="DB669A4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84092218">
    <w:abstractNumId w:val="0"/>
  </w:num>
  <w:num w:numId="2" w16cid:durableId="162839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EA"/>
    <w:rsid w:val="00002940"/>
    <w:rsid w:val="00007831"/>
    <w:rsid w:val="00017058"/>
    <w:rsid w:val="00067546"/>
    <w:rsid w:val="00067E98"/>
    <w:rsid w:val="000777B7"/>
    <w:rsid w:val="00112266"/>
    <w:rsid w:val="001B6370"/>
    <w:rsid w:val="00224A80"/>
    <w:rsid w:val="0025481D"/>
    <w:rsid w:val="00295926"/>
    <w:rsid w:val="002D35C4"/>
    <w:rsid w:val="002E72F7"/>
    <w:rsid w:val="00374260"/>
    <w:rsid w:val="00384D2C"/>
    <w:rsid w:val="003A19FB"/>
    <w:rsid w:val="00407D6B"/>
    <w:rsid w:val="00421311"/>
    <w:rsid w:val="00450BDE"/>
    <w:rsid w:val="00490434"/>
    <w:rsid w:val="005203F3"/>
    <w:rsid w:val="00575079"/>
    <w:rsid w:val="0057542B"/>
    <w:rsid w:val="0062795A"/>
    <w:rsid w:val="00640DA0"/>
    <w:rsid w:val="00642869"/>
    <w:rsid w:val="006A3260"/>
    <w:rsid w:val="006B219C"/>
    <w:rsid w:val="00727C91"/>
    <w:rsid w:val="00755583"/>
    <w:rsid w:val="00783805"/>
    <w:rsid w:val="00792712"/>
    <w:rsid w:val="00800188"/>
    <w:rsid w:val="00812FC8"/>
    <w:rsid w:val="0088003F"/>
    <w:rsid w:val="008B3DC4"/>
    <w:rsid w:val="008F2B5F"/>
    <w:rsid w:val="009010DC"/>
    <w:rsid w:val="009046D1"/>
    <w:rsid w:val="00946A76"/>
    <w:rsid w:val="009945E2"/>
    <w:rsid w:val="009B62E5"/>
    <w:rsid w:val="009D02E8"/>
    <w:rsid w:val="00A1132B"/>
    <w:rsid w:val="00A2436B"/>
    <w:rsid w:val="00A468A8"/>
    <w:rsid w:val="00A66F54"/>
    <w:rsid w:val="00A92FA2"/>
    <w:rsid w:val="00AA2A93"/>
    <w:rsid w:val="00AF636F"/>
    <w:rsid w:val="00B1486C"/>
    <w:rsid w:val="00B257A7"/>
    <w:rsid w:val="00B905EF"/>
    <w:rsid w:val="00B90932"/>
    <w:rsid w:val="00BB22CB"/>
    <w:rsid w:val="00BE0D52"/>
    <w:rsid w:val="00C271EA"/>
    <w:rsid w:val="00C55CF3"/>
    <w:rsid w:val="00C71A8B"/>
    <w:rsid w:val="00CB6503"/>
    <w:rsid w:val="00CD2794"/>
    <w:rsid w:val="00CE0708"/>
    <w:rsid w:val="00CF0A56"/>
    <w:rsid w:val="00CF497F"/>
    <w:rsid w:val="00DB36DA"/>
    <w:rsid w:val="00E309B0"/>
    <w:rsid w:val="00E31241"/>
    <w:rsid w:val="00E67201"/>
    <w:rsid w:val="00E82120"/>
    <w:rsid w:val="00E83914"/>
    <w:rsid w:val="00EA52F9"/>
    <w:rsid w:val="00EC2A4C"/>
    <w:rsid w:val="00EE10F9"/>
    <w:rsid w:val="00F16F0A"/>
    <w:rsid w:val="00F24CBD"/>
    <w:rsid w:val="00F501C3"/>
    <w:rsid w:val="00F571EA"/>
    <w:rsid w:val="00FA1CD8"/>
    <w:rsid w:val="00FA66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A32B"/>
  <w15:chartTrackingRefBased/>
  <w15:docId w15:val="{AC70A9BE-2256-40E7-BF0E-1C52C79D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9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CD2794"/>
    <w:pPr>
      <w:ind w:left="720"/>
      <w:contextualSpacing/>
    </w:pPr>
  </w:style>
  <w:style w:type="character" w:styleId="CommentReference">
    <w:name w:val="annotation reference"/>
    <w:basedOn w:val="DefaultParagraphFont"/>
    <w:uiPriority w:val="99"/>
    <w:unhideWhenUsed/>
    <w:rsid w:val="00CD2794"/>
    <w:rPr>
      <w:sz w:val="16"/>
      <w:szCs w:val="16"/>
    </w:rPr>
  </w:style>
  <w:style w:type="paragraph" w:styleId="CommentText">
    <w:name w:val="annotation text"/>
    <w:basedOn w:val="Normal"/>
    <w:link w:val="CommentTextChar"/>
    <w:uiPriority w:val="99"/>
    <w:unhideWhenUsed/>
    <w:rsid w:val="00CD2794"/>
    <w:pPr>
      <w:spacing w:line="240" w:lineRule="auto"/>
    </w:pPr>
    <w:rPr>
      <w:sz w:val="20"/>
      <w:szCs w:val="20"/>
    </w:rPr>
  </w:style>
  <w:style w:type="character" w:customStyle="1" w:styleId="CommentTextChar">
    <w:name w:val="Comment Text Char"/>
    <w:basedOn w:val="DefaultParagraphFont"/>
    <w:link w:val="CommentText"/>
    <w:uiPriority w:val="99"/>
    <w:rsid w:val="00CD2794"/>
    <w:rPr>
      <w:sz w:val="20"/>
      <w:szCs w:val="20"/>
      <w:lang w:val="en-GB"/>
    </w:r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CD2794"/>
    <w:rPr>
      <w:lang w:val="en-GB"/>
    </w:rPr>
  </w:style>
  <w:style w:type="paragraph" w:styleId="Header">
    <w:name w:val="header"/>
    <w:basedOn w:val="Normal"/>
    <w:link w:val="HeaderChar"/>
    <w:uiPriority w:val="99"/>
    <w:unhideWhenUsed/>
    <w:rsid w:val="00EA5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2F9"/>
    <w:rPr>
      <w:lang w:val="en-GB"/>
    </w:rPr>
  </w:style>
  <w:style w:type="paragraph" w:styleId="Footer">
    <w:name w:val="footer"/>
    <w:basedOn w:val="Normal"/>
    <w:link w:val="FooterChar"/>
    <w:uiPriority w:val="99"/>
    <w:unhideWhenUsed/>
    <w:rsid w:val="00EA5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2F9"/>
    <w:rPr>
      <w:lang w:val="en-GB"/>
    </w:rPr>
  </w:style>
  <w:style w:type="paragraph" w:styleId="FootnoteText">
    <w:name w:val="footnote text"/>
    <w:basedOn w:val="Normal"/>
    <w:link w:val="FootnoteTextChar"/>
    <w:uiPriority w:val="99"/>
    <w:semiHidden/>
    <w:unhideWhenUsed/>
    <w:rsid w:val="00CF0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56"/>
    <w:rPr>
      <w:sz w:val="20"/>
      <w:szCs w:val="20"/>
      <w:lang w:val="en-GB"/>
    </w:rPr>
  </w:style>
  <w:style w:type="character" w:styleId="FootnoteReference">
    <w:name w:val="footnote reference"/>
    <w:basedOn w:val="DefaultParagraphFont"/>
    <w:uiPriority w:val="99"/>
    <w:semiHidden/>
    <w:unhideWhenUsed/>
    <w:rsid w:val="00CF0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3" ma:contentTypeDescription="Create a new document." ma:contentTypeScope="" ma:versionID="2a553855f0c73f5df8eb37f27e461dd6">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82c1626e6cced45314efd9ef40d4ce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spositionType xmlns="7726b06a-d2d7-4530-a604-1f0ccdbe0f88">No Action</DispositionType>
    <Status xmlns="7726b06a-d2d7-4530-a604-1f0ccdbe0f88">Active</Status>
    <_ip_UnifiedCompliancePolicyUIAction xmlns="http://schemas.microsoft.com/sharepoint/v3" xsi:nil="true"/>
    <lcf76f155ced4ddcb4097134ff3c332f xmlns="7726b06a-d2d7-4530-a604-1f0ccdbe0f88">
      <Terms xmlns="http://schemas.microsoft.com/office/infopath/2007/PartnerControls"/>
    </lcf76f155ced4ddcb4097134ff3c332f>
    <RetentionPeriod xmlns="7726b06a-d2d7-4530-a604-1f0ccdbe0f88">Indefinite</RetentionPeriod>
    <RecordType xmlns="7726b06a-d2d7-4530-a604-1f0ccdbe0f88">Electronic</RecordType>
    <_ip_UnifiedCompliancePolicyProperties xmlns="http://schemas.microsoft.com/sharepoint/v3" xsi:nil="true"/>
    <Classification xmlns="7726b06a-d2d7-4530-a604-1f0ccdbe0f88">Internal</Classification>
    <System xmlns="7726b06a-d2d7-4530-a604-1f0ccdbe0f88">SharePoint</System>
    <Record xmlns="7726b06a-d2d7-4530-a604-1f0ccdbe0f88">True</Record>
  </documentManagement>
</p:properties>
</file>

<file path=customXml/itemProps1.xml><?xml version="1.0" encoding="utf-8"?>
<ds:datastoreItem xmlns:ds="http://schemas.openxmlformats.org/officeDocument/2006/customXml" ds:itemID="{D0AECEC2-687E-4118-A99B-3C7AFB8B1105}">
  <ds:schemaRefs>
    <ds:schemaRef ds:uri="http://schemas.openxmlformats.org/officeDocument/2006/bibliography"/>
  </ds:schemaRefs>
</ds:datastoreItem>
</file>

<file path=customXml/itemProps2.xml><?xml version="1.0" encoding="utf-8"?>
<ds:datastoreItem xmlns:ds="http://schemas.openxmlformats.org/officeDocument/2006/customXml" ds:itemID="{CCCEB7C0-2A5A-4DC0-BFED-A62320419FC3}">
  <ds:schemaRefs>
    <ds:schemaRef ds:uri="http://schemas.microsoft.com/sharepoint/v3/contenttype/forms"/>
  </ds:schemaRefs>
</ds:datastoreItem>
</file>

<file path=customXml/itemProps3.xml><?xml version="1.0" encoding="utf-8"?>
<ds:datastoreItem xmlns:ds="http://schemas.openxmlformats.org/officeDocument/2006/customXml" ds:itemID="{8E3D69CF-685B-4420-926C-669859D6E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E9214-62A8-4658-8E2B-1CFB59EDCBD0}">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sharepoint/v3"/>
    <ds:schemaRef ds:uri="http://purl.org/dc/dcmitype/"/>
    <ds:schemaRef ds:uri="http://schemas.microsoft.com/office/infopath/2007/PartnerControls"/>
    <ds:schemaRef ds:uri="http://schemas.openxmlformats.org/package/2006/metadata/core-properties"/>
    <ds:schemaRef ds:uri="f1647f9b-17e6-4048-ba43-0810176b1cb0"/>
    <ds:schemaRef ds:uri="7726b06a-d2d7-4530-a604-1f0ccdbe0f8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4</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Mehnaaz Omar</cp:lastModifiedBy>
  <cp:revision>2</cp:revision>
  <dcterms:created xsi:type="dcterms:W3CDTF">2023-11-03T14:38:00Z</dcterms:created>
  <dcterms:modified xsi:type="dcterms:W3CDTF">2023-11-03T14:38:00Z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