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3269CB"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7543E1" w:rsidRPr="007543E1" w:rsidTr="0055010F">
        <w:trPr>
          <w:trHeight w:val="567"/>
        </w:trPr>
        <w:tc>
          <w:tcPr>
            <w:tcW w:w="2863" w:type="dxa"/>
            <w:shd w:val="clear" w:color="auto" w:fill="auto"/>
            <w:vAlign w:val="center"/>
          </w:tcPr>
          <w:p w:rsidR="007543E1" w:rsidRPr="007543E1" w:rsidRDefault="007543E1" w:rsidP="007543E1">
            <w:pPr>
              <w:spacing w:after="0" w:line="240" w:lineRule="auto"/>
              <w:jc w:val="left"/>
              <w:rPr>
                <w:rFonts w:ascii="Calibri" w:eastAsia="Times New Roman" w:hAnsi="Calibri" w:cs="Times New Roman"/>
                <w:b/>
                <w:lang w:val="en-GB"/>
              </w:rPr>
            </w:pPr>
            <w:bookmarkStart w:id="0" w:name="_Hlk131078414"/>
            <w:r w:rsidRPr="007543E1">
              <w:rPr>
                <w:rFonts w:ascii="Calibri" w:eastAsia="Times New Roman" w:hAnsi="Calibri" w:cs="Times New Roman"/>
                <w:b/>
                <w:lang w:val="en-GB"/>
              </w:rPr>
              <w:t>RFB REF. NO:</w:t>
            </w:r>
          </w:p>
        </w:tc>
        <w:tc>
          <w:tcPr>
            <w:tcW w:w="6765" w:type="dxa"/>
            <w:shd w:val="clear" w:color="auto" w:fill="auto"/>
            <w:vAlign w:val="center"/>
          </w:tcPr>
          <w:p w:rsidR="007543E1" w:rsidRPr="007543E1" w:rsidRDefault="007543E1" w:rsidP="007543E1">
            <w:pPr>
              <w:spacing w:after="0" w:line="240" w:lineRule="auto"/>
              <w:rPr>
                <w:rFonts w:ascii="Calibri" w:eastAsia="Times New Roman" w:hAnsi="Calibri" w:cs="Times New Roman"/>
                <w:b/>
                <w:lang w:val="en-GB"/>
              </w:rPr>
            </w:pPr>
            <w:r w:rsidRPr="007543E1">
              <w:rPr>
                <w:rFonts w:ascii="Calibri" w:eastAsia="Times New Roman" w:hAnsi="Calibri" w:cs="Times New Roman"/>
                <w:b/>
                <w:lang w:val="en-GB"/>
              </w:rPr>
              <w:t>RFB 2749/2023</w:t>
            </w:r>
          </w:p>
        </w:tc>
      </w:tr>
      <w:tr w:rsidR="007543E1" w:rsidRPr="007543E1" w:rsidTr="0055010F">
        <w:trPr>
          <w:trHeight w:val="567"/>
        </w:trPr>
        <w:tc>
          <w:tcPr>
            <w:tcW w:w="2863" w:type="dxa"/>
            <w:shd w:val="clear" w:color="auto" w:fill="auto"/>
            <w:vAlign w:val="center"/>
          </w:tcPr>
          <w:p w:rsidR="007543E1" w:rsidRPr="007543E1" w:rsidRDefault="007543E1" w:rsidP="007543E1">
            <w:pPr>
              <w:spacing w:after="0" w:line="240" w:lineRule="auto"/>
              <w:jc w:val="left"/>
              <w:rPr>
                <w:rFonts w:ascii="Calibri" w:eastAsia="Times New Roman" w:hAnsi="Calibri" w:cs="Times New Roman"/>
                <w:b/>
                <w:lang w:val="en-GB"/>
              </w:rPr>
            </w:pPr>
            <w:bookmarkStart w:id="1" w:name="_Hlk131076599"/>
            <w:r w:rsidRPr="007543E1">
              <w:rPr>
                <w:rFonts w:ascii="Calibri" w:eastAsia="Times New Roman" w:hAnsi="Calibri" w:cs="Times New Roman"/>
                <w:b/>
                <w:lang w:val="en-GB"/>
              </w:rPr>
              <w:t>DESCRIPTION</w:t>
            </w:r>
          </w:p>
        </w:tc>
        <w:tc>
          <w:tcPr>
            <w:tcW w:w="6765" w:type="dxa"/>
            <w:shd w:val="clear" w:color="auto" w:fill="auto"/>
            <w:vAlign w:val="center"/>
          </w:tcPr>
          <w:p w:rsidR="007543E1" w:rsidRPr="007543E1" w:rsidRDefault="007543E1" w:rsidP="007543E1">
            <w:pPr>
              <w:spacing w:after="0" w:line="240" w:lineRule="auto"/>
              <w:jc w:val="left"/>
              <w:rPr>
                <w:rFonts w:ascii="Calibri" w:eastAsia="Times New Roman" w:hAnsi="Calibri" w:cs="Times New Roman"/>
                <w:b/>
                <w:bCs/>
                <w:lang w:val="en-GB"/>
              </w:rPr>
            </w:pPr>
            <w:r w:rsidRPr="007543E1">
              <w:rPr>
                <w:rFonts w:ascii="Calibri" w:eastAsia="Times New Roman" w:hAnsi="Calibri" w:cs="Times New Roman"/>
                <w:b/>
                <w:bCs/>
                <w:lang w:val="en-GB"/>
              </w:rPr>
              <w:t xml:space="preserve">PROCUREMENT OF MAINFRAME EMULATOR SOLUTION, MAINTENANCE AND SUPPORT </w:t>
            </w:r>
            <w:r w:rsidR="0032606D">
              <w:rPr>
                <w:rFonts w:ascii="Calibri" w:eastAsia="Times New Roman" w:hAnsi="Calibri" w:cs="Times New Roman"/>
                <w:b/>
                <w:bCs/>
                <w:lang w:val="en-GB"/>
              </w:rPr>
              <w:t>TO SITA FOR A PERIOD OF THREE (03) YEARS</w:t>
            </w:r>
          </w:p>
        </w:tc>
      </w:tr>
      <w:bookmarkEnd w:id="1"/>
      <w:tr w:rsidR="007543E1" w:rsidRPr="007543E1" w:rsidTr="0055010F">
        <w:trPr>
          <w:trHeight w:val="567"/>
        </w:trPr>
        <w:tc>
          <w:tcPr>
            <w:tcW w:w="2863" w:type="dxa"/>
            <w:shd w:val="clear" w:color="auto" w:fill="auto"/>
            <w:vAlign w:val="center"/>
          </w:tcPr>
          <w:p w:rsidR="007543E1" w:rsidRPr="007543E1" w:rsidRDefault="007543E1" w:rsidP="007543E1">
            <w:pPr>
              <w:spacing w:after="0" w:line="240" w:lineRule="auto"/>
              <w:jc w:val="left"/>
              <w:rPr>
                <w:rFonts w:ascii="Calibri" w:eastAsia="Times New Roman" w:hAnsi="Calibri" w:cs="Times New Roman"/>
                <w:b/>
                <w:lang w:val="en-GB"/>
              </w:rPr>
            </w:pPr>
            <w:r w:rsidRPr="007543E1">
              <w:rPr>
                <w:rFonts w:ascii="Calibri" w:eastAsia="Times New Roman" w:hAnsi="Calibri" w:cs="Times New Roman"/>
                <w:b/>
                <w:lang w:val="en-GB"/>
              </w:rPr>
              <w:t>RFB CLOSING DETAILS</w:t>
            </w:r>
          </w:p>
        </w:tc>
        <w:tc>
          <w:tcPr>
            <w:tcW w:w="6765" w:type="dxa"/>
            <w:shd w:val="clear" w:color="auto" w:fill="auto"/>
            <w:vAlign w:val="center"/>
          </w:tcPr>
          <w:p w:rsidR="007543E1" w:rsidRPr="007543E1" w:rsidRDefault="007543E1" w:rsidP="007543E1">
            <w:pPr>
              <w:spacing w:after="0" w:line="360" w:lineRule="auto"/>
              <w:jc w:val="left"/>
              <w:rPr>
                <w:rFonts w:ascii="Calibri" w:eastAsia="Times New Roman" w:hAnsi="Calibri" w:cs="Times New Roman"/>
                <w:b/>
                <w:lang w:val="en-GB"/>
              </w:rPr>
            </w:pPr>
            <w:r w:rsidRPr="007543E1">
              <w:rPr>
                <w:rFonts w:ascii="Calibri" w:eastAsia="Times New Roman" w:hAnsi="Calibri" w:cs="Times New Roman"/>
                <w:b/>
                <w:lang w:val="en-GB"/>
              </w:rPr>
              <w:t>DATE: 06 JUNE 2023</w:t>
            </w:r>
          </w:p>
          <w:p w:rsidR="007543E1" w:rsidRPr="007543E1" w:rsidRDefault="007543E1" w:rsidP="007543E1">
            <w:pPr>
              <w:spacing w:after="0" w:line="360" w:lineRule="auto"/>
              <w:jc w:val="left"/>
              <w:rPr>
                <w:rFonts w:ascii="Calibri" w:eastAsia="Times New Roman" w:hAnsi="Calibri" w:cs="Times New Roman"/>
                <w:b/>
                <w:lang w:val="en-GB"/>
              </w:rPr>
            </w:pPr>
            <w:r w:rsidRPr="007543E1">
              <w:rPr>
                <w:rFonts w:ascii="Calibri" w:eastAsia="Times New Roman" w:hAnsi="Calibri" w:cs="Times New Roman"/>
                <w:b/>
                <w:lang w:val="en-GB"/>
              </w:rPr>
              <w:t>TIME: 11:00 am (SOUTH AFRICAN TIME)</w:t>
            </w:r>
          </w:p>
          <w:p w:rsidR="007543E1" w:rsidRPr="007543E1" w:rsidRDefault="007543E1" w:rsidP="007543E1">
            <w:pPr>
              <w:spacing w:after="0" w:line="360" w:lineRule="auto"/>
              <w:jc w:val="left"/>
              <w:rPr>
                <w:rFonts w:ascii="Calibri" w:eastAsia="Times New Roman" w:hAnsi="Calibri" w:cs="Times New Roman"/>
                <w:b/>
                <w:lang w:val="en-GB"/>
              </w:rPr>
            </w:pPr>
            <w:r w:rsidRPr="007543E1">
              <w:rPr>
                <w:rFonts w:ascii="Calibri" w:eastAsia="Times New Roman" w:hAnsi="Calibri" w:cs="Times New Roman"/>
                <w:b/>
                <w:lang w:val="en-GB"/>
              </w:rPr>
              <w:t>PLACE: SITA ERASMUSKLOOF TENDER OFFICE</w:t>
            </w:r>
          </w:p>
        </w:tc>
      </w:tr>
      <w:tr w:rsidR="007543E1" w:rsidRPr="007543E1" w:rsidTr="0055010F">
        <w:trPr>
          <w:trHeight w:val="1314"/>
        </w:trPr>
        <w:tc>
          <w:tcPr>
            <w:tcW w:w="2863" w:type="dxa"/>
            <w:shd w:val="clear" w:color="auto" w:fill="auto"/>
          </w:tcPr>
          <w:p w:rsidR="007543E1" w:rsidRPr="007543E1" w:rsidRDefault="007543E1" w:rsidP="007543E1">
            <w:pPr>
              <w:spacing w:after="0" w:line="240" w:lineRule="auto"/>
              <w:jc w:val="left"/>
              <w:rPr>
                <w:rFonts w:ascii="Calibri" w:eastAsia="Times New Roman" w:hAnsi="Calibri" w:cs="Times New Roman"/>
                <w:b/>
                <w:lang w:val="en-GB"/>
              </w:rPr>
            </w:pPr>
            <w:r w:rsidRPr="007543E1">
              <w:rPr>
                <w:rFonts w:ascii="Calibri" w:eastAsia="Times New Roman" w:hAnsi="Calibri" w:cs="Times New Roman"/>
                <w:b/>
                <w:lang w:val="en-GB"/>
              </w:rPr>
              <w:t>COMPULSORY BRIEFING SESSION:</w:t>
            </w:r>
          </w:p>
        </w:tc>
        <w:tc>
          <w:tcPr>
            <w:tcW w:w="6765" w:type="dxa"/>
            <w:shd w:val="clear" w:color="auto" w:fill="auto"/>
          </w:tcPr>
          <w:p w:rsidR="007543E1" w:rsidRPr="007543E1" w:rsidRDefault="007543E1" w:rsidP="007543E1">
            <w:pPr>
              <w:spacing w:after="0" w:line="360" w:lineRule="auto"/>
              <w:jc w:val="left"/>
              <w:rPr>
                <w:rFonts w:ascii="Calibri" w:eastAsia="Times New Roman" w:hAnsi="Calibri" w:cs="Times New Roman"/>
                <w:b/>
                <w:lang w:val="en-GB"/>
              </w:rPr>
            </w:pPr>
            <w:r w:rsidRPr="007543E1">
              <w:rPr>
                <w:rFonts w:ascii="Calibri" w:eastAsia="Times New Roman" w:hAnsi="Calibri" w:cs="Times New Roman"/>
                <w:b/>
                <w:lang w:val="en-GB"/>
              </w:rPr>
              <w:t>VENUE: SITA ERASMUSKLOOF AUDITORIUM</w:t>
            </w:r>
          </w:p>
          <w:p w:rsidR="007543E1" w:rsidRPr="007543E1" w:rsidRDefault="007543E1" w:rsidP="007543E1">
            <w:pPr>
              <w:spacing w:after="0" w:line="360" w:lineRule="auto"/>
              <w:jc w:val="left"/>
              <w:rPr>
                <w:rFonts w:ascii="Calibri" w:eastAsia="Times New Roman" w:hAnsi="Calibri" w:cs="Times New Roman"/>
                <w:b/>
                <w:lang w:val="en-GB"/>
              </w:rPr>
            </w:pPr>
            <w:r w:rsidRPr="007543E1">
              <w:rPr>
                <w:rFonts w:ascii="Calibri" w:eastAsia="Times New Roman" w:hAnsi="Calibri" w:cs="Times New Roman"/>
                <w:b/>
                <w:lang w:val="en-GB"/>
              </w:rPr>
              <w:t>DATE: 29 MAY 2023</w:t>
            </w:r>
          </w:p>
          <w:p w:rsidR="007543E1" w:rsidRPr="007543E1" w:rsidRDefault="007543E1" w:rsidP="007543E1">
            <w:pPr>
              <w:spacing w:after="0" w:line="360" w:lineRule="auto"/>
              <w:jc w:val="left"/>
              <w:rPr>
                <w:rFonts w:ascii="Calibri" w:eastAsia="Times New Roman" w:hAnsi="Calibri" w:cs="Times New Roman"/>
                <w:b/>
                <w:lang w:val="en-GB"/>
              </w:rPr>
            </w:pPr>
            <w:r w:rsidRPr="007543E1">
              <w:rPr>
                <w:rFonts w:ascii="Calibri" w:eastAsia="Times New Roman" w:hAnsi="Calibri" w:cs="Times New Roman"/>
                <w:b/>
                <w:lang w:val="en-GB"/>
              </w:rPr>
              <w:t>TIME: 10:30am</w:t>
            </w:r>
          </w:p>
          <w:p w:rsidR="007543E1" w:rsidRPr="007543E1" w:rsidRDefault="007543E1" w:rsidP="007543E1">
            <w:pPr>
              <w:spacing w:after="0" w:line="360" w:lineRule="auto"/>
              <w:jc w:val="left"/>
              <w:rPr>
                <w:rFonts w:ascii="Calibri" w:eastAsia="Times New Roman" w:hAnsi="Calibri" w:cs="Times New Roman"/>
                <w:b/>
                <w:lang w:val="en-GB"/>
              </w:rPr>
            </w:pPr>
            <w:r w:rsidRPr="007543E1">
              <w:rPr>
                <w:rFonts w:ascii="Calibri" w:eastAsia="Times New Roman" w:hAnsi="Calibri" w:cs="Times New Roman"/>
                <w:b/>
                <w:lang w:val="en-GB"/>
              </w:rPr>
              <w:t xml:space="preserve">Link will be sent upon request from </w:t>
            </w:r>
            <w:hyperlink r:id="rId13" w:history="1">
              <w:r w:rsidRPr="007543E1">
                <w:rPr>
                  <w:rFonts w:ascii="Calibri" w:eastAsia="Times New Roman" w:hAnsi="Calibri" w:cs="Times New Roman"/>
                  <w:b/>
                  <w:color w:val="0000FF"/>
                  <w:u w:val="single"/>
                  <w:lang w:val="en-GB"/>
                </w:rPr>
                <w:t>portia.mphela@sita.co.za</w:t>
              </w:r>
            </w:hyperlink>
          </w:p>
        </w:tc>
      </w:tr>
      <w:tr w:rsidR="007543E1" w:rsidRPr="007543E1" w:rsidTr="0055010F">
        <w:trPr>
          <w:trHeight w:val="567"/>
        </w:trPr>
        <w:tc>
          <w:tcPr>
            <w:tcW w:w="2863" w:type="dxa"/>
            <w:shd w:val="clear" w:color="auto" w:fill="auto"/>
            <w:vAlign w:val="center"/>
          </w:tcPr>
          <w:p w:rsidR="007543E1" w:rsidRPr="007543E1" w:rsidRDefault="007543E1" w:rsidP="007543E1">
            <w:pPr>
              <w:spacing w:after="0" w:line="240" w:lineRule="auto"/>
              <w:jc w:val="left"/>
              <w:rPr>
                <w:rFonts w:ascii="Calibri" w:eastAsia="Times New Roman" w:hAnsi="Calibri" w:cs="Times New Roman"/>
                <w:b/>
                <w:lang w:val="en-GB"/>
              </w:rPr>
            </w:pPr>
            <w:r w:rsidRPr="007543E1">
              <w:rPr>
                <w:rFonts w:ascii="Calibri" w:eastAsia="Times New Roman" w:hAnsi="Calibri" w:cs="Times New Roman"/>
                <w:b/>
                <w:lang w:val="en-GB"/>
              </w:rPr>
              <w:t>PUBLIC OPENING OF RFB RESPONSES</w:t>
            </w:r>
          </w:p>
        </w:tc>
        <w:tc>
          <w:tcPr>
            <w:tcW w:w="6765" w:type="dxa"/>
            <w:shd w:val="clear" w:color="auto" w:fill="auto"/>
            <w:vAlign w:val="center"/>
          </w:tcPr>
          <w:p w:rsidR="007543E1" w:rsidRPr="007543E1" w:rsidRDefault="007543E1" w:rsidP="007543E1">
            <w:pPr>
              <w:spacing w:after="0" w:line="360" w:lineRule="auto"/>
              <w:rPr>
                <w:rFonts w:ascii="Calibri" w:eastAsia="Times New Roman" w:hAnsi="Calibri" w:cs="Times New Roman"/>
                <w:b/>
                <w:lang w:val="en-GB"/>
              </w:rPr>
            </w:pPr>
            <w:r w:rsidRPr="007543E1">
              <w:rPr>
                <w:rFonts w:ascii="Calibri" w:eastAsia="Times New Roman" w:hAnsi="Calibri" w:cs="Times New Roman"/>
                <w:b/>
                <w:lang w:val="en-GB"/>
              </w:rPr>
              <w:t>N/A</w:t>
            </w:r>
          </w:p>
        </w:tc>
      </w:tr>
      <w:tr w:rsidR="007543E1" w:rsidRPr="007543E1" w:rsidTr="0055010F">
        <w:trPr>
          <w:trHeight w:val="567"/>
        </w:trPr>
        <w:tc>
          <w:tcPr>
            <w:tcW w:w="2863" w:type="dxa"/>
            <w:shd w:val="clear" w:color="auto" w:fill="auto"/>
            <w:vAlign w:val="center"/>
          </w:tcPr>
          <w:p w:rsidR="007543E1" w:rsidRPr="007543E1" w:rsidRDefault="007543E1" w:rsidP="007543E1">
            <w:pPr>
              <w:spacing w:after="0" w:line="240" w:lineRule="auto"/>
              <w:jc w:val="left"/>
              <w:rPr>
                <w:rFonts w:ascii="Calibri" w:eastAsia="Times New Roman" w:hAnsi="Calibri" w:cs="Times New Roman"/>
                <w:b/>
                <w:lang w:val="en-GB"/>
              </w:rPr>
            </w:pPr>
            <w:r w:rsidRPr="007543E1">
              <w:rPr>
                <w:rFonts w:ascii="Calibri" w:eastAsia="Times New Roman" w:hAnsi="Calibri" w:cs="Times New Roman"/>
                <w:b/>
                <w:lang w:val="en-GB"/>
              </w:rPr>
              <w:t>RFB VALIDITY PERIOD</w:t>
            </w:r>
          </w:p>
        </w:tc>
        <w:tc>
          <w:tcPr>
            <w:tcW w:w="6765" w:type="dxa"/>
            <w:shd w:val="clear" w:color="auto" w:fill="auto"/>
            <w:vAlign w:val="center"/>
          </w:tcPr>
          <w:p w:rsidR="007543E1" w:rsidRPr="007543E1" w:rsidRDefault="007543E1" w:rsidP="007543E1">
            <w:pPr>
              <w:spacing w:after="0" w:line="240" w:lineRule="auto"/>
              <w:jc w:val="left"/>
              <w:rPr>
                <w:rFonts w:ascii="Calibri" w:eastAsia="Times New Roman" w:hAnsi="Calibri" w:cs="Times New Roman"/>
                <w:b/>
                <w:lang w:val="en-GB"/>
              </w:rPr>
            </w:pPr>
            <w:r w:rsidRPr="007543E1">
              <w:rPr>
                <w:rFonts w:ascii="Calibri" w:eastAsia="Times New Roman" w:hAnsi="Calibri" w:cs="Times New Roman"/>
                <w:b/>
                <w:lang w:val="en-GB"/>
              </w:rPr>
              <w:t>120 DAYS FROM THE CLOSING DATE</w:t>
            </w:r>
          </w:p>
        </w:tc>
      </w:tr>
    </w:tbl>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2" w:name="_Hlk56671764"/>
      <w:bookmarkEnd w:id="0"/>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2"/>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045AE7" w:rsidRDefault="00045AE7" w:rsidP="00045AE7">
      <w:pPr>
        <w:rPr>
          <w:rFonts w:ascii="Calibri" w:eastAsia="Times New Roman" w:hAnsi="Calibri" w:cs="Times New Roman"/>
          <w:b/>
          <w:color w:val="FF0000"/>
          <w:sz w:val="24"/>
          <w:szCs w:val="24"/>
        </w:rPr>
      </w:pPr>
    </w:p>
    <w:p w:rsidR="006262A1" w:rsidRDefault="006262A1" w:rsidP="00045AE7"/>
    <w:p w:rsidR="006262A1" w:rsidRPr="00045AE7" w:rsidRDefault="006262A1" w:rsidP="00045AE7"/>
    <w:p w:rsidR="00A44D99" w:rsidRPr="006C0A8D" w:rsidRDefault="00A44D99" w:rsidP="00C2646C">
      <w:pPr>
        <w:pStyle w:val="Title"/>
      </w:pPr>
      <w:r w:rsidRPr="006C0A8D">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3269CB">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269CB">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269CB">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3269CB">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3269CB">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269CB">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3269CB">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3269CB">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3269CB"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269CB">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10433303"/>
      <w:r w:rsidRPr="0056332A">
        <w:lastRenderedPageBreak/>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5E2478">
        <w:rPr>
          <w:lang w:val="en-GB"/>
        </w:rPr>
        <w:t>B</w:t>
      </w:r>
      <w:r w:rsidR="00AA33FF">
        <w:rPr>
          <w:lang w:val="en-GB"/>
        </w:rPr>
        <w:t xml:space="preserve"> number</w:t>
      </w:r>
      <w:r w:rsidR="00ED49A6">
        <w:rPr>
          <w:lang w:val="en-GB"/>
        </w:rPr>
        <w:t xml:space="preserve">: </w:t>
      </w:r>
      <w:r w:rsidR="003F7B53">
        <w:rPr>
          <w:b/>
          <w:lang w:val="en-GB"/>
        </w:rPr>
        <w:t>RFB 2</w:t>
      </w:r>
      <w:r w:rsidR="00684D6B">
        <w:rPr>
          <w:b/>
          <w:lang w:val="en-GB"/>
        </w:rPr>
        <w:t>7</w:t>
      </w:r>
      <w:r w:rsidR="006262A1">
        <w:rPr>
          <w:b/>
          <w:lang w:val="en-GB"/>
        </w:rPr>
        <w:t>4</w:t>
      </w:r>
      <w:r w:rsidR="007543E1">
        <w:rPr>
          <w:b/>
          <w:lang w:val="en-GB"/>
        </w:rPr>
        <w:t>9</w:t>
      </w:r>
      <w:r w:rsidR="003F7B53">
        <w:rPr>
          <w:b/>
          <w:lang w:val="en-GB"/>
        </w:rPr>
        <w:t>/2</w:t>
      </w:r>
      <w:r w:rsidR="00FF7CA2" w:rsidRPr="00FF7CA2">
        <w:rPr>
          <w:b/>
          <w:lang w:val="en-GB"/>
        </w:rPr>
        <w:t>02</w:t>
      </w:r>
      <w:r w:rsidR="00136549">
        <w:rPr>
          <w:b/>
          <w:lang w:val="en-GB"/>
        </w:rPr>
        <w:t>3</w:t>
      </w:r>
    </w:p>
    <w:p w:rsidR="007543E1" w:rsidRDefault="00AA33FF" w:rsidP="005048EE">
      <w:pPr>
        <w:rPr>
          <w:b/>
          <w:lang w:val="en-GB"/>
        </w:rPr>
      </w:pPr>
      <w:r>
        <w:rPr>
          <w:lang w:val="en-GB"/>
        </w:rPr>
        <w:t>Description:</w:t>
      </w:r>
      <w:r w:rsidRPr="001613EB">
        <w:rPr>
          <w:b/>
          <w:lang w:val="en-GB"/>
        </w:rPr>
        <w:t xml:space="preserve"> </w:t>
      </w:r>
      <w:r w:rsidR="007543E1" w:rsidRPr="007543E1">
        <w:rPr>
          <w:b/>
          <w:lang w:val="en-GB"/>
        </w:rPr>
        <w:t xml:space="preserve">PROCUREMENT OF MAINFRAME EMULATOR SOLUTION, MAINTENANCE AND SUPPORT </w:t>
      </w:r>
      <w:r w:rsidR="00E85A6E">
        <w:rPr>
          <w:b/>
          <w:lang w:val="en-GB"/>
        </w:rPr>
        <w:t>TO</w:t>
      </w:r>
      <w:r w:rsidR="007543E1" w:rsidRPr="007543E1">
        <w:rPr>
          <w:b/>
          <w:lang w:val="en-GB"/>
        </w:rPr>
        <w:t xml:space="preserve"> SITA</w:t>
      </w:r>
      <w:r w:rsidR="00E85A6E">
        <w:rPr>
          <w:b/>
          <w:lang w:val="en-GB"/>
        </w:rPr>
        <w:t xml:space="preserve"> FOR A PERIOD OF THREE (03) YEARS.</w:t>
      </w:r>
      <w:bookmarkStart w:id="11" w:name="_GoBack"/>
      <w:bookmarkEnd w:id="11"/>
    </w:p>
    <w:p w:rsidR="006262A1" w:rsidRPr="007543E1" w:rsidRDefault="006262A1" w:rsidP="005048EE">
      <w:pPr>
        <w:rPr>
          <w:b/>
          <w:lang w:val="en-GB"/>
        </w:rPr>
      </w:pPr>
      <w:r w:rsidRPr="007543E1">
        <w:rPr>
          <w:b/>
          <w:lang w:val="en-GB"/>
        </w:rPr>
        <w:t xml:space="preserve">Compulsory Briefing session: </w:t>
      </w:r>
      <w:r w:rsidR="007543E1">
        <w:rPr>
          <w:b/>
          <w:lang w:val="en-GB"/>
        </w:rPr>
        <w:t>29</w:t>
      </w:r>
      <w:r w:rsidRPr="007543E1">
        <w:rPr>
          <w:b/>
          <w:lang w:val="en-GB"/>
        </w:rPr>
        <w:t xml:space="preserve"> May 2023</w:t>
      </w:r>
    </w:p>
    <w:p w:rsidR="007543E1" w:rsidRPr="007543E1" w:rsidRDefault="007543E1" w:rsidP="005048EE">
      <w:pPr>
        <w:rPr>
          <w:b/>
          <w:lang w:val="en-GB"/>
        </w:rPr>
      </w:pPr>
      <w:r w:rsidRPr="007543E1">
        <w:rPr>
          <w:b/>
          <w:lang w:val="en-GB"/>
        </w:rPr>
        <w:t xml:space="preserve">Venue: </w:t>
      </w:r>
      <w:r>
        <w:rPr>
          <w:b/>
          <w:lang w:val="en-GB"/>
        </w:rPr>
        <w:t xml:space="preserve">SITA </w:t>
      </w:r>
      <w:proofErr w:type="spellStart"/>
      <w:r>
        <w:rPr>
          <w:b/>
          <w:lang w:val="en-GB"/>
        </w:rPr>
        <w:t>Erasmuskloof</w:t>
      </w:r>
      <w:proofErr w:type="spellEnd"/>
      <w:r>
        <w:rPr>
          <w:b/>
          <w:lang w:val="en-GB"/>
        </w:rPr>
        <w:t xml:space="preserve"> Auditorium</w:t>
      </w:r>
    </w:p>
    <w:p w:rsidR="00D95A7D" w:rsidRPr="007543E1" w:rsidRDefault="00D95A7D" w:rsidP="005048EE">
      <w:pPr>
        <w:rPr>
          <w:b/>
          <w:lang w:val="en-GB"/>
        </w:rPr>
      </w:pPr>
      <w:r w:rsidRPr="007543E1">
        <w:rPr>
          <w:b/>
          <w:lang w:val="en-GB"/>
        </w:rPr>
        <w:t xml:space="preserve">Closing date for Questions: </w:t>
      </w:r>
      <w:r w:rsidR="007543E1">
        <w:rPr>
          <w:b/>
          <w:lang w:val="en-GB"/>
        </w:rPr>
        <w:t>31</w:t>
      </w:r>
      <w:r w:rsidRPr="007543E1">
        <w:rPr>
          <w:b/>
          <w:lang w:val="en-GB"/>
        </w:rPr>
        <w:t xml:space="preserve"> May 2023</w:t>
      </w:r>
    </w:p>
    <w:p w:rsidR="00AA33FF" w:rsidRPr="007543E1" w:rsidRDefault="00AA33FF" w:rsidP="005048EE">
      <w:pPr>
        <w:rPr>
          <w:b/>
          <w:lang w:val="en-GB"/>
        </w:rPr>
      </w:pPr>
      <w:r w:rsidRPr="007543E1">
        <w:rPr>
          <w:b/>
          <w:lang w:val="en-GB"/>
        </w:rPr>
        <w:t xml:space="preserve">Closing date and time of </w:t>
      </w:r>
      <w:r w:rsidR="003F7B53" w:rsidRPr="007543E1">
        <w:rPr>
          <w:b/>
          <w:lang w:val="en-GB"/>
        </w:rPr>
        <w:t xml:space="preserve">RFB </w:t>
      </w:r>
      <w:r w:rsidR="00684D6B" w:rsidRPr="007543E1">
        <w:rPr>
          <w:b/>
          <w:lang w:val="en-GB"/>
        </w:rPr>
        <w:t>2</w:t>
      </w:r>
      <w:r w:rsidR="006262A1" w:rsidRPr="007543E1">
        <w:rPr>
          <w:b/>
          <w:lang w:val="en-GB"/>
        </w:rPr>
        <w:t>74</w:t>
      </w:r>
      <w:r w:rsidR="007543E1">
        <w:rPr>
          <w:b/>
          <w:lang w:val="en-GB"/>
        </w:rPr>
        <w:t>9</w:t>
      </w:r>
      <w:r w:rsidR="003F7B53" w:rsidRPr="007543E1">
        <w:rPr>
          <w:b/>
          <w:lang w:val="en-GB"/>
        </w:rPr>
        <w:t>/</w:t>
      </w:r>
      <w:r w:rsidR="00894548" w:rsidRPr="007543E1">
        <w:rPr>
          <w:b/>
          <w:lang w:val="en-GB"/>
        </w:rPr>
        <w:t>2</w:t>
      </w:r>
      <w:r w:rsidR="00FF7CA2" w:rsidRPr="007543E1">
        <w:rPr>
          <w:b/>
          <w:lang w:val="en-GB"/>
        </w:rPr>
        <w:t>02</w:t>
      </w:r>
      <w:r w:rsidR="008C2FBA" w:rsidRPr="007543E1">
        <w:rPr>
          <w:b/>
          <w:lang w:val="en-GB"/>
        </w:rPr>
        <w:t>3</w:t>
      </w:r>
      <w:r w:rsidR="00FF7CA2" w:rsidRPr="007543E1">
        <w:rPr>
          <w:b/>
          <w:lang w:val="en-GB"/>
        </w:rPr>
        <w:t xml:space="preserve">: </w:t>
      </w:r>
      <w:r w:rsidR="007543E1">
        <w:rPr>
          <w:b/>
          <w:lang w:val="en-GB"/>
        </w:rPr>
        <w:t xml:space="preserve">06 June </w:t>
      </w:r>
      <w:r w:rsidR="00FF7CA2" w:rsidRPr="007543E1">
        <w:rPr>
          <w:b/>
          <w:lang w:val="en-GB"/>
        </w:rPr>
        <w:t>2</w:t>
      </w:r>
      <w:r w:rsidR="00ED49A6" w:rsidRPr="007543E1">
        <w:rPr>
          <w:b/>
          <w:lang w:val="en-GB"/>
        </w:rPr>
        <w:t>0</w:t>
      </w:r>
      <w:r w:rsidR="00FF7CA2" w:rsidRPr="007543E1">
        <w:rPr>
          <w:b/>
          <w:lang w:val="en-GB"/>
        </w:rPr>
        <w:t>2</w:t>
      </w:r>
      <w:r w:rsidR="00684D6B" w:rsidRPr="007543E1">
        <w:rPr>
          <w:b/>
          <w:lang w:val="en-GB"/>
        </w:rPr>
        <w:t>3</w:t>
      </w:r>
      <w:r w:rsidR="007543E1">
        <w:rPr>
          <w:b/>
          <w:lang w:val="en-GB"/>
        </w:rPr>
        <w:t xml:space="preserve"> 11H00am South Africa time.</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12"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10433388"/>
            <w:r>
              <w:lastRenderedPageBreak/>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269CB">
              <w:rPr>
                <w:rFonts w:ascii="Arial" w:hAnsi="Arial" w:cs="Arial"/>
                <w:sz w:val="20"/>
                <w:lang w:val="en-GB"/>
              </w:rPr>
            </w:r>
            <w:r w:rsidR="003269C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269CB">
              <w:rPr>
                <w:rFonts w:ascii="Arial" w:hAnsi="Arial" w:cs="Arial"/>
                <w:sz w:val="20"/>
                <w:lang w:val="en-GB"/>
              </w:rPr>
            </w:r>
            <w:r w:rsidR="003269C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10433304"/>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10433305"/>
            <w:r w:rsidRPr="0090233F">
              <w:t>Bid Submission Instructions</w:t>
            </w:r>
            <w:bookmarkEnd w:id="17"/>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10433306"/>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10433307"/>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10433308"/>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10433309"/>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D41F1F">
      <w:pPr>
        <w:pStyle w:val="Heading3"/>
        <w:spacing w:before="240" w:after="60" w:line="276" w:lineRule="auto"/>
        <w:rPr>
          <w:bCs/>
        </w:rPr>
      </w:pPr>
      <w:bookmarkStart w:id="29" w:name="_Toc110433310"/>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0" w:name="_Toc110433311"/>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1" w:name="_Toc110433312"/>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32" w:name="_Toc110433313"/>
      <w:r w:rsidRPr="00773264">
        <w:rPr>
          <w:bCs/>
        </w:rPr>
        <w:t>National Industrial Participation Programme</w:t>
      </w:r>
      <w:bookmarkEnd w:id="32"/>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3" w:name="_Toc110433314"/>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4" w:name="_Toc110433315"/>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5" w:name="_Toc110433316"/>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6" w:name="_Toc110433317"/>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7" w:name="_Toc110433318"/>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8" w:name="_Toc110433319"/>
      <w:r w:rsidRPr="00F73867">
        <w:rPr>
          <w:bCs/>
        </w:rPr>
        <w:t>Bid Validity</w:t>
      </w:r>
      <w:r w:rsidR="004419A0">
        <w:rPr>
          <w:bCs/>
        </w:rPr>
        <w:t xml:space="preserve"> period</w:t>
      </w:r>
      <w:bookmarkEnd w:id="38"/>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9" w:name="_Toc110433320"/>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0" w:name="_Toc110433321"/>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2" w:name="_Toc110433322"/>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3" w:name="_Toc110433323"/>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4" w:name="_Toc110433324"/>
      <w:r w:rsidRPr="001203AD">
        <w:rPr>
          <w:bCs/>
        </w:rPr>
        <w:lastRenderedPageBreak/>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10433325"/>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3" w:name="_Toc110433326"/>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4" w:name="_Toc110433327"/>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90233F">
      <w:pPr>
        <w:pStyle w:val="Heading3"/>
      </w:pPr>
      <w:bookmarkStart w:id="55" w:name="_Toc110433328"/>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9" w:name="_Toc110433329"/>
      <w:r w:rsidRPr="00773264">
        <w:t>Man</w:t>
      </w:r>
      <w:r w:rsidRPr="004E1D55">
        <w:t>datory Returnable Documents</w:t>
      </w:r>
      <w:bookmarkEnd w:id="59"/>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60" w:name="_Toc110433330"/>
      <w:r w:rsidRPr="00773264">
        <w:t>Evaluation Returnable Documents</w:t>
      </w:r>
      <w:bookmarkEnd w:id="60"/>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10433331"/>
      <w:r>
        <w:lastRenderedPageBreak/>
        <w:t>Bidder’s disclosure (SBD 4)</w:t>
      </w:r>
      <w:bookmarkEnd w:id="61"/>
    </w:p>
    <w:p w:rsidR="001E3F54" w:rsidRPr="001E3F54" w:rsidRDefault="001E3F54" w:rsidP="001E3F54">
      <w:pPr>
        <w:pStyle w:val="Heading2"/>
        <w:rPr>
          <w:lang w:val="en-GB"/>
        </w:rPr>
      </w:pPr>
      <w:bookmarkStart w:id="62" w:name="_Toc110433332"/>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10433333"/>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10433334"/>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10433335"/>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10433336"/>
      <w:r w:rsidRPr="0055137F">
        <w:t>General Condition</w:t>
      </w:r>
      <w:r>
        <w:t>s</w:t>
      </w:r>
      <w:r w:rsidR="001A12A9">
        <w:t xml:space="preserve"> for the preference point systems</w:t>
      </w:r>
      <w:bookmarkEnd w:id="72"/>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3"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136549"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10433337"/>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5" o:title=""/>
          </v:shape>
          <o:OLEObject Type="Embed" ProgID="Equation.3" ShapeID="_x0000_i1025" DrawAspect="Content" ObjectID="_1745662080"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7" o:title=""/>
          </v:shape>
          <o:OLEObject Type="Embed" ProgID="Equation.3" ShapeID="_x0000_i1026" DrawAspect="Content" ObjectID="_1745662081"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10433338"/>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44"/>
        <w:gridCol w:w="4111"/>
      </w:tblGrid>
      <w:tr w:rsidR="00136549" w:rsidTr="00136549">
        <w:tc>
          <w:tcPr>
            <w:tcW w:w="4044"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111" w:type="dxa"/>
            <w:shd w:val="solid" w:color="DBE5F1" w:themeColor="accent1" w:themeTint="33" w:fill="DBE5F1" w:themeFill="accent1" w:themeFillTint="33"/>
          </w:tcPr>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136549" w:rsidRPr="00655805" w:rsidRDefault="0013654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136549" w:rsidTr="00136549">
        <w:tc>
          <w:tcPr>
            <w:tcW w:w="4044"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111" w:type="dxa"/>
          </w:tcPr>
          <w:p w:rsidR="00136549" w:rsidRPr="00655805" w:rsidRDefault="0013654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136549" w:rsidTr="00136549">
        <w:tc>
          <w:tcPr>
            <w:tcW w:w="4044"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111" w:type="dxa"/>
          </w:tcPr>
          <w:p w:rsidR="00136549" w:rsidRPr="00655805" w:rsidRDefault="00136549"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7" w:name="_Toc110433339"/>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10433340"/>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lastRenderedPageBreak/>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10433341"/>
      <w:r>
        <w:t>Declaration with regard to Company / Firm</w:t>
      </w:r>
      <w:bookmarkEnd w:id="81"/>
    </w:p>
    <w:p w:rsidR="004814E8" w:rsidRPr="004814E8" w:rsidRDefault="004814E8" w:rsidP="004814E8">
      <w:pPr>
        <w:pStyle w:val="Caption"/>
      </w:pPr>
      <w:bookmarkStart w:id="82"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lastRenderedPageBreak/>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10433342"/>
      <w:r w:rsidRPr="007531A4">
        <w:lastRenderedPageBreak/>
        <w:t>Government Procurement: General Conditions of Contract</w:t>
      </w:r>
      <w:r w:rsidR="009C21F4">
        <w:t xml:space="preserve"> (GCC)</w:t>
      </w:r>
      <w:bookmarkEnd w:id="83"/>
    </w:p>
    <w:p w:rsidR="00B21670" w:rsidRPr="008A2B1A" w:rsidRDefault="00B21670" w:rsidP="00B21670">
      <w:pPr>
        <w:pStyle w:val="Heading2"/>
        <w:rPr>
          <w:lang w:val="en-GB"/>
        </w:rPr>
      </w:pPr>
      <w:bookmarkStart w:id="84" w:name="_Toc110433343"/>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10433344"/>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10433345"/>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10433346"/>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10433347"/>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10433348"/>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10433349"/>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10433350"/>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10433351"/>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10433352"/>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10433353"/>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10433354"/>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10433355"/>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10433356"/>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10433357"/>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10433358"/>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10433359"/>
      <w:r w:rsidRPr="00A56683">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10433360"/>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10433361"/>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10433362"/>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10433363"/>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10433364"/>
      <w:r w:rsidRPr="005721E2">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10433365"/>
      <w:r w:rsidRPr="005721E2">
        <w:lastRenderedPageBreak/>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10433366"/>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10433367"/>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10433368"/>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10433369"/>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10433370"/>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10433371"/>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10433372"/>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10433373"/>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10433374"/>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10433375"/>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10433376"/>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244C11">
      <w:pPr>
        <w:tabs>
          <w:tab w:val="left" w:pos="851"/>
        </w:tabs>
        <w:ind w:firstLine="567"/>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8" w:name="_Toc110433377"/>
      <w:r w:rsidRPr="00773264">
        <w:lastRenderedPageBreak/>
        <w:t>National Industrial Participation Programme (SBD 5)</w:t>
      </w:r>
      <w:bookmarkEnd w:id="118"/>
    </w:p>
    <w:p w:rsidR="00B21670" w:rsidRPr="00534B6F" w:rsidRDefault="00B21670" w:rsidP="00B21670">
      <w:pPr>
        <w:pStyle w:val="Heading2"/>
        <w:rPr>
          <w:lang w:val="en-GB"/>
        </w:rPr>
      </w:pPr>
      <w:bookmarkStart w:id="119" w:name="_Toc110433378"/>
      <w:r w:rsidRPr="00773264">
        <w:rPr>
          <w:lang w:val="en-GB"/>
        </w:rPr>
        <w:t>Intro</w:t>
      </w:r>
      <w:r w:rsidRPr="00534B6F">
        <w:rPr>
          <w:lang w:val="en-GB"/>
        </w:rPr>
        <w:t>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10433379"/>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10433380"/>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10433381"/>
      <w:r w:rsidRPr="002D68FB">
        <w:lastRenderedPageBreak/>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10433382"/>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5" w:name="_Toc488498846"/>
      <w:bookmarkStart w:id="126" w:name="_Toc110433383"/>
      <w:bookmarkEnd w:id="3"/>
      <w:bookmarkEnd w:id="4"/>
      <w:bookmarkEnd w:id="5"/>
      <w:bookmarkEnd w:id="6"/>
      <w:bookmarkEnd w:id="7"/>
      <w:r w:rsidRPr="00B7255B">
        <w:lastRenderedPageBreak/>
        <w:t>Abbreviations, Terms and Definitions</w:t>
      </w:r>
      <w:bookmarkEnd w:id="125"/>
      <w:bookmarkEnd w:id="126"/>
    </w:p>
    <w:p w:rsidR="001313AD" w:rsidRDefault="001313AD" w:rsidP="00710F8D">
      <w:pPr>
        <w:pStyle w:val="AnnexH2"/>
      </w:pPr>
      <w:bookmarkStart w:id="127" w:name="_Toc498843319"/>
      <w:bookmarkStart w:id="128" w:name="_Toc505652266"/>
      <w:bookmarkStart w:id="129" w:name="_Toc394778368"/>
      <w:bookmarkStart w:id="130" w:name="_Toc488498847"/>
      <w:bookmarkStart w:id="131" w:name="_Toc110433384"/>
      <w:bookmarkEnd w:id="8"/>
      <w:bookmarkEnd w:id="9"/>
      <w:r w:rsidRPr="00B80FF6">
        <w:t>Abbreviations</w:t>
      </w:r>
      <w:bookmarkEnd w:id="127"/>
      <w:bookmarkEnd w:id="128"/>
      <w:bookmarkEnd w:id="129"/>
      <w:bookmarkEnd w:id="130"/>
      <w:r w:rsidR="00D41F1F">
        <w:t xml:space="preserve"> and Acronyms</w:t>
      </w:r>
      <w:bookmarkEnd w:id="13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2" w:name="_Toc488498848"/>
      <w:bookmarkStart w:id="133" w:name="_Toc110433385"/>
      <w:r>
        <w:t>Terms and Definitions</w:t>
      </w:r>
      <w:bookmarkEnd w:id="132"/>
      <w:bookmarkEnd w:id="13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21"/>
      <w:footerReference w:type="default" r:id="rId22"/>
      <w:footerReference w:type="first" r:id="rId23"/>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9CB" w:rsidRDefault="003269CB" w:rsidP="000C56A7">
      <w:pPr>
        <w:spacing w:after="0" w:line="240" w:lineRule="auto"/>
      </w:pPr>
      <w:r>
        <w:separator/>
      </w:r>
    </w:p>
  </w:endnote>
  <w:endnote w:type="continuationSeparator" w:id="0">
    <w:p w:rsidR="003269CB" w:rsidRDefault="003269C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Default="00B47418" w:rsidP="00F41519">
    <w:pPr>
      <w:pStyle w:val="Footer"/>
      <w:jc w:val="center"/>
    </w:pPr>
    <w:r>
      <w:rPr>
        <w:sz w:val="16"/>
        <w:szCs w:val="16"/>
      </w:rPr>
      <w:t>RFB 2739/2023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B47418" w:rsidRPr="00CB4B80" w:rsidRDefault="00B47418">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Default="00B47418"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9CB" w:rsidRDefault="003269CB" w:rsidP="000C56A7">
      <w:pPr>
        <w:spacing w:after="0" w:line="240" w:lineRule="auto"/>
      </w:pPr>
      <w:r>
        <w:separator/>
      </w:r>
    </w:p>
  </w:footnote>
  <w:footnote w:type="continuationSeparator" w:id="0">
    <w:p w:rsidR="003269CB" w:rsidRDefault="003269CB" w:rsidP="000C56A7">
      <w:pPr>
        <w:spacing w:after="0" w:line="240" w:lineRule="auto"/>
      </w:pPr>
      <w:r>
        <w:continuationSeparator/>
      </w:r>
    </w:p>
  </w:footnote>
  <w:footnote w:id="1">
    <w:p w:rsidR="00B47418" w:rsidRPr="00A21FCD" w:rsidRDefault="00B4741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B47418" w:rsidRDefault="00B47418" w:rsidP="009F515B">
      <w:pPr>
        <w:pStyle w:val="FootnoteText"/>
      </w:pPr>
    </w:p>
    <w:p w:rsidR="00B47418" w:rsidRDefault="00B4741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418" w:rsidRPr="00F37BD6" w:rsidRDefault="00B4741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7703"/>
    <w:rsid w:val="00086B82"/>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36549"/>
    <w:rsid w:val="00154098"/>
    <w:rsid w:val="00155D1F"/>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44C11"/>
    <w:rsid w:val="00260F2A"/>
    <w:rsid w:val="0026470C"/>
    <w:rsid w:val="00287890"/>
    <w:rsid w:val="002911F2"/>
    <w:rsid w:val="002A3AA8"/>
    <w:rsid w:val="002B260C"/>
    <w:rsid w:val="002C300A"/>
    <w:rsid w:val="002C7B6E"/>
    <w:rsid w:val="002D68FB"/>
    <w:rsid w:val="002E1E41"/>
    <w:rsid w:val="002E2228"/>
    <w:rsid w:val="002F53E1"/>
    <w:rsid w:val="00302F45"/>
    <w:rsid w:val="00312B9B"/>
    <w:rsid w:val="003210AE"/>
    <w:rsid w:val="003238E8"/>
    <w:rsid w:val="0032606D"/>
    <w:rsid w:val="003269CB"/>
    <w:rsid w:val="003531F7"/>
    <w:rsid w:val="00355E9B"/>
    <w:rsid w:val="0036296B"/>
    <w:rsid w:val="0036570B"/>
    <w:rsid w:val="003672E8"/>
    <w:rsid w:val="00381611"/>
    <w:rsid w:val="00381BE8"/>
    <w:rsid w:val="003879E7"/>
    <w:rsid w:val="003C2D74"/>
    <w:rsid w:val="003D0BE9"/>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571F"/>
    <w:rsid w:val="00520716"/>
    <w:rsid w:val="00525C33"/>
    <w:rsid w:val="00534B6F"/>
    <w:rsid w:val="0055137F"/>
    <w:rsid w:val="00564988"/>
    <w:rsid w:val="005650AA"/>
    <w:rsid w:val="005721E2"/>
    <w:rsid w:val="00581F54"/>
    <w:rsid w:val="00591FF4"/>
    <w:rsid w:val="005B4A13"/>
    <w:rsid w:val="005B5D08"/>
    <w:rsid w:val="005B6F06"/>
    <w:rsid w:val="005E2478"/>
    <w:rsid w:val="005E3296"/>
    <w:rsid w:val="005E4CC1"/>
    <w:rsid w:val="005E7FD6"/>
    <w:rsid w:val="005F493D"/>
    <w:rsid w:val="005F5085"/>
    <w:rsid w:val="0060074E"/>
    <w:rsid w:val="00603845"/>
    <w:rsid w:val="00612C00"/>
    <w:rsid w:val="00622921"/>
    <w:rsid w:val="00625CDD"/>
    <w:rsid w:val="006262A1"/>
    <w:rsid w:val="00634C43"/>
    <w:rsid w:val="006374D3"/>
    <w:rsid w:val="0064732F"/>
    <w:rsid w:val="00655805"/>
    <w:rsid w:val="00684D6B"/>
    <w:rsid w:val="006851EA"/>
    <w:rsid w:val="0068658C"/>
    <w:rsid w:val="006B23DE"/>
    <w:rsid w:val="006C0A8D"/>
    <w:rsid w:val="006C6EC8"/>
    <w:rsid w:val="006D1D90"/>
    <w:rsid w:val="006F011E"/>
    <w:rsid w:val="006F6614"/>
    <w:rsid w:val="007014F6"/>
    <w:rsid w:val="00710F8D"/>
    <w:rsid w:val="007141DF"/>
    <w:rsid w:val="00716354"/>
    <w:rsid w:val="0072505B"/>
    <w:rsid w:val="00733FB4"/>
    <w:rsid w:val="007357DF"/>
    <w:rsid w:val="00742328"/>
    <w:rsid w:val="00751665"/>
    <w:rsid w:val="0075293C"/>
    <w:rsid w:val="007531A4"/>
    <w:rsid w:val="007543E1"/>
    <w:rsid w:val="00773264"/>
    <w:rsid w:val="007750E3"/>
    <w:rsid w:val="00791129"/>
    <w:rsid w:val="007B3879"/>
    <w:rsid w:val="007B689E"/>
    <w:rsid w:val="007C537E"/>
    <w:rsid w:val="007C59A9"/>
    <w:rsid w:val="007C6533"/>
    <w:rsid w:val="007D6919"/>
    <w:rsid w:val="007E0070"/>
    <w:rsid w:val="007E6FC0"/>
    <w:rsid w:val="007F2F8F"/>
    <w:rsid w:val="00805BE2"/>
    <w:rsid w:val="00820499"/>
    <w:rsid w:val="00820BBC"/>
    <w:rsid w:val="0083551A"/>
    <w:rsid w:val="00837D22"/>
    <w:rsid w:val="00840E16"/>
    <w:rsid w:val="00842404"/>
    <w:rsid w:val="00853230"/>
    <w:rsid w:val="008569BE"/>
    <w:rsid w:val="00885AA9"/>
    <w:rsid w:val="00886179"/>
    <w:rsid w:val="00887169"/>
    <w:rsid w:val="00891392"/>
    <w:rsid w:val="0089296C"/>
    <w:rsid w:val="00894548"/>
    <w:rsid w:val="008A128C"/>
    <w:rsid w:val="008A2B1A"/>
    <w:rsid w:val="008A3D63"/>
    <w:rsid w:val="008B1067"/>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46382"/>
    <w:rsid w:val="00960F83"/>
    <w:rsid w:val="00961F82"/>
    <w:rsid w:val="00975DD8"/>
    <w:rsid w:val="009A6CDE"/>
    <w:rsid w:val="009B02E2"/>
    <w:rsid w:val="009B7620"/>
    <w:rsid w:val="009C1D50"/>
    <w:rsid w:val="009C21F4"/>
    <w:rsid w:val="009D4A00"/>
    <w:rsid w:val="009D7991"/>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6717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47418"/>
    <w:rsid w:val="00B55338"/>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C1E60"/>
    <w:rsid w:val="00CE321E"/>
    <w:rsid w:val="00CF2E41"/>
    <w:rsid w:val="00D03075"/>
    <w:rsid w:val="00D06577"/>
    <w:rsid w:val="00D277BF"/>
    <w:rsid w:val="00D31A13"/>
    <w:rsid w:val="00D35D88"/>
    <w:rsid w:val="00D41F1F"/>
    <w:rsid w:val="00D42328"/>
    <w:rsid w:val="00D44BDF"/>
    <w:rsid w:val="00D46B82"/>
    <w:rsid w:val="00D61DC6"/>
    <w:rsid w:val="00D64DC3"/>
    <w:rsid w:val="00D730BF"/>
    <w:rsid w:val="00D7773B"/>
    <w:rsid w:val="00D80938"/>
    <w:rsid w:val="00D92412"/>
    <w:rsid w:val="00D95A7D"/>
    <w:rsid w:val="00DA2545"/>
    <w:rsid w:val="00DC2B91"/>
    <w:rsid w:val="00DC769E"/>
    <w:rsid w:val="00DE2482"/>
    <w:rsid w:val="00DF0A1E"/>
    <w:rsid w:val="00E030BC"/>
    <w:rsid w:val="00E044EF"/>
    <w:rsid w:val="00E14656"/>
    <w:rsid w:val="00E15F47"/>
    <w:rsid w:val="00E21EF6"/>
    <w:rsid w:val="00E225F2"/>
    <w:rsid w:val="00E240E3"/>
    <w:rsid w:val="00E242B4"/>
    <w:rsid w:val="00E262E8"/>
    <w:rsid w:val="00E26C6D"/>
    <w:rsid w:val="00E2713B"/>
    <w:rsid w:val="00E300AB"/>
    <w:rsid w:val="00E36240"/>
    <w:rsid w:val="00E364E2"/>
    <w:rsid w:val="00E547B2"/>
    <w:rsid w:val="00E5740F"/>
    <w:rsid w:val="00E607C2"/>
    <w:rsid w:val="00E63E7D"/>
    <w:rsid w:val="00E65022"/>
    <w:rsid w:val="00E76D07"/>
    <w:rsid w:val="00E8131F"/>
    <w:rsid w:val="00E83D81"/>
    <w:rsid w:val="00E83E33"/>
    <w:rsid w:val="00E85A6E"/>
    <w:rsid w:val="00E8640E"/>
    <w:rsid w:val="00EA6A84"/>
    <w:rsid w:val="00EB29DD"/>
    <w:rsid w:val="00EB2C53"/>
    <w:rsid w:val="00EB4B6A"/>
    <w:rsid w:val="00EC6F7C"/>
    <w:rsid w:val="00ED2526"/>
    <w:rsid w:val="00ED49A6"/>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81893"/>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ia.mphela@sita.co.za"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2A2E56"/>
    <w:rsid w:val="002C65FF"/>
    <w:rsid w:val="0039441A"/>
    <w:rsid w:val="003C79ED"/>
    <w:rsid w:val="00454F7B"/>
    <w:rsid w:val="004E374B"/>
    <w:rsid w:val="005C5143"/>
    <w:rsid w:val="005C7332"/>
    <w:rsid w:val="00617E3B"/>
    <w:rsid w:val="00632147"/>
    <w:rsid w:val="0077706F"/>
    <w:rsid w:val="007850CA"/>
    <w:rsid w:val="007A4E5F"/>
    <w:rsid w:val="00852AE1"/>
    <w:rsid w:val="00875FC0"/>
    <w:rsid w:val="00917477"/>
    <w:rsid w:val="00962FE6"/>
    <w:rsid w:val="00A81086"/>
    <w:rsid w:val="00B02AA5"/>
    <w:rsid w:val="00BB377F"/>
    <w:rsid w:val="00CB1FE3"/>
    <w:rsid w:val="00D67F22"/>
    <w:rsid w:val="00D84C0E"/>
    <w:rsid w:val="00DE19F1"/>
    <w:rsid w:val="00E61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3A15E97C-C44B-43F5-AF55-F2E19E88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4</TotalTime>
  <Pages>34</Pages>
  <Words>12936</Words>
  <Characters>73738</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Portia Mphela</cp:lastModifiedBy>
  <cp:revision>3</cp:revision>
  <cp:lastPrinted>2022-09-09T07:39:00Z</cp:lastPrinted>
  <dcterms:created xsi:type="dcterms:W3CDTF">2023-05-15T11:18:00Z</dcterms:created>
  <dcterms:modified xsi:type="dcterms:W3CDTF">2023-05-15T11:21:00Z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