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7160" w14:textId="77777777" w:rsidR="000624B7" w:rsidRDefault="000624B7" w:rsidP="000624B7">
      <w:pPr>
        <w:spacing w:after="0"/>
        <w:ind w:left="-567" w:right="-612"/>
        <w:rPr>
          <w:rFonts w:ascii="Arial" w:hAnsi="Arial" w:cs="Arial"/>
          <w:b/>
          <w:u w:val="single"/>
        </w:rPr>
      </w:pPr>
      <w:r w:rsidRPr="005D5883">
        <w:rPr>
          <w:rFonts w:ascii="Arial" w:hAnsi="Arial" w:cs="Arial"/>
          <w:b/>
          <w:u w:val="single"/>
        </w:rPr>
        <w:t>ANNEXURE D</w:t>
      </w:r>
    </w:p>
    <w:p w14:paraId="15551052" w14:textId="77777777" w:rsidR="000624B7" w:rsidRPr="005D5883" w:rsidRDefault="000624B7" w:rsidP="000624B7">
      <w:pPr>
        <w:spacing w:after="0"/>
        <w:ind w:left="-567" w:right="-612"/>
        <w:rPr>
          <w:rFonts w:ascii="Arial" w:hAnsi="Arial" w:cs="Arial"/>
          <w:b/>
          <w:u w:val="single"/>
        </w:rPr>
      </w:pPr>
    </w:p>
    <w:p w14:paraId="7B5FE636" w14:textId="77777777" w:rsidR="000624B7" w:rsidRDefault="000624B7" w:rsidP="000624B7">
      <w:pPr>
        <w:spacing w:after="0"/>
        <w:ind w:left="-567" w:right="-612"/>
        <w:jc w:val="both"/>
        <w:rPr>
          <w:rFonts w:ascii="Arial" w:hAnsi="Arial" w:cs="Arial"/>
          <w:b/>
          <w:u w:val="single"/>
        </w:rPr>
      </w:pPr>
      <w:r w:rsidRPr="005D5883">
        <w:rPr>
          <w:rFonts w:ascii="Arial" w:hAnsi="Arial" w:cs="Arial"/>
          <w:b/>
          <w:u w:val="single"/>
        </w:rPr>
        <w:t xml:space="preserve">CPA REQUIREMENTS FOR LOCAL GOODS AND SERVICES (SOUTH AFRICA) </w:t>
      </w:r>
    </w:p>
    <w:p w14:paraId="290FB050" w14:textId="77777777" w:rsidR="000624B7" w:rsidRPr="005D5883" w:rsidRDefault="000624B7" w:rsidP="000624B7">
      <w:pPr>
        <w:spacing w:after="0"/>
        <w:ind w:left="-567" w:right="-612"/>
        <w:jc w:val="both"/>
        <w:rPr>
          <w:rFonts w:ascii="Arial" w:eastAsia="Times New Roman" w:hAnsi="Arial" w:cs="Arial"/>
          <w:b/>
          <w:lang w:val="en-GB"/>
        </w:rPr>
      </w:pPr>
    </w:p>
    <w:p w14:paraId="59EBA8EE" w14:textId="2755C8F0" w:rsidR="000624B7" w:rsidRDefault="000624B7" w:rsidP="000624B7">
      <w:pPr>
        <w:spacing w:after="0"/>
        <w:ind w:left="-567" w:right="-612"/>
        <w:jc w:val="both"/>
        <w:rPr>
          <w:rFonts w:ascii="Arial" w:eastAsia="Times New Roman" w:hAnsi="Arial" w:cs="Arial"/>
          <w:b/>
          <w:lang w:val="en-GB"/>
        </w:rPr>
      </w:pPr>
      <w:r w:rsidRPr="005D5883">
        <w:rPr>
          <w:rFonts w:ascii="Arial" w:eastAsia="Times New Roman" w:hAnsi="Arial" w:cs="Arial"/>
          <w:b/>
          <w:lang w:val="en-GB"/>
        </w:rPr>
        <w:t xml:space="preserve">THE APPLICATION OF CONTRACT PRICE ADJUSTMENT (CPA) TO TENDER </w:t>
      </w:r>
      <w:commentRangeStart w:id="0"/>
      <w:commentRangeStart w:id="1"/>
      <w:commentRangeStart w:id="2"/>
      <w:r w:rsidRPr="005D5883">
        <w:rPr>
          <w:rFonts w:ascii="Arial" w:eastAsia="Times New Roman" w:hAnsi="Arial" w:cs="Arial"/>
          <w:b/>
          <w:lang w:val="en-GB"/>
        </w:rPr>
        <w:t>SUBMISSIONS</w:t>
      </w:r>
      <w:commentRangeEnd w:id="0"/>
      <w:r>
        <w:rPr>
          <w:rStyle w:val="CommentReference"/>
        </w:rPr>
        <w:commentReference w:id="0"/>
      </w:r>
      <w:commentRangeEnd w:id="1"/>
      <w:r>
        <w:rPr>
          <w:rStyle w:val="CommentReference"/>
        </w:rPr>
        <w:commentReference w:id="1"/>
      </w:r>
      <w:commentRangeEnd w:id="2"/>
      <w:r>
        <w:rPr>
          <w:rStyle w:val="CommentReference"/>
        </w:rPr>
        <w:commentReference w:id="2"/>
      </w:r>
    </w:p>
    <w:p w14:paraId="40BC9152" w14:textId="77777777" w:rsidR="000624B7" w:rsidRDefault="000624B7" w:rsidP="000624B7">
      <w:pPr>
        <w:spacing w:after="0"/>
        <w:ind w:left="-567" w:right="-612"/>
        <w:jc w:val="both"/>
        <w:rPr>
          <w:rFonts w:ascii="Arial" w:eastAsia="Times New Roman" w:hAnsi="Arial" w:cs="Arial"/>
          <w:b/>
          <w:lang w:val="en-GB"/>
        </w:rPr>
      </w:pPr>
    </w:p>
    <w:p w14:paraId="1D1FCEFB" w14:textId="77777777" w:rsidR="000624B7" w:rsidRDefault="000624B7" w:rsidP="000624B7">
      <w:pPr>
        <w:keepNext/>
        <w:numPr>
          <w:ilvl w:val="0"/>
          <w:numId w:val="2"/>
        </w:numPr>
        <w:spacing w:after="0"/>
        <w:ind w:left="0" w:right="357" w:hanging="567"/>
        <w:jc w:val="both"/>
        <w:outlineLvl w:val="2"/>
        <w:rPr>
          <w:rFonts w:ascii="Arial" w:eastAsia="Times New Roman" w:hAnsi="Arial" w:cs="Arial"/>
          <w:b/>
          <w:caps/>
          <w:lang w:val="en-US"/>
        </w:rPr>
      </w:pPr>
      <w:r w:rsidRPr="006F1C30">
        <w:rPr>
          <w:rFonts w:ascii="Arial" w:eastAsia="Times New Roman" w:hAnsi="Arial" w:cs="Arial"/>
          <w:b/>
          <w:caps/>
          <w:lang w:val="en-US"/>
        </w:rPr>
        <w:t xml:space="preserve">Application of cpa </w:t>
      </w:r>
    </w:p>
    <w:p w14:paraId="68544501" w14:textId="77777777" w:rsidR="000624B7" w:rsidRPr="006F1C30" w:rsidRDefault="000624B7" w:rsidP="000624B7">
      <w:pPr>
        <w:keepNext/>
        <w:spacing w:after="0"/>
        <w:ind w:left="363" w:right="357"/>
        <w:jc w:val="both"/>
        <w:outlineLvl w:val="2"/>
        <w:rPr>
          <w:rFonts w:ascii="Arial" w:eastAsia="Times New Roman" w:hAnsi="Arial" w:cs="Arial"/>
          <w:b/>
          <w:caps/>
          <w:lang w:val="en-US"/>
        </w:rPr>
      </w:pPr>
    </w:p>
    <w:p w14:paraId="03E81EB2" w14:textId="5688C350"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b/>
          <w:bCs/>
          <w:lang w:val="en-US"/>
        </w:rPr>
      </w:pPr>
      <w:r w:rsidRPr="00B41D4F">
        <w:rPr>
          <w:rFonts w:ascii="Arial" w:eastAsia="Times New Roman" w:hAnsi="Arial" w:cs="Arial"/>
          <w:lang w:val="en-US"/>
        </w:rPr>
        <w:t>CPA conditions</w:t>
      </w:r>
      <w:r w:rsidRPr="00B41D4F">
        <w:rPr>
          <w:rFonts w:ascii="Arial" w:eastAsia="Times New Roman" w:hAnsi="Arial" w:cs="Arial"/>
          <w:b/>
          <w:bCs/>
          <w:u w:val="single"/>
          <w:lang w:val="en-US"/>
        </w:rPr>
        <w:t xml:space="preserve"> may </w:t>
      </w:r>
      <w:r w:rsidRPr="00B41D4F">
        <w:rPr>
          <w:rFonts w:ascii="Arial" w:eastAsia="Times New Roman" w:hAnsi="Arial" w:cs="Arial"/>
          <w:lang w:val="en-US"/>
        </w:rPr>
        <w:t xml:space="preserve">apply if the contractual duration is to be longer than sixteen (16) months. If the contractual duration will be less than or equal to sixteen (16) months, a fixed priced offer </w:t>
      </w:r>
      <w:r w:rsidRPr="00B41D4F">
        <w:rPr>
          <w:rFonts w:ascii="Arial" w:eastAsia="Times New Roman" w:hAnsi="Arial" w:cs="Arial"/>
          <w:b/>
          <w:bCs/>
          <w:lang w:val="en-US"/>
        </w:rPr>
        <w:t xml:space="preserve">must </w:t>
      </w:r>
      <w:r w:rsidRPr="00B41D4F">
        <w:rPr>
          <w:rFonts w:ascii="Arial" w:eastAsia="Times New Roman" w:hAnsi="Arial" w:cs="Arial"/>
          <w:lang w:val="en-US"/>
        </w:rPr>
        <w:t>be submitted.</w:t>
      </w:r>
    </w:p>
    <w:p w14:paraId="7AEE3248"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In terms of the volatile commodities, CPA will be applicable from the base date prior to enquiry to the end date of the contract. The volatile commodities are those commodities which are easily impacted by the international market.</w:t>
      </w:r>
      <w:r w:rsidRPr="00B41D4F">
        <w:t xml:space="preserve"> </w:t>
      </w:r>
    </w:p>
    <w:p w14:paraId="1F0BE706" w14:textId="77777777" w:rsidR="000624B7" w:rsidRPr="00B16696"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b/>
          <w:bCs/>
          <w:color w:val="FF0000"/>
          <w:lang w:val="en-US"/>
        </w:rPr>
      </w:pPr>
      <w:r w:rsidRPr="00B16696">
        <w:rPr>
          <w:rFonts w:ascii="Arial" w:eastAsia="Times New Roman" w:hAnsi="Arial" w:cs="Arial"/>
          <w:b/>
          <w:bCs/>
          <w:color w:val="FF0000"/>
          <w:lang w:val="en-US"/>
        </w:rPr>
        <w:t>Failure to propose contract price adjustment, or submit a CPA formula with the tender submission, will result in the pricing being considered fixed and firm for the full duration of the contract.</w:t>
      </w:r>
    </w:p>
    <w:p w14:paraId="26AA9631"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Eskom will not accept Rate of Exchange adjustment to be included in any CPA formula.</w:t>
      </w:r>
    </w:p>
    <w:p w14:paraId="79509470"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Local indices may not be used for CPA purposes for any imported component.</w:t>
      </w:r>
    </w:p>
    <w:p w14:paraId="235B8733"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There must be separate CPA formulae for local and foreign CPA. Local and foreign escalation may not be combined into one formula.</w:t>
      </w:r>
    </w:p>
    <w:p w14:paraId="095E6268"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The base date for CPA calculation purposes will be one month prior to enquiry closing or as agreed to between the parties (if there is a need to move the base date during contract negotiations).</w:t>
      </w:r>
    </w:p>
    <w:p w14:paraId="04F1F013"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The latest / ruling index used for CPA calculation purposes will be aligned to the delivery dates of the equipment on the assessment for payment on a particular payment certificate month.</w:t>
      </w:r>
    </w:p>
    <w:p w14:paraId="5093B688" w14:textId="77777777" w:rsidR="000624B7" w:rsidRPr="00B41D4F" w:rsidRDefault="000624B7" w:rsidP="000624B7">
      <w:pPr>
        <w:pStyle w:val="ListParagraph"/>
        <w:numPr>
          <w:ilvl w:val="0"/>
          <w:numId w:val="10"/>
        </w:numPr>
        <w:tabs>
          <w:tab w:val="left" w:pos="426"/>
        </w:tabs>
        <w:spacing w:after="0"/>
        <w:ind w:left="426" w:right="-308" w:hanging="426"/>
        <w:jc w:val="both"/>
        <w:rPr>
          <w:rFonts w:ascii="Arial" w:eastAsia="Times New Roman" w:hAnsi="Arial" w:cs="Arial"/>
          <w:lang w:val="en-US"/>
        </w:rPr>
      </w:pPr>
      <w:r w:rsidRPr="00B41D4F">
        <w:rPr>
          <w:rFonts w:ascii="Arial" w:eastAsia="Times New Roman" w:hAnsi="Arial" w:cs="Arial"/>
          <w:lang w:val="en-US"/>
        </w:rPr>
        <w:t>For general construction works the latest / ruling index used will be the index published on the month of procuring the payment certificate.</w:t>
      </w:r>
    </w:p>
    <w:p w14:paraId="4DCE70FF" w14:textId="77777777" w:rsidR="000624B7" w:rsidRPr="006F1C30" w:rsidRDefault="000624B7" w:rsidP="000624B7">
      <w:pPr>
        <w:tabs>
          <w:tab w:val="left" w:pos="357"/>
        </w:tabs>
        <w:spacing w:after="0" w:line="240" w:lineRule="auto"/>
        <w:ind w:left="709"/>
        <w:contextualSpacing/>
        <w:jc w:val="both"/>
        <w:rPr>
          <w:rFonts w:ascii="Arial" w:eastAsia="Times New Roman" w:hAnsi="Arial" w:cs="Arial"/>
          <w:lang w:val="en-US"/>
        </w:rPr>
      </w:pPr>
    </w:p>
    <w:p w14:paraId="03D1CE91" w14:textId="77777777" w:rsidR="000624B7" w:rsidRDefault="000624B7" w:rsidP="000624B7">
      <w:pPr>
        <w:keepNext/>
        <w:numPr>
          <w:ilvl w:val="0"/>
          <w:numId w:val="2"/>
        </w:numPr>
        <w:tabs>
          <w:tab w:val="clear" w:pos="720"/>
          <w:tab w:val="num" w:pos="0"/>
        </w:tabs>
        <w:spacing w:after="0"/>
        <w:ind w:left="0" w:right="-613" w:hanging="56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22EE41AE" w14:textId="77777777" w:rsidR="000624B7" w:rsidRPr="005D5883" w:rsidRDefault="000624B7" w:rsidP="000624B7">
      <w:pPr>
        <w:keepNext/>
        <w:spacing w:after="0"/>
        <w:ind w:left="284" w:right="-613"/>
        <w:outlineLvl w:val="2"/>
        <w:rPr>
          <w:rFonts w:ascii="Arial" w:eastAsia="Times New Roman" w:hAnsi="Arial" w:cs="Arial"/>
          <w:b/>
          <w:caps/>
          <w:lang w:val="en-US"/>
        </w:rPr>
      </w:pPr>
    </w:p>
    <w:p w14:paraId="295A821C" w14:textId="77777777" w:rsidR="000624B7" w:rsidRPr="005D5883" w:rsidRDefault="000624B7" w:rsidP="000624B7">
      <w:pPr>
        <w:tabs>
          <w:tab w:val="left" w:pos="284"/>
          <w:tab w:val="left" w:pos="357"/>
        </w:tabs>
        <w:spacing w:after="0"/>
        <w:ind w:left="284" w:right="-613" w:hanging="284"/>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103E341B" w14:textId="77777777" w:rsidR="000624B7" w:rsidRPr="005D5883" w:rsidRDefault="000624B7" w:rsidP="000624B7">
      <w:pPr>
        <w:tabs>
          <w:tab w:val="left" w:pos="357"/>
        </w:tabs>
        <w:spacing w:after="0"/>
        <w:ind w:left="360" w:right="-613"/>
        <w:rPr>
          <w:rFonts w:ascii="Arial" w:eastAsia="Times New Roman" w:hAnsi="Arial" w:cs="Arial"/>
          <w:lang w:val="en-US"/>
        </w:rPr>
      </w:pPr>
    </w:p>
    <w:p w14:paraId="3D61B1AC" w14:textId="06D331A5" w:rsidR="000624B7" w:rsidRPr="005D5883" w:rsidRDefault="000624B7" w:rsidP="000624B7">
      <w:pPr>
        <w:tabs>
          <w:tab w:val="left" w:pos="284"/>
        </w:tabs>
        <w:spacing w:after="0"/>
        <w:ind w:left="709" w:right="-613" w:hanging="709"/>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 xml:space="preserve">Main </w:t>
      </w:r>
      <w:r w:rsidR="00076DBE">
        <w:rPr>
          <w:rFonts w:ascii="Arial" w:eastAsia="Times New Roman" w:hAnsi="Arial" w:cs="Arial"/>
          <w:b/>
          <w:lang w:val="en-US"/>
        </w:rPr>
        <w:t>O</w:t>
      </w:r>
      <w:r w:rsidRPr="005D5883">
        <w:rPr>
          <w:rFonts w:ascii="Arial" w:eastAsia="Times New Roman" w:hAnsi="Arial" w:cs="Arial"/>
          <w:b/>
          <w:lang w:val="en-US"/>
        </w:rPr>
        <w:t>ffer</w:t>
      </w:r>
      <w:r w:rsidRPr="005D5883">
        <w:rPr>
          <w:rFonts w:ascii="Arial" w:eastAsia="Times New Roman" w:hAnsi="Arial" w:cs="Arial"/>
          <w:lang w:val="en-US"/>
        </w:rPr>
        <w:t>:</w:t>
      </w:r>
    </w:p>
    <w:p w14:paraId="67E9E05C" w14:textId="77777777" w:rsidR="000624B7" w:rsidRPr="005D5883" w:rsidRDefault="000624B7" w:rsidP="000624B7">
      <w:pPr>
        <w:tabs>
          <w:tab w:val="left" w:pos="357"/>
        </w:tabs>
        <w:spacing w:after="0"/>
        <w:ind w:left="897" w:right="-330" w:hanging="540"/>
        <w:rPr>
          <w:rFonts w:ascii="Arial" w:eastAsia="Times New Roman" w:hAnsi="Arial" w:cs="Arial"/>
          <w:lang w:val="en-US"/>
        </w:rPr>
      </w:pPr>
    </w:p>
    <w:p w14:paraId="12511133" w14:textId="03552F3E" w:rsidR="000624B7" w:rsidRPr="000624B7" w:rsidRDefault="000624B7" w:rsidP="00813E8A">
      <w:pPr>
        <w:pStyle w:val="ListParagraph"/>
        <w:numPr>
          <w:ilvl w:val="1"/>
          <w:numId w:val="2"/>
        </w:numPr>
        <w:tabs>
          <w:tab w:val="clear" w:pos="1440"/>
          <w:tab w:val="num" w:pos="426"/>
        </w:tabs>
        <w:spacing w:after="0"/>
        <w:ind w:left="426" w:right="-330" w:hanging="426"/>
        <w:jc w:val="both"/>
        <w:rPr>
          <w:rFonts w:ascii="Arial" w:eastAsia="Times New Roman" w:hAnsi="Arial" w:cs="Arial"/>
          <w:lang w:val="en-US"/>
        </w:rPr>
      </w:pPr>
      <w:r w:rsidRPr="000624B7">
        <w:rPr>
          <w:rFonts w:ascii="Arial" w:eastAsia="Times New Roman" w:hAnsi="Arial" w:cs="Arial"/>
          <w:lang w:val="en-US"/>
        </w:rPr>
        <w:t>A Main Offer that is fully compliant with the CPA requirements as specified in the Enquiry.</w:t>
      </w:r>
    </w:p>
    <w:p w14:paraId="4B0D9AF5" w14:textId="3836E7F7" w:rsidR="000624B7" w:rsidRPr="00C07E1C" w:rsidRDefault="000624B7" w:rsidP="00813E8A">
      <w:pPr>
        <w:pStyle w:val="ListParagraph"/>
        <w:numPr>
          <w:ilvl w:val="1"/>
          <w:numId w:val="2"/>
        </w:numPr>
        <w:tabs>
          <w:tab w:val="clear" w:pos="1440"/>
          <w:tab w:val="num" w:pos="426"/>
        </w:tabs>
        <w:spacing w:after="0"/>
        <w:ind w:left="426" w:right="-330" w:hanging="426"/>
        <w:jc w:val="both"/>
        <w:rPr>
          <w:rFonts w:ascii="Arial" w:eastAsia="Times New Roman" w:hAnsi="Arial" w:cs="Arial"/>
          <w:b/>
          <w:lang w:val="en-US"/>
        </w:rPr>
      </w:pPr>
      <w:r w:rsidRPr="00C07E1C">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63FE8324" w14:textId="24E1179F" w:rsidR="000624B7" w:rsidRDefault="000624B7" w:rsidP="00C07E1C">
      <w:pPr>
        <w:tabs>
          <w:tab w:val="left" w:pos="284"/>
        </w:tabs>
        <w:spacing w:after="0"/>
        <w:ind w:left="284" w:right="-613" w:hanging="284"/>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6A53FAA0" w14:textId="77777777" w:rsidR="000624B7" w:rsidRPr="005D5883" w:rsidRDefault="000624B7" w:rsidP="000624B7">
      <w:pPr>
        <w:tabs>
          <w:tab w:val="left" w:pos="357"/>
        </w:tabs>
        <w:spacing w:after="0"/>
        <w:ind w:left="284" w:right="-613"/>
        <w:jc w:val="both"/>
        <w:rPr>
          <w:rFonts w:ascii="Arial" w:eastAsia="Times New Roman" w:hAnsi="Arial" w:cs="Arial"/>
          <w:b/>
          <w:lang w:val="en-US"/>
        </w:rPr>
      </w:pPr>
    </w:p>
    <w:p w14:paraId="67410D86" w14:textId="5E87CB07" w:rsidR="00076DBE" w:rsidRPr="00076DBE" w:rsidRDefault="000624B7" w:rsidP="00076DBE">
      <w:pPr>
        <w:keepNext/>
        <w:numPr>
          <w:ilvl w:val="0"/>
          <w:numId w:val="2"/>
        </w:numPr>
        <w:spacing w:after="120" w:line="240" w:lineRule="auto"/>
        <w:ind w:left="0" w:right="-306" w:hanging="567"/>
        <w:jc w:val="both"/>
        <w:outlineLvl w:val="2"/>
        <w:rPr>
          <w:rFonts w:ascii="Arial" w:eastAsia="Times New Roman" w:hAnsi="Arial" w:cs="Arial"/>
          <w:i/>
          <w:lang w:val="en-US"/>
        </w:rPr>
      </w:pPr>
      <w:r w:rsidRPr="00076DBE">
        <w:rPr>
          <w:rFonts w:ascii="Arial" w:eastAsia="Times New Roman" w:hAnsi="Arial" w:cs="Arial"/>
          <w:b/>
          <w:caps/>
          <w:lang w:val="en-US"/>
        </w:rPr>
        <w:lastRenderedPageBreak/>
        <w:t>Eskom’s PREferred INDEX LIST</w:t>
      </w:r>
    </w:p>
    <w:p w14:paraId="1A84B5CB" w14:textId="77777777" w:rsidR="00076DBE" w:rsidRPr="00076DBE" w:rsidRDefault="00076DBE" w:rsidP="00076DBE">
      <w:pPr>
        <w:keepNext/>
        <w:spacing w:after="120" w:line="240" w:lineRule="auto"/>
        <w:ind w:right="-306"/>
        <w:jc w:val="both"/>
        <w:outlineLvl w:val="2"/>
        <w:rPr>
          <w:rFonts w:ascii="Arial" w:eastAsia="Times New Roman" w:hAnsi="Arial" w:cs="Arial"/>
          <w:iCs/>
          <w:lang w:val="en-US"/>
        </w:rPr>
      </w:pPr>
    </w:p>
    <w:p w14:paraId="2597CAA2" w14:textId="5E4630FF" w:rsidR="000624B7" w:rsidRPr="00076DBE" w:rsidRDefault="000624B7" w:rsidP="00076DBE">
      <w:pPr>
        <w:keepNext/>
        <w:spacing w:after="120" w:line="240" w:lineRule="auto"/>
        <w:ind w:right="-306"/>
        <w:jc w:val="both"/>
        <w:outlineLvl w:val="2"/>
        <w:rPr>
          <w:rFonts w:ascii="Arial" w:eastAsia="Times New Roman" w:hAnsi="Arial" w:cs="Arial"/>
          <w:i/>
          <w:lang w:val="en-US"/>
        </w:rPr>
      </w:pPr>
      <w:r w:rsidRPr="00076DBE">
        <w:rPr>
          <w:rFonts w:ascii="Arial" w:eastAsia="Times New Roman" w:hAnsi="Arial" w:cs="Arial"/>
          <w:lang w:val="en-US"/>
        </w:rPr>
        <w:t>Eskom’s preferred index list is set out hereunder in Tables 1 and 2. The index list comprises indices that could be used in the Tenderer</w:t>
      </w:r>
      <w:r w:rsidR="00076DBE">
        <w:rPr>
          <w:rFonts w:ascii="Arial" w:eastAsia="Times New Roman" w:hAnsi="Arial" w:cs="Arial"/>
          <w:lang w:val="en-US"/>
        </w:rPr>
        <w:t>’</w:t>
      </w:r>
      <w:r w:rsidRPr="00076DBE">
        <w:rPr>
          <w:rFonts w:ascii="Arial" w:eastAsia="Times New Roman" w:hAnsi="Arial" w:cs="Arial"/>
          <w:lang w:val="en-US"/>
        </w:rPr>
        <w:t xml:space="preserve">s </w:t>
      </w:r>
      <w:r w:rsidR="00076DBE">
        <w:rPr>
          <w:rFonts w:ascii="Arial" w:eastAsia="Times New Roman" w:hAnsi="Arial" w:cs="Arial"/>
          <w:lang w:val="en-US"/>
        </w:rPr>
        <w:t>M</w:t>
      </w:r>
      <w:r w:rsidRPr="00076DBE">
        <w:rPr>
          <w:rFonts w:ascii="Arial" w:eastAsia="Times New Roman" w:hAnsi="Arial" w:cs="Arial"/>
          <w:lang w:val="en-US"/>
        </w:rPr>
        <w:t xml:space="preserve">ain </w:t>
      </w:r>
      <w:r w:rsidR="00076DBE">
        <w:rPr>
          <w:rFonts w:ascii="Arial" w:eastAsia="Times New Roman" w:hAnsi="Arial" w:cs="Arial"/>
          <w:lang w:val="en-US"/>
        </w:rPr>
        <w:t>O</w:t>
      </w:r>
      <w:r w:rsidRPr="00076DBE">
        <w:rPr>
          <w:rFonts w:ascii="Arial" w:eastAsia="Times New Roman" w:hAnsi="Arial" w:cs="Arial"/>
          <w:lang w:val="en-US"/>
        </w:rPr>
        <w:t>ffer.</w:t>
      </w:r>
    </w:p>
    <w:p w14:paraId="4B456684" w14:textId="77777777" w:rsidR="000624B7" w:rsidRPr="005D5883" w:rsidRDefault="000624B7" w:rsidP="000624B7">
      <w:pPr>
        <w:spacing w:after="0"/>
        <w:ind w:left="284" w:right="-330"/>
        <w:jc w:val="both"/>
        <w:rPr>
          <w:rFonts w:ascii="Arial" w:eastAsia="Times New Roman" w:hAnsi="Arial" w:cs="Arial"/>
          <w:i/>
          <w:lang w:val="en-US"/>
        </w:rPr>
      </w:pPr>
    </w:p>
    <w:p w14:paraId="407AC299" w14:textId="77777777" w:rsidR="000624B7" w:rsidRDefault="000624B7" w:rsidP="000624B7">
      <w:pPr>
        <w:keepNext/>
        <w:numPr>
          <w:ilvl w:val="0"/>
          <w:numId w:val="2"/>
        </w:numPr>
        <w:spacing w:after="0"/>
        <w:ind w:left="0" w:right="-613" w:hanging="56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40884FF5" w14:textId="77777777" w:rsidR="000624B7" w:rsidRPr="005D5883" w:rsidRDefault="000624B7" w:rsidP="000624B7">
      <w:pPr>
        <w:keepNext/>
        <w:spacing w:after="0"/>
        <w:ind w:left="284" w:right="-613"/>
        <w:outlineLvl w:val="2"/>
        <w:rPr>
          <w:rFonts w:ascii="Arial" w:eastAsia="Times New Roman" w:hAnsi="Arial" w:cs="Arial"/>
          <w:b/>
          <w:caps/>
          <w:lang w:val="en-US"/>
        </w:rPr>
      </w:pPr>
    </w:p>
    <w:p w14:paraId="487044D1" w14:textId="77777777" w:rsidR="000624B7" w:rsidRDefault="000624B7" w:rsidP="000624B7">
      <w:pPr>
        <w:tabs>
          <w:tab w:val="left" w:pos="0"/>
        </w:tabs>
        <w:spacing w:after="0"/>
        <w:ind w:right="-330"/>
        <w:jc w:val="both"/>
        <w:rPr>
          <w:rFonts w:ascii="Arial" w:eastAsia="Times New Roman" w:hAnsi="Arial" w:cs="Arial"/>
          <w:lang w:val="en-GB"/>
        </w:rPr>
      </w:pPr>
      <w:r w:rsidRPr="005D5883">
        <w:rPr>
          <w:rFonts w:ascii="Arial" w:eastAsia="Times New Roman" w:hAnsi="Arial" w:cs="Arial"/>
          <w:lang w:val="en-GB"/>
        </w:rPr>
        <w:t>In instances where the pre</w:t>
      </w:r>
      <w:r>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160CE576" w14:textId="77777777" w:rsidR="000624B7" w:rsidRPr="005D5883" w:rsidRDefault="000624B7" w:rsidP="000624B7">
      <w:pPr>
        <w:tabs>
          <w:tab w:val="left" w:pos="357"/>
        </w:tabs>
        <w:spacing w:after="0"/>
        <w:ind w:left="284" w:right="-330"/>
        <w:jc w:val="both"/>
        <w:rPr>
          <w:rFonts w:ascii="Arial" w:eastAsia="Times New Roman" w:hAnsi="Arial" w:cs="Arial"/>
          <w:lang w:val="en-GB"/>
        </w:rPr>
      </w:pPr>
    </w:p>
    <w:p w14:paraId="3B06E57D" w14:textId="77777777" w:rsidR="00076DBE" w:rsidRDefault="000624B7" w:rsidP="00813E8A">
      <w:pPr>
        <w:pStyle w:val="ListParagraph"/>
        <w:numPr>
          <w:ilvl w:val="1"/>
          <w:numId w:val="2"/>
        </w:numPr>
        <w:spacing w:after="0"/>
        <w:ind w:left="426" w:right="-330" w:hanging="426"/>
        <w:jc w:val="both"/>
        <w:rPr>
          <w:rFonts w:ascii="Arial" w:eastAsia="Times New Roman" w:hAnsi="Arial" w:cs="Arial"/>
          <w:lang w:val="en-GB"/>
        </w:rPr>
      </w:pPr>
      <w:r w:rsidRPr="00076DBE">
        <w:rPr>
          <w:rFonts w:ascii="Arial" w:eastAsia="Times New Roman" w:hAnsi="Arial" w:cs="Arial"/>
          <w:lang w:val="en-GB"/>
        </w:rPr>
        <w:t>The source of an index must be that of the national statistical institute of the relevant country or a generally acknowledged statistical (</w:t>
      </w:r>
      <w:proofErr w:type="gramStart"/>
      <w:r w:rsidRPr="00076DBE">
        <w:rPr>
          <w:rFonts w:ascii="Arial" w:eastAsia="Times New Roman" w:hAnsi="Arial" w:cs="Arial"/>
          <w:lang w:val="en-GB"/>
        </w:rPr>
        <w:t>e.g.</w:t>
      </w:r>
      <w:proofErr w:type="gramEnd"/>
      <w:r w:rsidRPr="00076DBE">
        <w:rPr>
          <w:rFonts w:ascii="Arial" w:eastAsia="Times New Roman" w:hAnsi="Arial" w:cs="Arial"/>
          <w:lang w:val="en-GB"/>
        </w:rPr>
        <w:t xml:space="preserve"> industry) body in or for that country, e.g. BEAMA and MEPS.</w:t>
      </w:r>
    </w:p>
    <w:p w14:paraId="2B476175" w14:textId="75B4FAD0" w:rsidR="000624B7" w:rsidRPr="00076DBE" w:rsidRDefault="000624B7" w:rsidP="00813E8A">
      <w:pPr>
        <w:pStyle w:val="ListParagraph"/>
        <w:numPr>
          <w:ilvl w:val="1"/>
          <w:numId w:val="2"/>
        </w:numPr>
        <w:spacing w:after="0"/>
        <w:ind w:left="426" w:right="-330" w:hanging="426"/>
        <w:jc w:val="both"/>
        <w:rPr>
          <w:rFonts w:ascii="Arial" w:eastAsia="Times New Roman" w:hAnsi="Arial" w:cs="Arial"/>
          <w:lang w:val="en-GB"/>
        </w:rPr>
      </w:pPr>
      <w:r w:rsidRPr="00076DBE">
        <w:rPr>
          <w:rFonts w:ascii="Arial" w:eastAsia="Times New Roman" w:hAnsi="Arial" w:cs="Arial"/>
          <w:lang w:val="en-GB"/>
        </w:rPr>
        <w:t>The index must be the equivalent, or if unavailable, the nearest equivalent index to that of the specific prescribed local index.</w:t>
      </w:r>
    </w:p>
    <w:p w14:paraId="6C7289D6" w14:textId="77777777" w:rsidR="000624B7" w:rsidRPr="005D5883" w:rsidRDefault="000624B7" w:rsidP="000624B7">
      <w:pPr>
        <w:tabs>
          <w:tab w:val="left" w:pos="357"/>
        </w:tabs>
        <w:spacing w:after="0"/>
        <w:ind w:left="720" w:right="-330"/>
        <w:contextualSpacing/>
        <w:jc w:val="both"/>
        <w:rPr>
          <w:rFonts w:ascii="Arial" w:eastAsia="Times New Roman" w:hAnsi="Arial" w:cs="Arial"/>
          <w:lang w:val="en-GB"/>
        </w:rPr>
      </w:pPr>
    </w:p>
    <w:p w14:paraId="011EC9C3" w14:textId="77777777" w:rsidR="000624B7" w:rsidRDefault="000624B7" w:rsidP="000624B7">
      <w:pPr>
        <w:pStyle w:val="ListNumber"/>
        <w:keepNext/>
        <w:numPr>
          <w:ilvl w:val="0"/>
          <w:numId w:val="7"/>
        </w:numPr>
        <w:tabs>
          <w:tab w:val="clear" w:pos="720"/>
          <w:tab w:val="num" w:pos="0"/>
        </w:tabs>
        <w:spacing w:after="0"/>
        <w:ind w:left="0" w:right="-613" w:hanging="567"/>
        <w:outlineLvl w:val="2"/>
        <w:rPr>
          <w:rFonts w:ascii="Arial" w:eastAsia="Times New Roman" w:hAnsi="Arial" w:cs="Arial"/>
          <w:b/>
          <w:caps/>
          <w:lang w:val="en-US"/>
        </w:rPr>
      </w:pPr>
      <w:r w:rsidRPr="00841153">
        <w:rPr>
          <w:rFonts w:ascii="Arial" w:eastAsia="Times New Roman" w:hAnsi="Arial" w:cs="Arial"/>
          <w:b/>
          <w:caps/>
          <w:lang w:val="en-US"/>
        </w:rPr>
        <w:t>NUMBER OF FORMULAE &amp; INDICES</w:t>
      </w:r>
    </w:p>
    <w:p w14:paraId="152EEA6D" w14:textId="77777777" w:rsidR="000624B7" w:rsidRPr="00841153" w:rsidRDefault="000624B7" w:rsidP="000624B7">
      <w:pPr>
        <w:pStyle w:val="ListNumber"/>
        <w:keepNext/>
        <w:numPr>
          <w:ilvl w:val="0"/>
          <w:numId w:val="0"/>
        </w:numPr>
        <w:spacing w:after="0"/>
        <w:ind w:left="284" w:right="-613"/>
        <w:outlineLvl w:val="2"/>
        <w:rPr>
          <w:rFonts w:ascii="Arial" w:eastAsia="Times New Roman" w:hAnsi="Arial" w:cs="Arial"/>
          <w:b/>
          <w:caps/>
          <w:lang w:val="en-US"/>
        </w:rPr>
      </w:pPr>
    </w:p>
    <w:p w14:paraId="43E40DFF" w14:textId="65B9D5DA" w:rsidR="000624B7" w:rsidRDefault="000624B7" w:rsidP="000624B7">
      <w:pPr>
        <w:tabs>
          <w:tab w:val="left" w:pos="357"/>
        </w:tabs>
        <w:spacing w:after="0"/>
        <w:ind w:right="-330"/>
        <w:jc w:val="both"/>
        <w:rPr>
          <w:rFonts w:ascii="Arial" w:eastAsia="Times New Roman" w:hAnsi="Arial" w:cs="Arial"/>
          <w:lang w:val="en-US"/>
        </w:rPr>
      </w:pPr>
      <w:r w:rsidRPr="005D5883">
        <w:rPr>
          <w:rFonts w:ascii="Arial" w:eastAsia="Times New Roman" w:hAnsi="Arial" w:cs="Arial"/>
          <w:lang w:val="en-US"/>
        </w:rPr>
        <w:t>The Tenderer is</w:t>
      </w:r>
      <w:r>
        <w:rPr>
          <w:rFonts w:ascii="Arial" w:eastAsia="Times New Roman" w:hAnsi="Arial" w:cs="Arial"/>
          <w:lang w:val="en-US"/>
        </w:rPr>
        <w:t xml:space="preserve"> limited </w:t>
      </w:r>
      <w:r w:rsidRPr="005D5883">
        <w:rPr>
          <w:rFonts w:ascii="Arial" w:eastAsia="Times New Roman" w:hAnsi="Arial" w:cs="Arial"/>
          <w:lang w:val="en-US"/>
        </w:rPr>
        <w:t>to a maximum of ten</w:t>
      </w:r>
      <w:r>
        <w:rPr>
          <w:rFonts w:ascii="Arial" w:eastAsia="Times New Roman" w:hAnsi="Arial" w:cs="Arial"/>
          <w:lang w:val="en-US"/>
        </w:rPr>
        <w:t xml:space="preserve"> (</w:t>
      </w:r>
      <w:r w:rsidRPr="005D5883">
        <w:rPr>
          <w:rFonts w:ascii="Arial" w:eastAsia="Times New Roman" w:hAnsi="Arial" w:cs="Arial"/>
          <w:lang w:val="en-US"/>
        </w:rPr>
        <w:t>10</w:t>
      </w:r>
      <w:r>
        <w:rPr>
          <w:rFonts w:ascii="Arial" w:eastAsia="Times New Roman" w:hAnsi="Arial" w:cs="Arial"/>
          <w:lang w:val="en-US"/>
        </w:rPr>
        <w:t>)</w:t>
      </w:r>
      <w:r w:rsidRPr="005D5883">
        <w:rPr>
          <w:rFonts w:ascii="Arial" w:eastAsia="Times New Roman" w:hAnsi="Arial" w:cs="Arial"/>
          <w:lang w:val="en-US"/>
        </w:rPr>
        <w:t xml:space="preserve"> indices in total, i.e.: a maximum of </w:t>
      </w:r>
      <w:r>
        <w:rPr>
          <w:rFonts w:ascii="Arial" w:eastAsia="Times New Roman" w:hAnsi="Arial" w:cs="Arial"/>
          <w:lang w:val="en-US"/>
        </w:rPr>
        <w:t>five (5)</w:t>
      </w:r>
      <w:r w:rsidRPr="005D5883">
        <w:rPr>
          <w:rFonts w:ascii="Arial" w:eastAsia="Times New Roman" w:hAnsi="Arial" w:cs="Arial"/>
          <w:lang w:val="en-US"/>
        </w:rPr>
        <w:t xml:space="preserve"> local</w:t>
      </w:r>
      <w:r>
        <w:rPr>
          <w:rFonts w:ascii="Arial" w:eastAsia="Times New Roman" w:hAnsi="Arial" w:cs="Arial"/>
          <w:lang w:val="en-US"/>
        </w:rPr>
        <w:t xml:space="preserve"> </w:t>
      </w:r>
      <w:r w:rsidRPr="005D5883">
        <w:rPr>
          <w:rFonts w:ascii="Arial" w:eastAsia="Times New Roman" w:hAnsi="Arial" w:cs="Arial"/>
          <w:lang w:val="en-US"/>
        </w:rPr>
        <w:t xml:space="preserve">indices and maximum of </w:t>
      </w:r>
      <w:r>
        <w:rPr>
          <w:rFonts w:ascii="Arial" w:eastAsia="Times New Roman" w:hAnsi="Arial" w:cs="Arial"/>
          <w:lang w:val="en-US"/>
        </w:rPr>
        <w:t>five (5)</w:t>
      </w:r>
      <w:r w:rsidRPr="005D5883">
        <w:rPr>
          <w:rFonts w:ascii="Arial" w:eastAsia="Times New Roman" w:hAnsi="Arial" w:cs="Arial"/>
          <w:lang w:val="en-US"/>
        </w:rPr>
        <w:t xml:space="preserve"> foreign indices, excluding the fixed portion per CPA formula, per offer</w:t>
      </w:r>
      <w:r w:rsidR="00076DBE">
        <w:rPr>
          <w:rFonts w:ascii="Arial" w:eastAsia="Times New Roman" w:hAnsi="Arial" w:cs="Arial"/>
          <w:lang w:val="en-US"/>
        </w:rPr>
        <w:t xml:space="preserve"> </w:t>
      </w:r>
      <w:r w:rsidRPr="005D5883">
        <w:rPr>
          <w:rFonts w:ascii="Arial" w:eastAsia="Times New Roman" w:hAnsi="Arial" w:cs="Arial"/>
          <w:lang w:val="en-US"/>
        </w:rPr>
        <w:t>/</w:t>
      </w:r>
      <w:r w:rsidR="00076DBE">
        <w:rPr>
          <w:rFonts w:ascii="Arial" w:eastAsia="Times New Roman" w:hAnsi="Arial" w:cs="Arial"/>
          <w:lang w:val="en-US"/>
        </w:rPr>
        <w:t xml:space="preserve"> </w:t>
      </w:r>
      <w:r w:rsidRPr="005D5883">
        <w:rPr>
          <w:rFonts w:ascii="Arial" w:eastAsia="Times New Roman" w:hAnsi="Arial" w:cs="Arial"/>
          <w:lang w:val="en-US"/>
        </w:rPr>
        <w:t>agreement.</w:t>
      </w:r>
    </w:p>
    <w:p w14:paraId="1EF9D009" w14:textId="77777777" w:rsidR="000624B7" w:rsidRPr="007249D1" w:rsidRDefault="000624B7" w:rsidP="000624B7">
      <w:pPr>
        <w:tabs>
          <w:tab w:val="left" w:pos="357"/>
        </w:tabs>
        <w:spacing w:after="0"/>
        <w:ind w:left="284" w:right="-330"/>
        <w:rPr>
          <w:rFonts w:ascii="Arial" w:eastAsia="Times New Roman" w:hAnsi="Arial" w:cs="Arial"/>
          <w:lang w:val="en-US"/>
        </w:rPr>
      </w:pPr>
    </w:p>
    <w:p w14:paraId="70AEA3B6" w14:textId="77777777" w:rsidR="000624B7" w:rsidRDefault="000624B7" w:rsidP="000624B7">
      <w:pPr>
        <w:keepNext/>
        <w:numPr>
          <w:ilvl w:val="0"/>
          <w:numId w:val="2"/>
        </w:numPr>
        <w:spacing w:after="0"/>
        <w:ind w:left="0" w:right="-613" w:hanging="56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76CB7107" w14:textId="77777777" w:rsidR="000624B7" w:rsidRPr="005D5883" w:rsidRDefault="000624B7" w:rsidP="000624B7">
      <w:pPr>
        <w:keepNext/>
        <w:spacing w:after="0"/>
        <w:ind w:left="284" w:right="-613"/>
        <w:outlineLvl w:val="2"/>
        <w:rPr>
          <w:rFonts w:ascii="Arial" w:eastAsia="Times New Roman" w:hAnsi="Arial" w:cs="Arial"/>
          <w:b/>
          <w:caps/>
          <w:lang w:val="en-US"/>
        </w:rPr>
      </w:pPr>
    </w:p>
    <w:p w14:paraId="1B1CFABD" w14:textId="1F6FEF61" w:rsidR="00076DBE" w:rsidRDefault="000624B7" w:rsidP="00076DBE">
      <w:pPr>
        <w:spacing w:after="0"/>
        <w:ind w:right="-330"/>
        <w:jc w:val="both"/>
        <w:rPr>
          <w:rFonts w:ascii="Arial" w:eastAsia="Times New Roman" w:hAnsi="Arial" w:cs="Arial"/>
          <w:lang w:val="en-US"/>
        </w:rPr>
      </w:pPr>
      <w:r w:rsidRPr="005D5883">
        <w:rPr>
          <w:rFonts w:ascii="Arial" w:eastAsia="Times New Roman" w:hAnsi="Arial" w:cs="Arial"/>
          <w:lang w:val="en-US"/>
        </w:rPr>
        <w:t xml:space="preserve">A minimum of 15% of the total agreement value is to be fixed when a CPA formula </w:t>
      </w:r>
      <w:proofErr w:type="gramStart"/>
      <w:r w:rsidRPr="005D5883">
        <w:rPr>
          <w:rFonts w:ascii="Arial" w:eastAsia="Times New Roman" w:hAnsi="Arial" w:cs="Arial"/>
          <w:lang w:val="en-US"/>
        </w:rPr>
        <w:t>applies;</w:t>
      </w:r>
      <w:proofErr w:type="gramEnd"/>
      <w:r w:rsidRPr="005D5883">
        <w:rPr>
          <w:rFonts w:ascii="Arial" w:eastAsia="Times New Roman" w:hAnsi="Arial" w:cs="Arial"/>
          <w:lang w:val="en-US"/>
        </w:rPr>
        <w:t xml:space="preserve"> except in the case of professional services or consulting agreements.</w:t>
      </w:r>
    </w:p>
    <w:p w14:paraId="243F1137" w14:textId="77777777" w:rsidR="00076DBE" w:rsidRDefault="00076DBE" w:rsidP="00076DBE">
      <w:pPr>
        <w:spacing w:after="0"/>
        <w:ind w:right="-330"/>
        <w:jc w:val="both"/>
        <w:rPr>
          <w:rFonts w:ascii="Arial" w:eastAsia="Times New Roman" w:hAnsi="Arial" w:cs="Arial"/>
          <w:lang w:val="en-US"/>
        </w:rPr>
      </w:pPr>
    </w:p>
    <w:p w14:paraId="160AA6CA" w14:textId="7F11F0CC" w:rsidR="000624B7" w:rsidRPr="00076DBE" w:rsidRDefault="000624B7" w:rsidP="00076DBE">
      <w:pPr>
        <w:pStyle w:val="ListNumber"/>
        <w:numPr>
          <w:ilvl w:val="0"/>
          <w:numId w:val="2"/>
        </w:numPr>
        <w:tabs>
          <w:tab w:val="clear" w:pos="720"/>
          <w:tab w:val="num" w:pos="0"/>
        </w:tabs>
        <w:spacing w:after="0"/>
        <w:ind w:right="-330" w:hanging="1287"/>
        <w:jc w:val="both"/>
        <w:rPr>
          <w:rFonts w:ascii="Arial" w:eastAsia="Times New Roman" w:hAnsi="Arial" w:cs="Arial"/>
          <w:b/>
          <w:caps/>
          <w:lang w:val="en-US"/>
        </w:rPr>
      </w:pPr>
      <w:r w:rsidRPr="00076DBE">
        <w:rPr>
          <w:rFonts w:ascii="Arial" w:eastAsia="Times New Roman" w:hAnsi="Arial" w:cs="Arial"/>
          <w:b/>
          <w:caps/>
          <w:lang w:val="en-US"/>
        </w:rPr>
        <w:t>INDICES</w:t>
      </w:r>
    </w:p>
    <w:p w14:paraId="31AD3E18" w14:textId="77777777" w:rsidR="000624B7" w:rsidRPr="008E0395" w:rsidRDefault="000624B7" w:rsidP="00813E8A">
      <w:pPr>
        <w:pStyle w:val="ListNumber"/>
        <w:numPr>
          <w:ilvl w:val="0"/>
          <w:numId w:val="0"/>
        </w:numPr>
        <w:spacing w:after="0"/>
        <w:ind w:left="426"/>
        <w:rPr>
          <w:rFonts w:ascii="Arial" w:eastAsia="Times New Roman" w:hAnsi="Arial" w:cs="Arial"/>
          <w:b/>
          <w:caps/>
          <w:lang w:val="en-US"/>
        </w:rPr>
        <w:pPrChange w:id="3" w:author="Didimalang Motsemme" w:date="2023-11-28T09:54:00Z">
          <w:pPr>
            <w:pStyle w:val="ListNumber"/>
          </w:pPr>
        </w:pPrChange>
      </w:pPr>
    </w:p>
    <w:p w14:paraId="5E33E6B9" w14:textId="77777777" w:rsidR="000624B7" w:rsidRPr="008E0395" w:rsidRDefault="000624B7" w:rsidP="00813E8A">
      <w:pPr>
        <w:pStyle w:val="ListNumber"/>
        <w:numPr>
          <w:ilvl w:val="0"/>
          <w:numId w:val="11"/>
        </w:numPr>
        <w:spacing w:after="0"/>
        <w:ind w:left="426" w:hanging="425"/>
        <w:rPr>
          <w:rFonts w:ascii="Arial" w:eastAsia="Times New Roman" w:hAnsi="Arial" w:cs="Arial"/>
          <w:lang w:val="en-US"/>
        </w:rPr>
      </w:pPr>
      <w:r w:rsidRPr="008E0395">
        <w:rPr>
          <w:rFonts w:ascii="Arial" w:eastAsia="Times New Roman" w:hAnsi="Arial" w:cs="Arial"/>
          <w:lang w:val="en-US"/>
        </w:rPr>
        <w:t>Indices are to be in the public domain.</w:t>
      </w:r>
    </w:p>
    <w:p w14:paraId="08273668" w14:textId="77777777" w:rsidR="000624B7" w:rsidRPr="008E0395" w:rsidRDefault="000624B7" w:rsidP="00813E8A">
      <w:pPr>
        <w:pStyle w:val="ListNumber"/>
        <w:numPr>
          <w:ilvl w:val="0"/>
          <w:numId w:val="11"/>
        </w:numPr>
        <w:spacing w:after="0"/>
        <w:ind w:left="426" w:hanging="425"/>
        <w:rPr>
          <w:rFonts w:ascii="Arial" w:eastAsia="Times New Roman" w:hAnsi="Arial" w:cs="Arial"/>
          <w:lang w:val="en-US"/>
        </w:rPr>
      </w:pPr>
      <w:r w:rsidRPr="008E0395">
        <w:rPr>
          <w:rFonts w:ascii="Arial" w:eastAsia="Times New Roman" w:hAnsi="Arial" w:cs="Arial"/>
          <w:lang w:val="en-US"/>
        </w:rPr>
        <w:t>No in-house indices may be used for CPA</w:t>
      </w:r>
      <w:r>
        <w:rPr>
          <w:rFonts w:ascii="Arial" w:eastAsia="Times New Roman" w:hAnsi="Arial" w:cs="Arial"/>
          <w:lang w:val="en-US"/>
        </w:rPr>
        <w:t>.</w:t>
      </w:r>
    </w:p>
    <w:p w14:paraId="635ED62C" w14:textId="77777777" w:rsidR="000624B7" w:rsidRDefault="000624B7" w:rsidP="000624B7">
      <w:pPr>
        <w:spacing w:after="0"/>
        <w:ind w:right="-330"/>
        <w:jc w:val="both"/>
        <w:rPr>
          <w:rFonts w:ascii="Arial" w:eastAsia="Times New Roman" w:hAnsi="Arial" w:cs="Arial"/>
          <w:lang w:val="en-US"/>
        </w:rPr>
      </w:pPr>
    </w:p>
    <w:p w14:paraId="484B3E22" w14:textId="77777777" w:rsidR="000624B7" w:rsidRDefault="000624B7" w:rsidP="000624B7">
      <w:pPr>
        <w:keepNext/>
        <w:numPr>
          <w:ilvl w:val="0"/>
          <w:numId w:val="2"/>
        </w:numPr>
        <w:spacing w:after="0"/>
        <w:ind w:left="0" w:right="-613" w:hanging="567"/>
        <w:outlineLvl w:val="2"/>
        <w:rPr>
          <w:rFonts w:ascii="Arial" w:eastAsia="Times New Roman" w:hAnsi="Arial" w:cs="Arial"/>
          <w:b/>
          <w:caps/>
          <w:lang w:val="en-US"/>
        </w:rPr>
      </w:pPr>
      <w:r w:rsidRPr="005D5883">
        <w:rPr>
          <w:rFonts w:ascii="Arial" w:eastAsia="Times New Roman" w:hAnsi="Arial" w:cs="Arial"/>
          <w:b/>
          <w:caps/>
          <w:lang w:val="en-US"/>
        </w:rPr>
        <w:t>Base Date</w:t>
      </w:r>
    </w:p>
    <w:p w14:paraId="099B8AA0" w14:textId="77777777" w:rsidR="000624B7" w:rsidRDefault="000624B7" w:rsidP="000624B7">
      <w:pPr>
        <w:keepNext/>
        <w:spacing w:after="0"/>
        <w:ind w:right="-613"/>
        <w:outlineLvl w:val="2"/>
        <w:rPr>
          <w:rFonts w:ascii="Arial" w:eastAsia="Times New Roman" w:hAnsi="Arial" w:cs="Arial"/>
          <w:b/>
          <w:caps/>
          <w:lang w:val="en-US"/>
        </w:rPr>
      </w:pPr>
    </w:p>
    <w:p w14:paraId="2F21E1A9" w14:textId="77777777" w:rsidR="000624B7" w:rsidRPr="000B2971" w:rsidRDefault="000624B7" w:rsidP="000624B7">
      <w:pPr>
        <w:pStyle w:val="Default"/>
        <w:spacing w:line="276" w:lineRule="auto"/>
        <w:ind w:right="-330"/>
        <w:jc w:val="both"/>
        <w:rPr>
          <w:sz w:val="22"/>
          <w:szCs w:val="22"/>
        </w:rPr>
      </w:pPr>
      <w:r w:rsidRPr="000B2971">
        <w:rPr>
          <w:sz w:val="22"/>
          <w:szCs w:val="22"/>
        </w:rPr>
        <w:t xml:space="preserve">The base date for CPA calculation purposes will be one month prior to enquiry closing or as agreed to between the parties (if there is a need to move the base date during lengthy contract negotiations). </w:t>
      </w:r>
    </w:p>
    <w:p w14:paraId="41DAD973" w14:textId="77777777" w:rsidR="000624B7" w:rsidRPr="00D56E8A" w:rsidRDefault="000624B7" w:rsidP="000624B7">
      <w:pPr>
        <w:pStyle w:val="Default"/>
        <w:spacing w:line="276" w:lineRule="auto"/>
        <w:ind w:right="-330"/>
        <w:jc w:val="both"/>
        <w:rPr>
          <w:b/>
          <w:bCs/>
          <w:sz w:val="22"/>
          <w:szCs w:val="22"/>
        </w:rPr>
      </w:pPr>
    </w:p>
    <w:p w14:paraId="03D4EE71" w14:textId="77777777" w:rsidR="000624B7" w:rsidRPr="00724798" w:rsidRDefault="000624B7" w:rsidP="000624B7">
      <w:pPr>
        <w:numPr>
          <w:ilvl w:val="0"/>
          <w:numId w:val="8"/>
        </w:numPr>
        <w:spacing w:after="0"/>
        <w:ind w:left="284" w:right="-330" w:hanging="284"/>
        <w:contextualSpacing/>
        <w:jc w:val="both"/>
        <w:rPr>
          <w:rFonts w:ascii="Arial" w:eastAsia="Calibri" w:hAnsi="Arial" w:cs="Arial"/>
          <w:lang w:val="en-GB"/>
        </w:rPr>
      </w:pPr>
      <w:r w:rsidRPr="00724798">
        <w:rPr>
          <w:rFonts w:ascii="Arial" w:eastAsia="Calibri" w:hAnsi="Arial" w:cs="Arial"/>
          <w:lang w:val="en-GB"/>
        </w:rPr>
        <w:t>In instances of indices or other references published monthly, the Base Date is to be:</w:t>
      </w:r>
    </w:p>
    <w:p w14:paraId="1ACC1A7A" w14:textId="77777777" w:rsidR="000624B7" w:rsidRPr="00724798" w:rsidRDefault="000624B7" w:rsidP="000624B7">
      <w:pPr>
        <w:spacing w:after="0"/>
        <w:ind w:left="284" w:right="-330"/>
        <w:contextualSpacing/>
        <w:jc w:val="both"/>
        <w:rPr>
          <w:rFonts w:ascii="Arial" w:eastAsia="Calibri" w:hAnsi="Arial" w:cs="Arial"/>
          <w:lang w:val="en-GB"/>
        </w:rPr>
      </w:pPr>
      <w:r w:rsidRPr="00724798">
        <w:rPr>
          <w:rFonts w:ascii="Arial" w:eastAsia="Calibri" w:hAnsi="Arial" w:cs="Arial"/>
          <w:i/>
          <w:lang w:val="en-US"/>
        </w:rPr>
        <w:t xml:space="preserve">       </w:t>
      </w:r>
      <w:r w:rsidRPr="00724798">
        <w:rPr>
          <w:rFonts w:ascii="Arial" w:eastAsia="Calibri" w:hAnsi="Arial" w:cs="Arial"/>
          <w:i/>
          <w:lang w:val="en-US"/>
        </w:rPr>
        <w:tab/>
        <w:t xml:space="preserve">The month before the month in which the Enquiry </w:t>
      </w:r>
      <w:proofErr w:type="gramStart"/>
      <w:r w:rsidRPr="00724798">
        <w:rPr>
          <w:rFonts w:ascii="Arial" w:eastAsia="Calibri" w:hAnsi="Arial" w:cs="Arial"/>
          <w:i/>
          <w:lang w:val="en-US"/>
        </w:rPr>
        <w:t>closes</w:t>
      </w:r>
      <w:proofErr w:type="gramEnd"/>
    </w:p>
    <w:p w14:paraId="2320815B" w14:textId="77777777" w:rsidR="000624B7" w:rsidRPr="00724798" w:rsidRDefault="000624B7" w:rsidP="000624B7">
      <w:pPr>
        <w:numPr>
          <w:ilvl w:val="0"/>
          <w:numId w:val="8"/>
        </w:numPr>
        <w:tabs>
          <w:tab w:val="left" w:pos="284"/>
        </w:tabs>
        <w:spacing w:after="0"/>
        <w:ind w:left="284" w:right="-330" w:hanging="284"/>
        <w:contextualSpacing/>
        <w:jc w:val="both"/>
        <w:rPr>
          <w:rFonts w:ascii="Arial" w:eastAsia="Calibri" w:hAnsi="Arial" w:cs="Arial"/>
          <w:lang w:val="en-GB"/>
        </w:rPr>
      </w:pPr>
      <w:r w:rsidRPr="00724798">
        <w:rPr>
          <w:rFonts w:ascii="Arial" w:eastAsia="Calibri" w:hAnsi="Arial" w:cs="Arial"/>
          <w:lang w:val="en-GB"/>
        </w:rPr>
        <w:t xml:space="preserve">In instances where the reference figures, </w:t>
      </w:r>
      <w:proofErr w:type="gramStart"/>
      <w:r w:rsidRPr="00724798">
        <w:rPr>
          <w:rFonts w:ascii="Arial" w:eastAsia="Calibri" w:hAnsi="Arial" w:cs="Arial"/>
          <w:lang w:val="en-GB"/>
        </w:rPr>
        <w:t>e.g.</w:t>
      </w:r>
      <w:proofErr w:type="gramEnd"/>
      <w:r w:rsidRPr="00724798">
        <w:rPr>
          <w:rFonts w:ascii="Arial" w:eastAsia="Calibri" w:hAnsi="Arial" w:cs="Arial"/>
          <w:lang w:val="en-GB"/>
        </w:rPr>
        <w:t xml:space="preserve"> market prices, are published daily or at more intervals than once a month: </w:t>
      </w:r>
    </w:p>
    <w:p w14:paraId="310F3B07" w14:textId="77777777" w:rsidR="000624B7" w:rsidRPr="00724798" w:rsidRDefault="000624B7" w:rsidP="000624B7">
      <w:pPr>
        <w:spacing w:after="0"/>
        <w:ind w:left="360" w:right="-330"/>
        <w:contextualSpacing/>
        <w:jc w:val="both"/>
        <w:rPr>
          <w:rFonts w:ascii="Arial" w:eastAsia="Calibri" w:hAnsi="Arial" w:cs="Arial"/>
          <w:i/>
          <w:lang w:val="en-US"/>
        </w:rPr>
      </w:pPr>
      <w:r w:rsidRPr="00724798">
        <w:rPr>
          <w:rFonts w:ascii="Arial" w:eastAsia="Calibri" w:hAnsi="Arial" w:cs="Arial"/>
          <w:i/>
          <w:lang w:val="en-US"/>
        </w:rPr>
        <w:t xml:space="preserve">      The average for the month before the month in which the Enquiry closes.</w:t>
      </w:r>
    </w:p>
    <w:p w14:paraId="30585383" w14:textId="77777777" w:rsidR="000624B7" w:rsidRPr="00724798" w:rsidRDefault="000624B7" w:rsidP="000624B7">
      <w:pPr>
        <w:numPr>
          <w:ilvl w:val="0"/>
          <w:numId w:val="8"/>
        </w:numPr>
        <w:spacing w:after="0"/>
        <w:ind w:left="284" w:right="-330" w:hanging="284"/>
        <w:contextualSpacing/>
        <w:jc w:val="both"/>
        <w:rPr>
          <w:rFonts w:ascii="Arial" w:eastAsia="Calibri" w:hAnsi="Arial" w:cs="Arial"/>
          <w:lang w:val="en-GB"/>
        </w:rPr>
      </w:pPr>
      <w:r w:rsidRPr="00724798">
        <w:rPr>
          <w:rFonts w:ascii="Arial" w:eastAsia="Calibri" w:hAnsi="Arial" w:cs="Arial"/>
          <w:lang w:val="en-GB"/>
        </w:rPr>
        <w:lastRenderedPageBreak/>
        <w:t>In this case, the following shall apply:</w:t>
      </w:r>
    </w:p>
    <w:p w14:paraId="47888582" w14:textId="77777777" w:rsidR="000624B7" w:rsidRPr="00724798" w:rsidRDefault="000624B7" w:rsidP="000624B7">
      <w:pPr>
        <w:numPr>
          <w:ilvl w:val="0"/>
          <w:numId w:val="9"/>
        </w:numPr>
        <w:tabs>
          <w:tab w:val="left" w:pos="357"/>
        </w:tabs>
        <w:spacing w:after="0"/>
        <w:ind w:right="-330"/>
        <w:contextualSpacing/>
        <w:jc w:val="both"/>
        <w:rPr>
          <w:rFonts w:ascii="Arial" w:eastAsia="Calibri" w:hAnsi="Arial" w:cs="Arial"/>
          <w:lang w:val="en-US"/>
        </w:rPr>
      </w:pPr>
      <w:r w:rsidRPr="00724798">
        <w:rPr>
          <w:rFonts w:ascii="Arial" w:eastAsia="Calibri" w:hAnsi="Arial" w:cs="Arial"/>
          <w:lang w:val="en-US"/>
        </w:rPr>
        <w:t>Where the average is published:</w:t>
      </w:r>
    </w:p>
    <w:p w14:paraId="5B76998D" w14:textId="77777777" w:rsidR="000624B7" w:rsidRPr="00724798" w:rsidRDefault="000624B7" w:rsidP="000624B7">
      <w:pPr>
        <w:spacing w:after="0"/>
        <w:ind w:left="709" w:right="-330"/>
        <w:jc w:val="both"/>
        <w:rPr>
          <w:rFonts w:ascii="Arial" w:eastAsia="Calibri" w:hAnsi="Arial" w:cs="Arial"/>
          <w:i/>
          <w:lang w:val="en-US"/>
        </w:rPr>
      </w:pPr>
      <w:r w:rsidRPr="00724798">
        <w:rPr>
          <w:rFonts w:ascii="Arial" w:eastAsia="Calibri" w:hAnsi="Arial" w:cs="Arial"/>
          <w:i/>
          <w:lang w:val="en-US"/>
        </w:rPr>
        <w:t xml:space="preserve">The average published price in the currency Eskom will be exposed to. </w:t>
      </w:r>
      <w:proofErr w:type="gramStart"/>
      <w:r w:rsidRPr="00724798">
        <w:rPr>
          <w:rFonts w:ascii="Arial" w:eastAsia="Calibri" w:hAnsi="Arial" w:cs="Arial"/>
          <w:i/>
          <w:lang w:val="en-US"/>
        </w:rPr>
        <w:t>e.g.</w:t>
      </w:r>
      <w:proofErr w:type="gramEnd"/>
      <w:r w:rsidRPr="00724798">
        <w:rPr>
          <w:rFonts w:ascii="Arial" w:eastAsia="Calibri" w:hAnsi="Arial" w:cs="Arial"/>
          <w:i/>
          <w:lang w:val="en-US"/>
        </w:rPr>
        <w:t xml:space="preserve"> The currency in which Eskom will </w:t>
      </w:r>
      <w:proofErr w:type="spellStart"/>
      <w:r w:rsidRPr="00724798">
        <w:rPr>
          <w:rFonts w:ascii="Arial" w:eastAsia="Calibri" w:hAnsi="Arial" w:cs="Arial"/>
          <w:i/>
          <w:lang w:val="en-US"/>
        </w:rPr>
        <w:t>effect</w:t>
      </w:r>
      <w:proofErr w:type="spellEnd"/>
      <w:r w:rsidRPr="00724798">
        <w:rPr>
          <w:rFonts w:ascii="Arial" w:eastAsia="Calibri" w:hAnsi="Arial" w:cs="Arial"/>
          <w:i/>
          <w:lang w:val="en-US"/>
        </w:rPr>
        <w:t xml:space="preserve"> payment.</w:t>
      </w:r>
    </w:p>
    <w:p w14:paraId="6FEDA171" w14:textId="77777777" w:rsidR="000624B7" w:rsidRPr="00724798" w:rsidRDefault="000624B7" w:rsidP="000624B7">
      <w:pPr>
        <w:numPr>
          <w:ilvl w:val="0"/>
          <w:numId w:val="9"/>
        </w:numPr>
        <w:tabs>
          <w:tab w:val="left" w:pos="357"/>
        </w:tabs>
        <w:spacing w:after="0"/>
        <w:ind w:right="-330"/>
        <w:contextualSpacing/>
        <w:jc w:val="both"/>
        <w:rPr>
          <w:rFonts w:ascii="Arial" w:eastAsia="Calibri" w:hAnsi="Arial" w:cs="Arial"/>
          <w:lang w:val="en-US"/>
        </w:rPr>
      </w:pPr>
      <w:r w:rsidRPr="00724798">
        <w:rPr>
          <w:rFonts w:ascii="Arial" w:eastAsia="Calibri" w:hAnsi="Arial" w:cs="Arial"/>
          <w:lang w:val="en-US"/>
        </w:rPr>
        <w:t xml:space="preserve">Where a high, </w:t>
      </w:r>
      <w:proofErr w:type="gramStart"/>
      <w:r w:rsidRPr="00724798">
        <w:rPr>
          <w:rFonts w:ascii="Arial" w:eastAsia="Calibri" w:hAnsi="Arial" w:cs="Arial"/>
          <w:lang w:val="en-US"/>
        </w:rPr>
        <w:t>low</w:t>
      </w:r>
      <w:proofErr w:type="gramEnd"/>
      <w:r w:rsidRPr="00724798">
        <w:rPr>
          <w:rFonts w:ascii="Arial" w:eastAsia="Calibri" w:hAnsi="Arial" w:cs="Arial"/>
          <w:lang w:val="en-US"/>
        </w:rPr>
        <w:t xml:space="preserve"> and mean are published:</w:t>
      </w:r>
    </w:p>
    <w:p w14:paraId="0A57697C" w14:textId="77777777" w:rsidR="000624B7" w:rsidRPr="00724798" w:rsidRDefault="000624B7" w:rsidP="000624B7">
      <w:pPr>
        <w:spacing w:after="0"/>
        <w:ind w:left="709" w:right="-330"/>
        <w:jc w:val="both"/>
        <w:rPr>
          <w:rFonts w:ascii="Arial" w:eastAsia="Calibri" w:hAnsi="Arial" w:cs="Arial"/>
          <w:i/>
          <w:lang w:val="en-US"/>
        </w:rPr>
      </w:pPr>
      <w:r w:rsidRPr="00724798">
        <w:rPr>
          <w:rFonts w:ascii="Arial" w:eastAsia="Calibri" w:hAnsi="Arial" w:cs="Arial"/>
          <w:i/>
          <w:lang w:val="en-US"/>
        </w:rPr>
        <w:t>The mean</w:t>
      </w:r>
    </w:p>
    <w:p w14:paraId="56767038" w14:textId="77777777" w:rsidR="000624B7" w:rsidRPr="00724798" w:rsidRDefault="000624B7" w:rsidP="000624B7">
      <w:pPr>
        <w:numPr>
          <w:ilvl w:val="0"/>
          <w:numId w:val="9"/>
        </w:numPr>
        <w:tabs>
          <w:tab w:val="left" w:pos="357"/>
        </w:tabs>
        <w:spacing w:after="0"/>
        <w:ind w:right="-330"/>
        <w:contextualSpacing/>
        <w:jc w:val="both"/>
        <w:rPr>
          <w:rFonts w:ascii="Arial" w:eastAsia="Calibri" w:hAnsi="Arial" w:cs="Arial"/>
          <w:lang w:val="en-US"/>
        </w:rPr>
      </w:pPr>
      <w:r w:rsidRPr="00724798">
        <w:rPr>
          <w:rFonts w:ascii="Arial" w:eastAsia="Calibri" w:hAnsi="Arial" w:cs="Arial"/>
          <w:lang w:val="en-US"/>
        </w:rPr>
        <w:t>Where other prices than the Cash Settlement or Cash Sellers Price are published:</w:t>
      </w:r>
    </w:p>
    <w:p w14:paraId="18BBFAB3" w14:textId="77777777" w:rsidR="000624B7" w:rsidRPr="00724798" w:rsidRDefault="000624B7" w:rsidP="000624B7">
      <w:pPr>
        <w:spacing w:after="0"/>
        <w:ind w:left="1080" w:right="-330" w:hanging="371"/>
        <w:jc w:val="both"/>
        <w:rPr>
          <w:rFonts w:ascii="Arial" w:eastAsia="Calibri" w:hAnsi="Arial" w:cs="Arial"/>
          <w:i/>
          <w:lang w:val="en-US"/>
        </w:rPr>
      </w:pPr>
      <w:r w:rsidRPr="00724798">
        <w:rPr>
          <w:rFonts w:ascii="Arial" w:eastAsia="Calibri" w:hAnsi="Arial" w:cs="Arial"/>
          <w:i/>
          <w:lang w:val="en-US"/>
        </w:rPr>
        <w:t>The Cash Settlement or Cash Sellers Price</w:t>
      </w:r>
    </w:p>
    <w:p w14:paraId="7E8D5D25" w14:textId="481CD1B5" w:rsidR="000624B7" w:rsidRDefault="000624B7" w:rsidP="000624B7">
      <w:pPr>
        <w:numPr>
          <w:ilvl w:val="0"/>
          <w:numId w:val="9"/>
        </w:numPr>
        <w:tabs>
          <w:tab w:val="left" w:pos="357"/>
        </w:tabs>
        <w:spacing w:after="0"/>
        <w:ind w:right="-330"/>
        <w:contextualSpacing/>
        <w:rPr>
          <w:rFonts w:ascii="Arial" w:eastAsia="Calibri" w:hAnsi="Arial" w:cs="Arial"/>
          <w:lang w:val="en-GB"/>
        </w:rPr>
      </w:pPr>
      <w:r w:rsidRPr="00724798">
        <w:rPr>
          <w:rFonts w:ascii="Arial" w:eastAsia="Calibri" w:hAnsi="Arial" w:cs="Arial"/>
          <w:lang w:val="en-US"/>
        </w:rPr>
        <w:t>Where applicable, these principles, must also apply for the CPA “cut-off” date</w:t>
      </w:r>
      <w:r w:rsidRPr="00724798">
        <w:rPr>
          <w:rFonts w:ascii="Arial" w:eastAsia="Calibri" w:hAnsi="Arial" w:cs="Arial"/>
          <w:lang w:val="en-GB"/>
        </w:rPr>
        <w:t>.</w:t>
      </w:r>
    </w:p>
    <w:p w14:paraId="14A5E2D9" w14:textId="3AFC6D5C" w:rsidR="0013580A" w:rsidRDefault="0013580A" w:rsidP="0013580A">
      <w:pPr>
        <w:tabs>
          <w:tab w:val="left" w:pos="357"/>
        </w:tabs>
        <w:spacing w:after="0"/>
        <w:ind w:left="1146" w:right="-330"/>
        <w:contextualSpacing/>
        <w:rPr>
          <w:rFonts w:ascii="Arial" w:eastAsia="Calibri" w:hAnsi="Arial" w:cs="Arial"/>
          <w:lang w:val="en-GB"/>
        </w:rPr>
      </w:pPr>
    </w:p>
    <w:p w14:paraId="00FC23B0" w14:textId="77777777" w:rsidR="0013580A" w:rsidRPr="004B057E" w:rsidRDefault="0013580A" w:rsidP="0013580A">
      <w:pPr>
        <w:tabs>
          <w:tab w:val="left" w:pos="357"/>
        </w:tabs>
        <w:spacing w:after="0"/>
        <w:ind w:left="1146" w:right="-330"/>
        <w:contextualSpacing/>
        <w:rPr>
          <w:rFonts w:ascii="Arial" w:eastAsia="Calibri" w:hAnsi="Arial" w:cs="Arial"/>
          <w:lang w:val="en-GB"/>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 w:author="Didimalang Motsemme" w:date="2023-11-28T10:23:00Z">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560"/>
        <w:gridCol w:w="2976"/>
        <w:gridCol w:w="1276"/>
        <w:gridCol w:w="3119"/>
        <w:tblGridChange w:id="5">
          <w:tblGrid>
            <w:gridCol w:w="1560"/>
            <w:gridCol w:w="3402"/>
            <w:gridCol w:w="1005"/>
            <w:gridCol w:w="3534"/>
          </w:tblGrid>
        </w:tblGridChange>
      </w:tblGrid>
      <w:tr w:rsidR="000624B7" w:rsidRPr="005D5883" w14:paraId="71242038" w14:textId="77777777" w:rsidTr="0005502D">
        <w:trPr>
          <w:trHeight w:val="443"/>
          <w:trPrChange w:id="6" w:author="Didimalang Motsemme" w:date="2023-11-28T10:23:00Z">
            <w:trPr>
              <w:trHeight w:val="443"/>
            </w:trPr>
          </w:trPrChange>
        </w:trPr>
        <w:tc>
          <w:tcPr>
            <w:tcW w:w="1560" w:type="dxa"/>
            <w:tcBorders>
              <w:top w:val="nil"/>
              <w:left w:val="nil"/>
              <w:bottom w:val="nil"/>
              <w:right w:val="nil"/>
            </w:tcBorders>
            <w:tcMar>
              <w:top w:w="57" w:type="dxa"/>
              <w:bottom w:w="57" w:type="dxa"/>
            </w:tcMar>
            <w:vAlign w:val="center"/>
            <w:tcPrChange w:id="7" w:author="Didimalang Motsemme" w:date="2023-11-28T10:23:00Z">
              <w:tcPr>
                <w:tcW w:w="1560" w:type="dxa"/>
                <w:tcBorders>
                  <w:top w:val="nil"/>
                  <w:left w:val="nil"/>
                  <w:bottom w:val="nil"/>
                  <w:right w:val="nil"/>
                </w:tcBorders>
                <w:tcMar>
                  <w:top w:w="57" w:type="dxa"/>
                  <w:bottom w:w="57" w:type="dxa"/>
                </w:tcMar>
              </w:tcPr>
            </w:tcPrChange>
          </w:tcPr>
          <w:p w14:paraId="06E32AB2" w14:textId="77777777" w:rsidR="000624B7" w:rsidRPr="005D5883" w:rsidRDefault="000624B7" w:rsidP="0005502D">
            <w:pPr>
              <w:tabs>
                <w:tab w:val="left" w:pos="357"/>
              </w:tabs>
              <w:spacing w:after="0" w:line="240" w:lineRule="auto"/>
              <w:ind w:right="-613"/>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976" w:type="dxa"/>
            <w:tcBorders>
              <w:top w:val="nil"/>
              <w:left w:val="nil"/>
              <w:bottom w:val="dotted" w:sz="4" w:space="0" w:color="auto"/>
              <w:right w:val="nil"/>
            </w:tcBorders>
            <w:tcMar>
              <w:top w:w="57" w:type="dxa"/>
              <w:bottom w:w="57" w:type="dxa"/>
            </w:tcMar>
            <w:vAlign w:val="center"/>
            <w:tcPrChange w:id="8" w:author="Didimalang Motsemme" w:date="2023-11-28T10:23:00Z">
              <w:tcPr>
                <w:tcW w:w="3402" w:type="dxa"/>
                <w:tcBorders>
                  <w:top w:val="nil"/>
                  <w:left w:val="nil"/>
                  <w:bottom w:val="dotted" w:sz="4" w:space="0" w:color="auto"/>
                  <w:right w:val="nil"/>
                </w:tcBorders>
                <w:tcMar>
                  <w:top w:w="57" w:type="dxa"/>
                  <w:bottom w:w="57" w:type="dxa"/>
                </w:tcMar>
              </w:tcPr>
            </w:tcPrChange>
          </w:tcPr>
          <w:p w14:paraId="53E99FE4" w14:textId="77777777" w:rsidR="000624B7" w:rsidRPr="005D5883" w:rsidRDefault="000624B7" w:rsidP="0005502D">
            <w:pPr>
              <w:tabs>
                <w:tab w:val="left" w:pos="357"/>
              </w:tabs>
              <w:spacing w:after="0" w:line="240" w:lineRule="auto"/>
              <w:ind w:right="31"/>
              <w:rPr>
                <w:rFonts w:ascii="Arial" w:eastAsia="Times New Roman" w:hAnsi="Arial" w:cs="Arial"/>
                <w:sz w:val="20"/>
                <w:szCs w:val="20"/>
                <w:lang w:val="en-GB"/>
              </w:rPr>
            </w:pPr>
          </w:p>
        </w:tc>
        <w:tc>
          <w:tcPr>
            <w:tcW w:w="1276" w:type="dxa"/>
            <w:tcBorders>
              <w:top w:val="nil"/>
              <w:left w:val="nil"/>
              <w:bottom w:val="nil"/>
              <w:right w:val="nil"/>
            </w:tcBorders>
            <w:tcMar>
              <w:top w:w="57" w:type="dxa"/>
              <w:bottom w:w="57" w:type="dxa"/>
            </w:tcMar>
            <w:vAlign w:val="center"/>
            <w:tcPrChange w:id="9" w:author="Didimalang Motsemme" w:date="2023-11-28T10:23:00Z">
              <w:tcPr>
                <w:tcW w:w="1005" w:type="dxa"/>
                <w:tcBorders>
                  <w:top w:val="nil"/>
                  <w:left w:val="nil"/>
                  <w:bottom w:val="nil"/>
                  <w:right w:val="nil"/>
                </w:tcBorders>
                <w:tcMar>
                  <w:top w:w="57" w:type="dxa"/>
                  <w:bottom w:w="57" w:type="dxa"/>
                </w:tcMar>
              </w:tcPr>
            </w:tcPrChange>
          </w:tcPr>
          <w:p w14:paraId="44A7D4A1" w14:textId="77777777" w:rsidR="000624B7" w:rsidRPr="005D5883" w:rsidRDefault="000624B7" w:rsidP="0005502D">
            <w:pPr>
              <w:tabs>
                <w:tab w:val="left" w:pos="357"/>
              </w:tabs>
              <w:spacing w:after="0" w:line="240" w:lineRule="auto"/>
              <w:ind w:right="-613"/>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119" w:type="dxa"/>
            <w:tcBorders>
              <w:top w:val="nil"/>
              <w:left w:val="nil"/>
              <w:bottom w:val="dotted" w:sz="4" w:space="0" w:color="auto"/>
              <w:right w:val="nil"/>
            </w:tcBorders>
            <w:tcMar>
              <w:top w:w="57" w:type="dxa"/>
              <w:bottom w:w="57" w:type="dxa"/>
            </w:tcMar>
            <w:vAlign w:val="center"/>
            <w:tcPrChange w:id="10" w:author="Didimalang Motsemme" w:date="2023-11-28T10:23:00Z">
              <w:tcPr>
                <w:tcW w:w="3531" w:type="dxa"/>
                <w:tcBorders>
                  <w:top w:val="nil"/>
                  <w:left w:val="nil"/>
                  <w:bottom w:val="dotted" w:sz="4" w:space="0" w:color="auto"/>
                  <w:right w:val="nil"/>
                </w:tcBorders>
                <w:tcMar>
                  <w:top w:w="57" w:type="dxa"/>
                  <w:bottom w:w="57" w:type="dxa"/>
                </w:tcMar>
              </w:tcPr>
            </w:tcPrChange>
          </w:tcPr>
          <w:p w14:paraId="7595066B" w14:textId="77777777" w:rsidR="000624B7" w:rsidRPr="005D5883" w:rsidRDefault="000624B7" w:rsidP="0005502D">
            <w:pPr>
              <w:tabs>
                <w:tab w:val="left" w:pos="357"/>
              </w:tabs>
              <w:spacing w:after="0" w:line="240" w:lineRule="auto"/>
              <w:ind w:right="31"/>
              <w:rPr>
                <w:rFonts w:ascii="Arial" w:eastAsia="Times New Roman" w:hAnsi="Arial" w:cs="Arial"/>
                <w:sz w:val="20"/>
                <w:szCs w:val="20"/>
                <w:lang w:val="en-GB"/>
              </w:rPr>
            </w:pPr>
          </w:p>
        </w:tc>
      </w:tr>
      <w:tr w:rsidR="000624B7" w:rsidRPr="005D5883" w14:paraId="44FCEDD0" w14:textId="77777777" w:rsidTr="0005502D">
        <w:trPr>
          <w:trHeight w:val="429"/>
          <w:trPrChange w:id="11" w:author="Didimalang Motsemme" w:date="2023-11-28T10:23:00Z">
            <w:trPr>
              <w:trHeight w:val="429"/>
            </w:trPr>
          </w:trPrChange>
        </w:trPr>
        <w:tc>
          <w:tcPr>
            <w:tcW w:w="1560" w:type="dxa"/>
            <w:tcBorders>
              <w:top w:val="nil"/>
              <w:left w:val="nil"/>
              <w:bottom w:val="nil"/>
              <w:right w:val="nil"/>
            </w:tcBorders>
            <w:tcMar>
              <w:top w:w="57" w:type="dxa"/>
              <w:bottom w:w="57" w:type="dxa"/>
            </w:tcMar>
            <w:vAlign w:val="center"/>
            <w:tcPrChange w:id="12" w:author="Didimalang Motsemme" w:date="2023-11-28T10:23:00Z">
              <w:tcPr>
                <w:tcW w:w="1560" w:type="dxa"/>
                <w:tcBorders>
                  <w:top w:val="nil"/>
                  <w:left w:val="nil"/>
                  <w:bottom w:val="nil"/>
                  <w:right w:val="nil"/>
                </w:tcBorders>
                <w:tcMar>
                  <w:top w:w="57" w:type="dxa"/>
                  <w:bottom w:w="57" w:type="dxa"/>
                </w:tcMar>
              </w:tcPr>
            </w:tcPrChange>
          </w:tcPr>
          <w:p w14:paraId="11F4ED2C" w14:textId="77777777" w:rsidR="000624B7" w:rsidRPr="005D5883" w:rsidRDefault="000624B7" w:rsidP="0005502D">
            <w:pPr>
              <w:tabs>
                <w:tab w:val="left" w:pos="357"/>
              </w:tabs>
              <w:spacing w:after="0" w:line="240" w:lineRule="auto"/>
              <w:ind w:right="-613"/>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976" w:type="dxa"/>
            <w:tcBorders>
              <w:top w:val="dotted" w:sz="4" w:space="0" w:color="auto"/>
              <w:left w:val="nil"/>
              <w:bottom w:val="dotted" w:sz="4" w:space="0" w:color="auto"/>
              <w:right w:val="nil"/>
            </w:tcBorders>
            <w:tcMar>
              <w:top w:w="57" w:type="dxa"/>
              <w:bottom w:w="57" w:type="dxa"/>
            </w:tcMar>
            <w:vAlign w:val="center"/>
            <w:tcPrChange w:id="13" w:author="Didimalang Motsemme" w:date="2023-11-28T10:23:00Z">
              <w:tcPr>
                <w:tcW w:w="3402" w:type="dxa"/>
                <w:tcBorders>
                  <w:top w:val="dotted" w:sz="4" w:space="0" w:color="auto"/>
                  <w:left w:val="nil"/>
                  <w:bottom w:val="dotted" w:sz="4" w:space="0" w:color="auto"/>
                  <w:right w:val="nil"/>
                </w:tcBorders>
                <w:tcMar>
                  <w:top w:w="57" w:type="dxa"/>
                  <w:bottom w:w="57" w:type="dxa"/>
                </w:tcMar>
              </w:tcPr>
            </w:tcPrChange>
          </w:tcPr>
          <w:p w14:paraId="7C3B68F4" w14:textId="77777777" w:rsidR="000624B7" w:rsidRPr="005D5883" w:rsidRDefault="000624B7" w:rsidP="0005502D">
            <w:pPr>
              <w:tabs>
                <w:tab w:val="left" w:pos="357"/>
              </w:tabs>
              <w:spacing w:after="0" w:line="240" w:lineRule="auto"/>
              <w:ind w:right="31"/>
              <w:rPr>
                <w:rFonts w:ascii="Arial" w:eastAsia="Times New Roman" w:hAnsi="Arial" w:cs="Arial"/>
                <w:sz w:val="20"/>
                <w:szCs w:val="20"/>
                <w:lang w:val="en-GB"/>
              </w:rPr>
            </w:pPr>
          </w:p>
        </w:tc>
        <w:tc>
          <w:tcPr>
            <w:tcW w:w="1276" w:type="dxa"/>
            <w:tcBorders>
              <w:top w:val="nil"/>
              <w:left w:val="nil"/>
              <w:bottom w:val="nil"/>
              <w:right w:val="nil"/>
            </w:tcBorders>
            <w:tcMar>
              <w:top w:w="57" w:type="dxa"/>
              <w:bottom w:w="57" w:type="dxa"/>
            </w:tcMar>
            <w:vAlign w:val="center"/>
            <w:tcPrChange w:id="14" w:author="Didimalang Motsemme" w:date="2023-11-28T10:23:00Z">
              <w:tcPr>
                <w:tcW w:w="1005" w:type="dxa"/>
                <w:tcBorders>
                  <w:top w:val="nil"/>
                  <w:left w:val="nil"/>
                  <w:bottom w:val="nil"/>
                  <w:right w:val="nil"/>
                </w:tcBorders>
                <w:tcMar>
                  <w:top w:w="57" w:type="dxa"/>
                  <w:bottom w:w="57" w:type="dxa"/>
                </w:tcMar>
              </w:tcPr>
            </w:tcPrChange>
          </w:tcPr>
          <w:p w14:paraId="0E364CC8" w14:textId="77777777" w:rsidR="000624B7" w:rsidRPr="005D5883" w:rsidRDefault="000624B7" w:rsidP="0005502D">
            <w:pPr>
              <w:tabs>
                <w:tab w:val="left" w:pos="357"/>
              </w:tabs>
              <w:spacing w:after="0" w:line="240" w:lineRule="auto"/>
              <w:ind w:right="-613"/>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119" w:type="dxa"/>
            <w:tcBorders>
              <w:top w:val="dotted" w:sz="4" w:space="0" w:color="auto"/>
              <w:left w:val="nil"/>
              <w:bottom w:val="dotted" w:sz="4" w:space="0" w:color="auto"/>
              <w:right w:val="nil"/>
            </w:tcBorders>
            <w:tcMar>
              <w:top w:w="57" w:type="dxa"/>
              <w:bottom w:w="57" w:type="dxa"/>
            </w:tcMar>
            <w:vAlign w:val="center"/>
            <w:tcPrChange w:id="15" w:author="Didimalang Motsemme" w:date="2023-11-28T10:23:00Z">
              <w:tcPr>
                <w:tcW w:w="3531" w:type="dxa"/>
                <w:tcBorders>
                  <w:top w:val="dotted" w:sz="4" w:space="0" w:color="auto"/>
                  <w:left w:val="nil"/>
                  <w:bottom w:val="dotted" w:sz="4" w:space="0" w:color="auto"/>
                  <w:right w:val="nil"/>
                </w:tcBorders>
                <w:tcMar>
                  <w:top w:w="57" w:type="dxa"/>
                  <w:bottom w:w="57" w:type="dxa"/>
                </w:tcMar>
              </w:tcPr>
            </w:tcPrChange>
          </w:tcPr>
          <w:p w14:paraId="542C5D1C" w14:textId="77777777" w:rsidR="000624B7" w:rsidRPr="005D5883" w:rsidRDefault="000624B7" w:rsidP="0005502D">
            <w:pPr>
              <w:tabs>
                <w:tab w:val="left" w:pos="357"/>
              </w:tabs>
              <w:spacing w:after="0" w:line="240" w:lineRule="auto"/>
              <w:rPr>
                <w:rFonts w:ascii="Arial" w:eastAsia="Times New Roman" w:hAnsi="Arial" w:cs="Arial"/>
                <w:sz w:val="20"/>
                <w:szCs w:val="20"/>
                <w:lang w:val="en-GB"/>
              </w:rPr>
            </w:pPr>
          </w:p>
        </w:tc>
      </w:tr>
      <w:tr w:rsidR="000624B7" w:rsidRPr="005D5883" w14:paraId="2EAC6FC7" w14:textId="77777777" w:rsidTr="0005502D">
        <w:trPr>
          <w:trHeight w:val="422"/>
          <w:trPrChange w:id="16" w:author="Didimalang Motsemme" w:date="2023-11-28T10:23:00Z">
            <w:trPr>
              <w:trHeight w:val="422"/>
            </w:trPr>
          </w:trPrChange>
        </w:trPr>
        <w:tc>
          <w:tcPr>
            <w:tcW w:w="1560" w:type="dxa"/>
            <w:tcBorders>
              <w:top w:val="nil"/>
              <w:left w:val="nil"/>
              <w:bottom w:val="nil"/>
              <w:right w:val="nil"/>
            </w:tcBorders>
            <w:tcMar>
              <w:top w:w="57" w:type="dxa"/>
              <w:bottom w:w="57" w:type="dxa"/>
            </w:tcMar>
            <w:vAlign w:val="center"/>
            <w:tcPrChange w:id="17" w:author="Didimalang Motsemme" w:date="2023-11-28T10:23:00Z">
              <w:tcPr>
                <w:tcW w:w="1560" w:type="dxa"/>
                <w:tcBorders>
                  <w:top w:val="nil"/>
                  <w:left w:val="nil"/>
                  <w:bottom w:val="nil"/>
                  <w:right w:val="nil"/>
                </w:tcBorders>
                <w:tcMar>
                  <w:top w:w="57" w:type="dxa"/>
                  <w:bottom w:w="57" w:type="dxa"/>
                </w:tcMar>
              </w:tcPr>
            </w:tcPrChange>
          </w:tcPr>
          <w:p w14:paraId="363C1AF5" w14:textId="77777777" w:rsidR="000624B7" w:rsidRPr="005D5883" w:rsidRDefault="000624B7" w:rsidP="0005502D">
            <w:pPr>
              <w:tabs>
                <w:tab w:val="left" w:pos="357"/>
              </w:tabs>
              <w:spacing w:after="0" w:line="240" w:lineRule="auto"/>
              <w:ind w:right="-613"/>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vAlign w:val="center"/>
            <w:tcPrChange w:id="18" w:author="Didimalang Motsemme" w:date="2023-11-28T10:23:00Z">
              <w:tcPr>
                <w:tcW w:w="7941" w:type="dxa"/>
                <w:gridSpan w:val="3"/>
                <w:tcBorders>
                  <w:top w:val="nil"/>
                  <w:left w:val="nil"/>
                  <w:bottom w:val="dotted" w:sz="4" w:space="0" w:color="auto"/>
                  <w:right w:val="nil"/>
                </w:tcBorders>
                <w:tcMar>
                  <w:top w:w="57" w:type="dxa"/>
                  <w:bottom w:w="57" w:type="dxa"/>
                </w:tcMar>
              </w:tcPr>
            </w:tcPrChange>
          </w:tcPr>
          <w:p w14:paraId="3AE2ED0A" w14:textId="77777777" w:rsidR="000624B7" w:rsidRPr="005D5883" w:rsidRDefault="000624B7" w:rsidP="0005502D">
            <w:pPr>
              <w:tabs>
                <w:tab w:val="left" w:pos="357"/>
              </w:tabs>
              <w:spacing w:after="0" w:line="240" w:lineRule="auto"/>
              <w:ind w:right="31"/>
              <w:rPr>
                <w:rFonts w:ascii="Arial" w:eastAsia="Times New Roman" w:hAnsi="Arial" w:cs="Arial"/>
                <w:sz w:val="20"/>
                <w:szCs w:val="20"/>
                <w:lang w:val="en-GB"/>
              </w:rPr>
            </w:pPr>
          </w:p>
        </w:tc>
      </w:tr>
    </w:tbl>
    <w:p w14:paraId="3484A831" w14:textId="00A97A05" w:rsidR="00076DBE" w:rsidRPr="005D5883" w:rsidRDefault="000624B7" w:rsidP="00076DBE">
      <w:pPr>
        <w:spacing w:before="360"/>
        <w:rPr>
          <w:rFonts w:ascii="Arial" w:eastAsia="Calibri" w:hAnsi="Arial" w:cs="Arial"/>
          <w:sz w:val="20"/>
          <w:szCs w:val="20"/>
          <w:u w:val="single"/>
          <w:lang w:val="en-US"/>
        </w:rPr>
      </w:pPr>
      <w:r w:rsidRPr="005D5883">
        <w:rPr>
          <w:rFonts w:ascii="Arial" w:eastAsia="Calibri" w:hAnsi="Arial" w:cs="Arial"/>
          <w:i/>
          <w:lang w:val="en-US"/>
        </w:rPr>
        <w:t xml:space="preserve">      </w:t>
      </w:r>
      <w:r w:rsidR="00076DBE" w:rsidRPr="005D5883">
        <w:rPr>
          <w:rFonts w:ascii="Arial" w:eastAsia="Calibri" w:hAnsi="Arial" w:cs="Arial"/>
          <w:b/>
          <w:bCs/>
          <w:sz w:val="20"/>
          <w:szCs w:val="20"/>
          <w:u w:val="single"/>
          <w:lang w:val="en-US"/>
        </w:rPr>
        <w:t>Table 1: Pre</w:t>
      </w:r>
      <w:r w:rsidR="00076DBE">
        <w:rPr>
          <w:rFonts w:ascii="Arial" w:eastAsia="Calibri" w:hAnsi="Arial" w:cs="Arial"/>
          <w:b/>
          <w:bCs/>
          <w:sz w:val="20"/>
          <w:szCs w:val="20"/>
          <w:u w:val="single"/>
          <w:lang w:val="en-US"/>
        </w:rPr>
        <w:t>ferred</w:t>
      </w:r>
      <w:r w:rsidR="00076DBE" w:rsidRPr="005D5883">
        <w:rPr>
          <w:rFonts w:ascii="Arial" w:eastAsia="Calibri" w:hAnsi="Arial" w:cs="Arial"/>
          <w:b/>
          <w:bCs/>
          <w:sz w:val="20"/>
          <w:szCs w:val="20"/>
          <w:u w:val="single"/>
          <w:lang w:val="en-US"/>
        </w:rPr>
        <w:t xml:space="preserve"> Local Index </w:t>
      </w:r>
      <w:r w:rsidR="0005502D" w:rsidRPr="005D5883">
        <w:rPr>
          <w:rFonts w:ascii="Arial" w:eastAsia="Calibri" w:hAnsi="Arial" w:cs="Arial"/>
          <w:b/>
          <w:bCs/>
          <w:sz w:val="20"/>
          <w:szCs w:val="20"/>
          <w:u w:val="single"/>
          <w:lang w:val="en-US"/>
        </w:rPr>
        <w:t>List</w:t>
      </w:r>
      <w:r w:rsidR="0005502D" w:rsidRPr="005D5883">
        <w:rPr>
          <w:rFonts w:ascii="Arial" w:eastAsia="Calibri" w:hAnsi="Arial" w:cs="Arial"/>
          <w:sz w:val="20"/>
          <w:szCs w:val="20"/>
          <w:u w:val="single"/>
          <w:lang w:val="en-US"/>
        </w:rPr>
        <w:t xml:space="preserve"> -</w:t>
      </w:r>
      <w:r w:rsidR="00076DBE">
        <w:rPr>
          <w:rFonts w:ascii="Arial" w:eastAsia="Calibri" w:hAnsi="Arial" w:cs="Arial"/>
          <w:sz w:val="20"/>
          <w:szCs w:val="20"/>
          <w:u w:val="single"/>
          <w:lang w:val="en-US"/>
        </w:rPr>
        <w:t xml:space="preserve"> </w:t>
      </w:r>
      <w:r w:rsidR="00076DBE" w:rsidRPr="005D5883">
        <w:rPr>
          <w:rFonts w:ascii="Arial" w:eastAsia="Calibri" w:hAnsi="Arial" w:cs="Arial"/>
          <w:sz w:val="20"/>
          <w:szCs w:val="20"/>
          <w:u w:val="single"/>
          <w:lang w:val="en-US"/>
        </w:rPr>
        <w:t>this list of indices needs to be relevant to the commodity.</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842"/>
        <w:gridCol w:w="2268"/>
        <w:gridCol w:w="1701"/>
        <w:gridCol w:w="2410"/>
      </w:tblGrid>
      <w:tr w:rsidR="00076DBE" w:rsidRPr="0005502D" w14:paraId="3AC5C499" w14:textId="77777777" w:rsidTr="0005502D">
        <w:trPr>
          <w:trHeight w:val="404"/>
          <w:jc w:val="center"/>
        </w:trPr>
        <w:tc>
          <w:tcPr>
            <w:tcW w:w="1555" w:type="dxa"/>
            <w:shd w:val="clear" w:color="auto" w:fill="D9D9D9" w:themeFill="background1" w:themeFillShade="D9"/>
            <w:vAlign w:val="center"/>
          </w:tcPr>
          <w:p w14:paraId="603541F5" w14:textId="77777777" w:rsidR="00076DBE" w:rsidRPr="0005502D" w:rsidRDefault="00076DBE" w:rsidP="00076DBE">
            <w:pPr>
              <w:spacing w:after="0" w:line="240" w:lineRule="auto"/>
              <w:jc w:val="center"/>
              <w:rPr>
                <w:rFonts w:ascii="Arial" w:eastAsia="Calibri" w:hAnsi="Arial" w:cs="Arial"/>
                <w:b/>
                <w:bCs/>
                <w:sz w:val="20"/>
                <w:szCs w:val="20"/>
                <w:lang w:val="en-US"/>
              </w:rPr>
            </w:pPr>
            <w:proofErr w:type="spellStart"/>
            <w:r w:rsidRPr="0005502D">
              <w:rPr>
                <w:rFonts w:ascii="Arial" w:eastAsia="Calibri" w:hAnsi="Arial" w:cs="Arial"/>
                <w:b/>
                <w:bCs/>
                <w:sz w:val="20"/>
                <w:szCs w:val="20"/>
                <w:lang w:val="en-US"/>
              </w:rPr>
              <w:t>Labour</w:t>
            </w:r>
            <w:proofErr w:type="spellEnd"/>
          </w:p>
        </w:tc>
        <w:tc>
          <w:tcPr>
            <w:tcW w:w="1842" w:type="dxa"/>
            <w:shd w:val="clear" w:color="auto" w:fill="D9D9D9" w:themeFill="background1" w:themeFillShade="D9"/>
            <w:vAlign w:val="center"/>
          </w:tcPr>
          <w:p w14:paraId="76302BE4" w14:textId="77777777" w:rsidR="00076DBE" w:rsidRPr="0005502D" w:rsidRDefault="00076DBE" w:rsidP="00076DBE">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Commodities</w:t>
            </w:r>
          </w:p>
        </w:tc>
        <w:tc>
          <w:tcPr>
            <w:tcW w:w="2268" w:type="dxa"/>
            <w:shd w:val="clear" w:color="auto" w:fill="D9D9D9" w:themeFill="background1" w:themeFillShade="D9"/>
            <w:vAlign w:val="center"/>
          </w:tcPr>
          <w:p w14:paraId="3110CC81" w14:textId="77777777" w:rsidR="00076DBE" w:rsidRPr="0005502D" w:rsidRDefault="00076DBE" w:rsidP="00076DBE">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Processed material</w:t>
            </w:r>
          </w:p>
        </w:tc>
        <w:tc>
          <w:tcPr>
            <w:tcW w:w="1701" w:type="dxa"/>
            <w:shd w:val="clear" w:color="auto" w:fill="D9D9D9" w:themeFill="background1" w:themeFillShade="D9"/>
            <w:vAlign w:val="center"/>
          </w:tcPr>
          <w:p w14:paraId="6C82424F" w14:textId="77777777" w:rsidR="00076DBE" w:rsidRPr="0005502D" w:rsidRDefault="00076DBE" w:rsidP="00D560E7">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Transport</w:t>
            </w:r>
          </w:p>
        </w:tc>
        <w:tc>
          <w:tcPr>
            <w:tcW w:w="2410" w:type="dxa"/>
            <w:shd w:val="clear" w:color="auto" w:fill="D9D9D9" w:themeFill="background1" w:themeFillShade="D9"/>
            <w:vAlign w:val="center"/>
          </w:tcPr>
          <w:p w14:paraId="5C36BB8C" w14:textId="77777777" w:rsidR="00076DBE" w:rsidRPr="0005502D" w:rsidRDefault="00076DBE" w:rsidP="00076DBE">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Others</w:t>
            </w:r>
          </w:p>
        </w:tc>
      </w:tr>
      <w:tr w:rsidR="00076DBE" w:rsidRPr="0005502D" w14:paraId="0E340508" w14:textId="77777777" w:rsidTr="0005502D">
        <w:trPr>
          <w:trHeight w:val="1232"/>
          <w:jc w:val="center"/>
        </w:trPr>
        <w:tc>
          <w:tcPr>
            <w:tcW w:w="1555" w:type="dxa"/>
            <w:vMerge w:val="restart"/>
            <w:shd w:val="clear" w:color="auto" w:fill="auto"/>
          </w:tcPr>
          <w:p w14:paraId="5013FA26"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Labour general (hourly paid)</w:t>
            </w:r>
          </w:p>
          <w:p w14:paraId="2970521B"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sz w:val="20"/>
                <w:szCs w:val="20"/>
                <w:lang w:val="en-GB"/>
              </w:rPr>
              <w:t>SEIFSA, C3, actual labour cost</w:t>
            </w:r>
          </w:p>
        </w:tc>
        <w:tc>
          <w:tcPr>
            <w:tcW w:w="1842" w:type="dxa"/>
            <w:vMerge w:val="restart"/>
            <w:shd w:val="clear" w:color="auto" w:fill="auto"/>
          </w:tcPr>
          <w:p w14:paraId="550AA887"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Steel</w:t>
            </w:r>
          </w:p>
          <w:p w14:paraId="14F03144" w14:textId="77777777" w:rsidR="00076DBE" w:rsidRPr="0005502D" w:rsidRDefault="00076DBE" w:rsidP="00076DBE">
            <w:pPr>
              <w:spacing w:after="0" w:line="240" w:lineRule="auto"/>
              <w:jc w:val="center"/>
              <w:rPr>
                <w:rFonts w:ascii="Arial" w:eastAsia="Calibri" w:hAnsi="Arial" w:cs="Arial"/>
                <w:b/>
                <w:bCs/>
                <w:sz w:val="20"/>
                <w:szCs w:val="20"/>
                <w:lang w:val="en-GB"/>
              </w:rPr>
            </w:pPr>
            <w:proofErr w:type="spellStart"/>
            <w:r w:rsidRPr="0005502D">
              <w:rPr>
                <w:rFonts w:ascii="Arial" w:eastAsia="Calibri" w:hAnsi="Arial" w:cs="Arial"/>
                <w:sz w:val="20"/>
                <w:szCs w:val="20"/>
                <w:lang w:val="en-GB"/>
              </w:rPr>
              <w:t>StatsSA</w:t>
            </w:r>
            <w:proofErr w:type="spellEnd"/>
            <w:r w:rsidRPr="0005502D">
              <w:rPr>
                <w:rFonts w:ascii="Arial" w:eastAsia="Calibri" w:hAnsi="Arial" w:cs="Arial"/>
                <w:sz w:val="20"/>
                <w:szCs w:val="20"/>
                <w:lang w:val="en-GB"/>
              </w:rPr>
              <w:t xml:space="preserve">, P0142.1 Table 2, basic </w:t>
            </w:r>
            <w:proofErr w:type="gramStart"/>
            <w:r w:rsidRPr="0005502D">
              <w:rPr>
                <w:rFonts w:ascii="Arial" w:eastAsia="Calibri" w:hAnsi="Arial" w:cs="Arial"/>
                <w:sz w:val="20"/>
                <w:szCs w:val="20"/>
                <w:lang w:val="en-GB"/>
              </w:rPr>
              <w:t>iron</w:t>
            </w:r>
            <w:proofErr w:type="gramEnd"/>
            <w:r w:rsidRPr="0005502D">
              <w:rPr>
                <w:rFonts w:ascii="Arial" w:eastAsia="Calibri" w:hAnsi="Arial" w:cs="Arial"/>
                <w:sz w:val="20"/>
                <w:szCs w:val="20"/>
                <w:lang w:val="en-GB"/>
              </w:rPr>
              <w:t xml:space="preserve"> and steel</w:t>
            </w:r>
          </w:p>
        </w:tc>
        <w:tc>
          <w:tcPr>
            <w:tcW w:w="2268" w:type="dxa"/>
            <w:vMerge w:val="restart"/>
            <w:shd w:val="clear" w:color="auto" w:fill="auto"/>
          </w:tcPr>
          <w:p w14:paraId="5D9EB898"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Mechanical engineering material</w:t>
            </w:r>
          </w:p>
          <w:p w14:paraId="2D1C9695"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sz w:val="20"/>
                <w:szCs w:val="20"/>
                <w:lang w:val="en-GB"/>
              </w:rPr>
              <w:t>SEIFSA, G, mechanical engineering material</w:t>
            </w:r>
          </w:p>
        </w:tc>
        <w:tc>
          <w:tcPr>
            <w:tcW w:w="1701" w:type="dxa"/>
            <w:vMerge w:val="restart"/>
            <w:shd w:val="clear" w:color="auto" w:fill="auto"/>
          </w:tcPr>
          <w:p w14:paraId="3CC9932B" w14:textId="0C1B7732" w:rsidR="00076DBE" w:rsidRPr="0005502D" w:rsidRDefault="00076DBE" w:rsidP="00076DBE">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SEIFSA, L2, road freight costs</w:t>
            </w:r>
          </w:p>
        </w:tc>
        <w:tc>
          <w:tcPr>
            <w:tcW w:w="2410" w:type="dxa"/>
            <w:vMerge w:val="restart"/>
            <w:shd w:val="clear" w:color="auto" w:fill="auto"/>
          </w:tcPr>
          <w:p w14:paraId="1C1FA593" w14:textId="14B86EBE" w:rsidR="00076DBE" w:rsidRPr="0005502D" w:rsidRDefault="00076DBE" w:rsidP="00076DBE">
            <w:pPr>
              <w:spacing w:after="0" w:line="240" w:lineRule="auto"/>
              <w:jc w:val="center"/>
              <w:rPr>
                <w:rFonts w:ascii="Arial" w:eastAsia="Calibri" w:hAnsi="Arial" w:cs="Arial"/>
                <w:sz w:val="20"/>
                <w:szCs w:val="20"/>
                <w:lang w:val="en-GB"/>
              </w:rPr>
            </w:pPr>
            <w:proofErr w:type="spellStart"/>
            <w:r w:rsidRPr="0005502D">
              <w:rPr>
                <w:rFonts w:ascii="Arial" w:eastAsia="Calibri" w:hAnsi="Arial" w:cs="Arial"/>
                <w:sz w:val="20"/>
                <w:szCs w:val="20"/>
                <w:lang w:val="en-GB"/>
              </w:rPr>
              <w:t>StasSA</w:t>
            </w:r>
            <w:proofErr w:type="spellEnd"/>
            <w:r w:rsidRPr="0005502D">
              <w:rPr>
                <w:rFonts w:ascii="Arial" w:eastAsia="Calibri" w:hAnsi="Arial" w:cs="Arial"/>
                <w:sz w:val="20"/>
                <w:szCs w:val="20"/>
                <w:lang w:val="en-GB"/>
              </w:rPr>
              <w:t xml:space="preserve">, PO141 </w:t>
            </w:r>
            <w:r w:rsidRPr="0005502D">
              <w:rPr>
                <w:rFonts w:ascii="Arial" w:eastAsia="Calibri" w:hAnsi="Arial" w:cs="Arial"/>
                <w:b/>
                <w:sz w:val="20"/>
                <w:szCs w:val="20"/>
                <w:lang w:val="en-GB"/>
              </w:rPr>
              <w:t>CPI</w:t>
            </w:r>
            <w:r w:rsidRPr="0005502D">
              <w:rPr>
                <w:rFonts w:ascii="Arial" w:eastAsia="Calibri" w:hAnsi="Arial" w:cs="Arial"/>
                <w:sz w:val="20"/>
                <w:szCs w:val="20"/>
                <w:lang w:val="en-GB"/>
              </w:rPr>
              <w:t xml:space="preserve"> (Headline) all items</w:t>
            </w:r>
          </w:p>
          <w:p w14:paraId="051FC0C9" w14:textId="77777777" w:rsidR="00076DBE" w:rsidRPr="0005502D" w:rsidRDefault="00076DBE" w:rsidP="00076DBE">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OR</w:t>
            </w:r>
          </w:p>
          <w:p w14:paraId="2E33A454" w14:textId="77777777" w:rsidR="00076DBE" w:rsidRPr="0005502D" w:rsidRDefault="00076DBE" w:rsidP="00076DBE">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SEIFSA, D-2 (CPI)</w:t>
            </w:r>
          </w:p>
        </w:tc>
      </w:tr>
      <w:tr w:rsidR="00076DBE" w:rsidRPr="0005502D" w14:paraId="740BC6ED" w14:textId="77777777" w:rsidTr="00813E8A">
        <w:trPr>
          <w:trHeight w:val="230"/>
          <w:jc w:val="center"/>
        </w:trPr>
        <w:tc>
          <w:tcPr>
            <w:tcW w:w="1555" w:type="dxa"/>
            <w:vMerge/>
            <w:shd w:val="clear" w:color="auto" w:fill="auto"/>
          </w:tcPr>
          <w:p w14:paraId="7CB1C790" w14:textId="77777777" w:rsidR="00076DBE" w:rsidRPr="0005502D" w:rsidRDefault="00076DBE" w:rsidP="00076DBE">
            <w:pPr>
              <w:spacing w:after="0" w:line="240" w:lineRule="auto"/>
              <w:jc w:val="center"/>
              <w:rPr>
                <w:rFonts w:ascii="Arial" w:eastAsia="Calibri" w:hAnsi="Arial" w:cs="Arial"/>
                <w:sz w:val="20"/>
                <w:szCs w:val="20"/>
                <w:lang w:val="en-GB"/>
              </w:rPr>
            </w:pPr>
          </w:p>
        </w:tc>
        <w:tc>
          <w:tcPr>
            <w:tcW w:w="1842" w:type="dxa"/>
            <w:vMerge/>
            <w:shd w:val="clear" w:color="auto" w:fill="auto"/>
          </w:tcPr>
          <w:p w14:paraId="4B41E057" w14:textId="77777777" w:rsidR="00076DBE" w:rsidRPr="0005502D" w:rsidRDefault="00076DBE" w:rsidP="00076DBE">
            <w:pPr>
              <w:spacing w:after="0" w:line="240" w:lineRule="auto"/>
              <w:jc w:val="center"/>
              <w:rPr>
                <w:rFonts w:ascii="Arial" w:eastAsia="Calibri" w:hAnsi="Arial" w:cs="Arial"/>
                <w:sz w:val="20"/>
                <w:szCs w:val="20"/>
                <w:lang w:val="en-GB"/>
              </w:rPr>
            </w:pPr>
          </w:p>
        </w:tc>
        <w:tc>
          <w:tcPr>
            <w:tcW w:w="2268" w:type="dxa"/>
            <w:vMerge/>
            <w:shd w:val="clear" w:color="auto" w:fill="auto"/>
          </w:tcPr>
          <w:p w14:paraId="39483B5A" w14:textId="77777777" w:rsidR="00076DBE" w:rsidRPr="0005502D" w:rsidRDefault="00076DBE" w:rsidP="00076DBE">
            <w:pPr>
              <w:spacing w:after="0" w:line="240" w:lineRule="auto"/>
              <w:jc w:val="center"/>
              <w:rPr>
                <w:rFonts w:ascii="Arial" w:eastAsia="Calibri" w:hAnsi="Arial" w:cs="Arial"/>
                <w:sz w:val="20"/>
                <w:szCs w:val="20"/>
                <w:lang w:val="en-US"/>
              </w:rPr>
            </w:pPr>
          </w:p>
        </w:tc>
        <w:tc>
          <w:tcPr>
            <w:tcW w:w="1701" w:type="dxa"/>
            <w:vMerge/>
            <w:shd w:val="clear" w:color="auto" w:fill="auto"/>
          </w:tcPr>
          <w:p w14:paraId="2319CC0E" w14:textId="77777777" w:rsidR="00076DBE" w:rsidRPr="0005502D" w:rsidRDefault="00076DBE" w:rsidP="00D560E7">
            <w:pPr>
              <w:spacing w:after="0" w:line="240" w:lineRule="auto"/>
              <w:rPr>
                <w:rFonts w:ascii="Arial" w:eastAsia="Calibri" w:hAnsi="Arial" w:cs="Arial"/>
                <w:sz w:val="20"/>
                <w:szCs w:val="20"/>
                <w:lang w:val="en-US"/>
              </w:rPr>
            </w:pPr>
          </w:p>
        </w:tc>
        <w:tc>
          <w:tcPr>
            <w:tcW w:w="2410" w:type="dxa"/>
            <w:vMerge/>
            <w:shd w:val="clear" w:color="auto" w:fill="auto"/>
          </w:tcPr>
          <w:p w14:paraId="2FB5FF31" w14:textId="77777777" w:rsidR="00076DBE" w:rsidRPr="0005502D" w:rsidRDefault="00076DBE" w:rsidP="00076DBE">
            <w:pPr>
              <w:spacing w:after="0" w:line="240" w:lineRule="auto"/>
              <w:jc w:val="center"/>
              <w:rPr>
                <w:rFonts w:ascii="Arial" w:eastAsia="Calibri" w:hAnsi="Arial" w:cs="Arial"/>
                <w:sz w:val="20"/>
                <w:szCs w:val="20"/>
                <w:lang w:val="en-US"/>
              </w:rPr>
            </w:pPr>
          </w:p>
        </w:tc>
      </w:tr>
      <w:tr w:rsidR="00076DBE" w:rsidRPr="0005502D" w14:paraId="317E60BE" w14:textId="77777777" w:rsidTr="00813E8A">
        <w:trPr>
          <w:trHeight w:val="435"/>
          <w:jc w:val="center"/>
        </w:trPr>
        <w:tc>
          <w:tcPr>
            <w:tcW w:w="1555" w:type="dxa"/>
            <w:vMerge/>
            <w:shd w:val="clear" w:color="auto" w:fill="auto"/>
          </w:tcPr>
          <w:p w14:paraId="02DB60EC" w14:textId="77777777" w:rsidR="00076DBE" w:rsidRPr="0005502D" w:rsidRDefault="00076DBE" w:rsidP="00076DBE">
            <w:pPr>
              <w:spacing w:after="0" w:line="240" w:lineRule="auto"/>
              <w:jc w:val="center"/>
              <w:rPr>
                <w:rFonts w:ascii="Arial" w:eastAsia="Calibri" w:hAnsi="Arial" w:cs="Arial"/>
                <w:b/>
                <w:bCs/>
                <w:sz w:val="20"/>
                <w:szCs w:val="20"/>
                <w:lang w:val="en-GB"/>
              </w:rPr>
            </w:pPr>
          </w:p>
        </w:tc>
        <w:tc>
          <w:tcPr>
            <w:tcW w:w="1842" w:type="dxa"/>
            <w:shd w:val="clear" w:color="auto" w:fill="auto"/>
          </w:tcPr>
          <w:p w14:paraId="3521E3B9"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Copper</w:t>
            </w:r>
          </w:p>
          <w:p w14:paraId="702A0D91" w14:textId="77777777" w:rsidR="00076DBE" w:rsidRPr="0005502D" w:rsidRDefault="00076DBE" w:rsidP="00076DBE">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SEIFSA, F, copper metric ton</w:t>
            </w:r>
          </w:p>
        </w:tc>
        <w:tc>
          <w:tcPr>
            <w:tcW w:w="2268" w:type="dxa"/>
            <w:vMerge w:val="restart"/>
            <w:shd w:val="clear" w:color="auto" w:fill="auto"/>
          </w:tcPr>
          <w:p w14:paraId="185770F5"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Electrical</w:t>
            </w:r>
            <w:r w:rsidRPr="0005502D">
              <w:rPr>
                <w:rFonts w:ascii="Arial" w:eastAsia="Calibri" w:hAnsi="Arial" w:cs="Arial"/>
                <w:b/>
                <w:bCs/>
                <w:sz w:val="20"/>
                <w:szCs w:val="20"/>
                <w:lang w:val="en-GB"/>
              </w:rPr>
              <w:br/>
              <w:t>engineering material</w:t>
            </w:r>
          </w:p>
          <w:p w14:paraId="6D953574" w14:textId="77777777" w:rsidR="00076DBE" w:rsidRPr="0005502D" w:rsidRDefault="00076DBE" w:rsidP="00076DBE">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SEIFSA, G-1, electrical engineering material</w:t>
            </w:r>
          </w:p>
        </w:tc>
        <w:tc>
          <w:tcPr>
            <w:tcW w:w="1701" w:type="dxa"/>
            <w:vMerge/>
            <w:shd w:val="clear" w:color="auto" w:fill="auto"/>
          </w:tcPr>
          <w:p w14:paraId="103083CD" w14:textId="77777777" w:rsidR="00076DBE" w:rsidRPr="0005502D" w:rsidRDefault="00076DBE" w:rsidP="00D560E7">
            <w:pPr>
              <w:spacing w:after="0" w:line="240" w:lineRule="auto"/>
              <w:rPr>
                <w:rFonts w:ascii="Arial" w:eastAsia="Calibri" w:hAnsi="Arial" w:cs="Arial"/>
                <w:sz w:val="20"/>
                <w:szCs w:val="20"/>
                <w:lang w:val="en-US"/>
              </w:rPr>
            </w:pPr>
          </w:p>
        </w:tc>
        <w:tc>
          <w:tcPr>
            <w:tcW w:w="2410" w:type="dxa"/>
            <w:vMerge/>
            <w:shd w:val="clear" w:color="auto" w:fill="auto"/>
          </w:tcPr>
          <w:p w14:paraId="303D0F3D" w14:textId="77777777" w:rsidR="00076DBE" w:rsidRPr="0005502D" w:rsidRDefault="00076DBE" w:rsidP="00076DBE">
            <w:pPr>
              <w:spacing w:after="0" w:line="240" w:lineRule="auto"/>
              <w:jc w:val="center"/>
              <w:rPr>
                <w:rFonts w:ascii="Arial" w:eastAsia="Calibri" w:hAnsi="Arial" w:cs="Arial"/>
                <w:sz w:val="20"/>
                <w:szCs w:val="20"/>
                <w:lang w:val="en-US"/>
              </w:rPr>
            </w:pPr>
          </w:p>
        </w:tc>
      </w:tr>
      <w:tr w:rsidR="00076DBE" w:rsidRPr="0005502D" w14:paraId="6E99757B" w14:textId="77777777" w:rsidTr="0005502D">
        <w:trPr>
          <w:trHeight w:val="698"/>
          <w:jc w:val="center"/>
        </w:trPr>
        <w:tc>
          <w:tcPr>
            <w:tcW w:w="1555" w:type="dxa"/>
            <w:vMerge w:val="restart"/>
            <w:shd w:val="clear" w:color="auto" w:fill="auto"/>
          </w:tcPr>
          <w:p w14:paraId="58521ABC"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Labour general</w:t>
            </w:r>
          </w:p>
          <w:p w14:paraId="60D88399"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sz w:val="20"/>
                <w:szCs w:val="20"/>
                <w:lang w:val="en-GB"/>
              </w:rPr>
              <w:t>SEIFSA, C3 (a), actual labour cost (field force) where subsistence allowance is paid</w:t>
            </w:r>
          </w:p>
        </w:tc>
        <w:tc>
          <w:tcPr>
            <w:tcW w:w="1842" w:type="dxa"/>
            <w:shd w:val="clear" w:color="auto" w:fill="auto"/>
          </w:tcPr>
          <w:p w14:paraId="6D3D7499"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Aluminium</w:t>
            </w:r>
          </w:p>
          <w:p w14:paraId="69AF00A0" w14:textId="77777777" w:rsidR="00076DBE" w:rsidRPr="0005502D" w:rsidRDefault="00076DBE" w:rsidP="00076DBE">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SEIFSA, R, aluminium</w:t>
            </w:r>
          </w:p>
        </w:tc>
        <w:tc>
          <w:tcPr>
            <w:tcW w:w="2268" w:type="dxa"/>
            <w:vMerge/>
            <w:shd w:val="clear" w:color="auto" w:fill="auto"/>
          </w:tcPr>
          <w:p w14:paraId="79B7DB74" w14:textId="77777777" w:rsidR="00076DBE" w:rsidRPr="0005502D" w:rsidRDefault="00076DBE" w:rsidP="00076DBE">
            <w:pPr>
              <w:spacing w:after="0" w:line="240" w:lineRule="auto"/>
              <w:jc w:val="center"/>
              <w:rPr>
                <w:rFonts w:ascii="Arial" w:eastAsia="Calibri" w:hAnsi="Arial" w:cs="Arial"/>
                <w:sz w:val="20"/>
                <w:szCs w:val="20"/>
                <w:lang w:val="en-GB"/>
              </w:rPr>
            </w:pPr>
          </w:p>
        </w:tc>
        <w:tc>
          <w:tcPr>
            <w:tcW w:w="1701" w:type="dxa"/>
            <w:vMerge/>
            <w:shd w:val="clear" w:color="auto" w:fill="auto"/>
          </w:tcPr>
          <w:p w14:paraId="1D6AEF79" w14:textId="77777777" w:rsidR="00076DBE" w:rsidRPr="0005502D" w:rsidRDefault="00076DBE" w:rsidP="00D560E7">
            <w:pPr>
              <w:spacing w:after="0" w:line="240" w:lineRule="auto"/>
              <w:rPr>
                <w:rFonts w:ascii="Arial" w:eastAsia="Calibri" w:hAnsi="Arial" w:cs="Arial"/>
                <w:sz w:val="20"/>
                <w:szCs w:val="20"/>
                <w:lang w:val="en-US"/>
              </w:rPr>
            </w:pPr>
          </w:p>
        </w:tc>
        <w:tc>
          <w:tcPr>
            <w:tcW w:w="2410" w:type="dxa"/>
            <w:vMerge w:val="restart"/>
            <w:shd w:val="clear" w:color="auto" w:fill="auto"/>
            <w:vAlign w:val="center"/>
          </w:tcPr>
          <w:p w14:paraId="2A71B206" w14:textId="027D1DA2" w:rsidR="00076DBE" w:rsidRPr="0005502D" w:rsidRDefault="00076DBE" w:rsidP="0005502D">
            <w:pPr>
              <w:spacing w:after="0" w:line="240" w:lineRule="auto"/>
              <w:jc w:val="center"/>
              <w:rPr>
                <w:rFonts w:ascii="Arial" w:eastAsia="Calibri" w:hAnsi="Arial" w:cs="Arial"/>
                <w:b/>
                <w:sz w:val="20"/>
                <w:szCs w:val="20"/>
                <w:lang w:val="en-GB"/>
              </w:rPr>
            </w:pPr>
            <w:proofErr w:type="spellStart"/>
            <w:r w:rsidRPr="0005502D">
              <w:rPr>
                <w:rFonts w:ascii="Arial" w:eastAsia="Calibri" w:hAnsi="Arial" w:cs="Arial"/>
                <w:sz w:val="20"/>
                <w:szCs w:val="20"/>
                <w:lang w:val="en-GB"/>
              </w:rPr>
              <w:t>StasSA</w:t>
            </w:r>
            <w:proofErr w:type="spellEnd"/>
            <w:r w:rsidRPr="0005502D">
              <w:rPr>
                <w:rFonts w:ascii="Arial" w:eastAsia="Calibri" w:hAnsi="Arial" w:cs="Arial"/>
                <w:sz w:val="20"/>
                <w:szCs w:val="20"/>
                <w:lang w:val="en-GB"/>
              </w:rPr>
              <w:t xml:space="preserve">, PO142.1), </w:t>
            </w:r>
            <w:r w:rsidRPr="0005502D">
              <w:rPr>
                <w:rFonts w:ascii="Arial" w:eastAsia="Calibri" w:hAnsi="Arial" w:cs="Arial"/>
                <w:b/>
                <w:sz w:val="20"/>
                <w:szCs w:val="20"/>
                <w:lang w:val="en-GB"/>
              </w:rPr>
              <w:t>PPI</w:t>
            </w:r>
          </w:p>
          <w:p w14:paraId="23A157B9" w14:textId="48D7BA03" w:rsidR="00076DBE" w:rsidRPr="0005502D" w:rsidRDefault="00076DBE" w:rsidP="0005502D">
            <w:pPr>
              <w:spacing w:after="0" w:line="240" w:lineRule="auto"/>
              <w:ind w:left="173" w:hanging="173"/>
              <w:jc w:val="center"/>
              <w:rPr>
                <w:rFonts w:ascii="Arial" w:eastAsia="Calibri" w:hAnsi="Arial" w:cs="Arial"/>
                <w:sz w:val="20"/>
                <w:szCs w:val="20"/>
                <w:lang w:val="en-GB"/>
              </w:rPr>
            </w:pPr>
            <w:r w:rsidRPr="0005502D">
              <w:rPr>
                <w:rFonts w:ascii="Arial" w:eastAsia="Calibri" w:hAnsi="Arial" w:cs="Arial"/>
                <w:sz w:val="20"/>
                <w:szCs w:val="20"/>
                <w:lang w:val="en-GB"/>
              </w:rPr>
              <w:t xml:space="preserve">1 </w:t>
            </w:r>
            <w:r w:rsidRPr="0005502D">
              <w:rPr>
                <w:rFonts w:ascii="Arial" w:eastAsia="Calibri" w:hAnsi="Arial" w:cs="Arial"/>
                <w:sz w:val="20"/>
                <w:szCs w:val="20"/>
                <w:lang w:val="en-GB"/>
              </w:rPr>
              <w:t>Final Manufactured Goods</w:t>
            </w:r>
            <w:r w:rsidR="0005502D" w:rsidRPr="0005502D">
              <w:rPr>
                <w:rFonts w:ascii="Arial" w:eastAsia="Calibri" w:hAnsi="Arial" w:cs="Arial"/>
                <w:sz w:val="20"/>
                <w:szCs w:val="20"/>
                <w:lang w:val="en-GB"/>
              </w:rPr>
              <w:t xml:space="preserve"> </w:t>
            </w:r>
            <w:r w:rsidRPr="0005502D">
              <w:rPr>
                <w:rFonts w:ascii="Arial" w:eastAsia="Calibri" w:hAnsi="Arial" w:cs="Arial"/>
                <w:sz w:val="20"/>
                <w:szCs w:val="20"/>
                <w:lang w:val="en-GB"/>
              </w:rPr>
              <w:t>O</w:t>
            </w:r>
            <w:r w:rsidRPr="0005502D">
              <w:rPr>
                <w:rFonts w:ascii="Arial" w:eastAsia="Calibri" w:hAnsi="Arial" w:cs="Arial"/>
                <w:sz w:val="20"/>
                <w:szCs w:val="20"/>
                <w:lang w:val="en-GB"/>
              </w:rPr>
              <w:t>R</w:t>
            </w:r>
          </w:p>
          <w:p w14:paraId="7FAF298C" w14:textId="76157A58" w:rsidR="00076DBE" w:rsidRPr="0005502D" w:rsidRDefault="00076DBE" w:rsidP="0005502D">
            <w:pPr>
              <w:pStyle w:val="ListParagraph"/>
              <w:numPr>
                <w:ilvl w:val="0"/>
                <w:numId w:val="12"/>
              </w:numPr>
              <w:spacing w:after="0" w:line="240" w:lineRule="auto"/>
              <w:ind w:left="0" w:hanging="173"/>
              <w:jc w:val="center"/>
              <w:rPr>
                <w:rFonts w:ascii="Arial" w:eastAsia="Calibri" w:hAnsi="Arial" w:cs="Arial"/>
                <w:sz w:val="20"/>
                <w:szCs w:val="20"/>
                <w:lang w:val="en-GB"/>
              </w:rPr>
            </w:pPr>
            <w:r w:rsidRPr="0005502D">
              <w:rPr>
                <w:rFonts w:ascii="Arial" w:eastAsia="Calibri" w:hAnsi="Arial" w:cs="Arial"/>
                <w:sz w:val="20"/>
                <w:szCs w:val="20"/>
                <w:lang w:val="en-GB"/>
              </w:rPr>
              <w:t>Intermediate Manufactured Goods</w:t>
            </w:r>
            <w:r w:rsidR="0005502D" w:rsidRPr="0005502D">
              <w:rPr>
                <w:rFonts w:ascii="Arial" w:eastAsia="Calibri" w:hAnsi="Arial" w:cs="Arial"/>
                <w:sz w:val="20"/>
                <w:szCs w:val="20"/>
                <w:lang w:val="en-GB"/>
              </w:rPr>
              <w:t xml:space="preserve"> </w:t>
            </w:r>
            <w:r w:rsidRPr="0005502D">
              <w:rPr>
                <w:rFonts w:ascii="Arial" w:eastAsia="Calibri" w:hAnsi="Arial" w:cs="Arial"/>
                <w:sz w:val="20"/>
                <w:szCs w:val="20"/>
                <w:lang w:val="en-GB"/>
              </w:rPr>
              <w:t>OR</w:t>
            </w:r>
          </w:p>
          <w:p w14:paraId="7DD9DBCA" w14:textId="0301A6EC" w:rsidR="00076DBE" w:rsidRPr="0005502D" w:rsidRDefault="00076DBE" w:rsidP="0005502D">
            <w:pPr>
              <w:pStyle w:val="ListParagraph"/>
              <w:numPr>
                <w:ilvl w:val="0"/>
                <w:numId w:val="12"/>
              </w:numPr>
              <w:spacing w:after="0" w:line="240" w:lineRule="auto"/>
              <w:ind w:left="173" w:hanging="173"/>
              <w:jc w:val="center"/>
              <w:rPr>
                <w:rFonts w:ascii="Arial" w:eastAsia="Calibri" w:hAnsi="Arial" w:cs="Arial"/>
                <w:sz w:val="20"/>
                <w:szCs w:val="20"/>
                <w:lang w:val="en-GB"/>
              </w:rPr>
            </w:pPr>
            <w:r w:rsidRPr="0005502D">
              <w:rPr>
                <w:rFonts w:ascii="Arial" w:eastAsia="Calibri" w:hAnsi="Arial" w:cs="Arial"/>
                <w:sz w:val="20"/>
                <w:szCs w:val="20"/>
                <w:lang w:val="en-GB"/>
              </w:rPr>
              <w:t>SEIFSA Table U Producer Price Index (PPI</w:t>
            </w:r>
            <w:r w:rsidR="0005502D" w:rsidRPr="0005502D">
              <w:rPr>
                <w:rFonts w:ascii="Arial" w:eastAsia="Calibri" w:hAnsi="Arial" w:cs="Arial"/>
                <w:sz w:val="20"/>
                <w:szCs w:val="20"/>
                <w:lang w:val="en-GB"/>
              </w:rPr>
              <w:t>)</w:t>
            </w:r>
          </w:p>
          <w:p w14:paraId="47BEEFC8" w14:textId="60E846A8" w:rsidR="0005502D"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 final manufactured G</w:t>
            </w:r>
            <w:r w:rsidR="0005502D" w:rsidRPr="0005502D">
              <w:rPr>
                <w:rFonts w:ascii="Arial" w:eastAsia="Calibri" w:hAnsi="Arial" w:cs="Arial"/>
                <w:sz w:val="20"/>
                <w:szCs w:val="20"/>
                <w:lang w:val="en-GB"/>
              </w:rPr>
              <w:t xml:space="preserve">oods </w:t>
            </w:r>
            <w:r w:rsidRPr="0005502D">
              <w:rPr>
                <w:rFonts w:ascii="Arial" w:eastAsia="Calibri" w:hAnsi="Arial" w:cs="Arial"/>
                <w:sz w:val="20"/>
                <w:szCs w:val="20"/>
                <w:lang w:val="en-GB"/>
              </w:rPr>
              <w:t xml:space="preserve">OR </w:t>
            </w:r>
          </w:p>
          <w:p w14:paraId="29D1BF02" w14:textId="04298423" w:rsidR="00076DBE" w:rsidRPr="0005502D" w:rsidRDefault="00076DBE" w:rsidP="0005502D">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Intermediate Manufactured Goods</w:t>
            </w:r>
          </w:p>
        </w:tc>
      </w:tr>
      <w:tr w:rsidR="00076DBE" w:rsidRPr="0005502D" w14:paraId="5FFE8F41" w14:textId="77777777" w:rsidTr="0005502D">
        <w:trPr>
          <w:trHeight w:val="726"/>
          <w:jc w:val="center"/>
        </w:trPr>
        <w:tc>
          <w:tcPr>
            <w:tcW w:w="1555" w:type="dxa"/>
            <w:vMerge/>
            <w:shd w:val="clear" w:color="auto" w:fill="auto"/>
          </w:tcPr>
          <w:p w14:paraId="103CF403" w14:textId="77777777" w:rsidR="00076DBE" w:rsidRPr="0005502D" w:rsidRDefault="00076DBE" w:rsidP="00076DBE">
            <w:pPr>
              <w:spacing w:after="0" w:line="240" w:lineRule="auto"/>
              <w:jc w:val="center"/>
              <w:rPr>
                <w:rFonts w:ascii="Arial" w:eastAsia="Calibri" w:hAnsi="Arial" w:cs="Arial"/>
                <w:b/>
                <w:bCs/>
                <w:sz w:val="20"/>
                <w:szCs w:val="20"/>
                <w:lang w:val="en-GB"/>
              </w:rPr>
            </w:pPr>
          </w:p>
        </w:tc>
        <w:tc>
          <w:tcPr>
            <w:tcW w:w="1842" w:type="dxa"/>
            <w:shd w:val="clear" w:color="auto" w:fill="auto"/>
          </w:tcPr>
          <w:p w14:paraId="0D69C22D"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Zinc</w:t>
            </w:r>
          </w:p>
          <w:p w14:paraId="2D4AFCD5" w14:textId="77777777" w:rsidR="00076DBE" w:rsidRPr="0005502D" w:rsidRDefault="00076DBE" w:rsidP="00076DBE">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SEIFSA, F, zinc</w:t>
            </w:r>
          </w:p>
        </w:tc>
        <w:tc>
          <w:tcPr>
            <w:tcW w:w="2268" w:type="dxa"/>
            <w:vMerge w:val="restart"/>
            <w:shd w:val="clear" w:color="auto" w:fill="auto"/>
          </w:tcPr>
          <w:p w14:paraId="30D251F8"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Building and construction material</w:t>
            </w:r>
          </w:p>
          <w:p w14:paraId="0F9F61BA" w14:textId="77777777" w:rsidR="00076DBE" w:rsidRPr="0005502D" w:rsidRDefault="00076DBE" w:rsidP="00076DBE">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SEIFSA, G, building and construction material</w:t>
            </w:r>
          </w:p>
        </w:tc>
        <w:tc>
          <w:tcPr>
            <w:tcW w:w="1701" w:type="dxa"/>
            <w:vMerge/>
            <w:shd w:val="clear" w:color="auto" w:fill="auto"/>
          </w:tcPr>
          <w:p w14:paraId="7074CCBF" w14:textId="77777777" w:rsidR="00076DBE" w:rsidRPr="0005502D" w:rsidRDefault="00076DBE" w:rsidP="00D560E7">
            <w:pPr>
              <w:spacing w:after="0" w:line="240" w:lineRule="auto"/>
              <w:rPr>
                <w:rFonts w:ascii="Arial" w:eastAsia="Calibri" w:hAnsi="Arial" w:cs="Arial"/>
                <w:sz w:val="20"/>
                <w:szCs w:val="20"/>
                <w:lang w:val="en-US"/>
              </w:rPr>
            </w:pPr>
          </w:p>
        </w:tc>
        <w:tc>
          <w:tcPr>
            <w:tcW w:w="2410" w:type="dxa"/>
            <w:vMerge/>
            <w:shd w:val="clear" w:color="auto" w:fill="auto"/>
          </w:tcPr>
          <w:p w14:paraId="4BDFB3B9" w14:textId="77777777" w:rsidR="00076DBE" w:rsidRPr="0005502D" w:rsidRDefault="00076DBE" w:rsidP="00076DBE">
            <w:pPr>
              <w:spacing w:after="0" w:line="240" w:lineRule="auto"/>
              <w:jc w:val="center"/>
              <w:rPr>
                <w:rFonts w:ascii="Arial" w:eastAsia="Calibri" w:hAnsi="Arial" w:cs="Arial"/>
                <w:sz w:val="20"/>
                <w:szCs w:val="20"/>
                <w:lang w:val="en-US"/>
              </w:rPr>
            </w:pPr>
          </w:p>
        </w:tc>
      </w:tr>
      <w:tr w:rsidR="00076DBE" w:rsidRPr="0005502D" w14:paraId="048B3F78" w14:textId="77777777" w:rsidTr="0005502D">
        <w:trPr>
          <w:trHeight w:val="1241"/>
          <w:jc w:val="center"/>
        </w:trPr>
        <w:tc>
          <w:tcPr>
            <w:tcW w:w="1555" w:type="dxa"/>
            <w:vMerge/>
            <w:shd w:val="clear" w:color="auto" w:fill="auto"/>
          </w:tcPr>
          <w:p w14:paraId="43CAA2A7" w14:textId="77777777" w:rsidR="00076DBE" w:rsidRPr="0005502D" w:rsidRDefault="00076DBE" w:rsidP="00076DBE">
            <w:pPr>
              <w:spacing w:after="0" w:line="240" w:lineRule="auto"/>
              <w:jc w:val="center"/>
              <w:rPr>
                <w:rFonts w:ascii="Arial" w:eastAsia="Calibri" w:hAnsi="Arial" w:cs="Arial"/>
                <w:b/>
                <w:bCs/>
                <w:sz w:val="20"/>
                <w:szCs w:val="20"/>
                <w:lang w:val="en-GB"/>
              </w:rPr>
            </w:pPr>
          </w:p>
        </w:tc>
        <w:tc>
          <w:tcPr>
            <w:tcW w:w="1842" w:type="dxa"/>
            <w:shd w:val="clear" w:color="auto" w:fill="auto"/>
          </w:tcPr>
          <w:p w14:paraId="4FCECC0A" w14:textId="77777777" w:rsidR="00076DBE" w:rsidRPr="0005502D" w:rsidRDefault="00076DBE" w:rsidP="00076DBE">
            <w:pPr>
              <w:spacing w:after="0" w:line="240" w:lineRule="auto"/>
              <w:jc w:val="center"/>
              <w:rPr>
                <w:rFonts w:ascii="Arial" w:eastAsia="Calibri" w:hAnsi="Arial" w:cs="Arial"/>
                <w:b/>
                <w:bCs/>
                <w:sz w:val="20"/>
                <w:szCs w:val="20"/>
                <w:lang w:val="en-GB"/>
              </w:rPr>
            </w:pPr>
            <w:r w:rsidRPr="0005502D">
              <w:rPr>
                <w:rFonts w:ascii="Arial" w:eastAsia="Calibri" w:hAnsi="Arial" w:cs="Arial"/>
                <w:b/>
                <w:bCs/>
                <w:sz w:val="20"/>
                <w:szCs w:val="20"/>
                <w:lang w:val="en-GB"/>
              </w:rPr>
              <w:t>Lead</w:t>
            </w:r>
          </w:p>
          <w:p w14:paraId="4B7680A3" w14:textId="1DA68EFF" w:rsidR="00076DBE" w:rsidRPr="0005502D" w:rsidRDefault="00076DBE" w:rsidP="00076DBE">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SEIFSA,</w:t>
            </w:r>
            <w:r w:rsidR="0005502D">
              <w:rPr>
                <w:rFonts w:ascii="Arial" w:eastAsia="Calibri" w:hAnsi="Arial" w:cs="Arial"/>
                <w:sz w:val="20"/>
                <w:szCs w:val="20"/>
                <w:lang w:val="en-GB"/>
              </w:rPr>
              <w:t xml:space="preserve"> </w:t>
            </w:r>
            <w:r w:rsidRPr="0005502D">
              <w:rPr>
                <w:rFonts w:ascii="Arial" w:eastAsia="Calibri" w:hAnsi="Arial" w:cs="Arial"/>
                <w:sz w:val="20"/>
                <w:szCs w:val="20"/>
                <w:lang w:val="en-GB"/>
              </w:rPr>
              <w:t>F, lead</w:t>
            </w:r>
          </w:p>
        </w:tc>
        <w:tc>
          <w:tcPr>
            <w:tcW w:w="2268" w:type="dxa"/>
            <w:vMerge/>
            <w:shd w:val="clear" w:color="auto" w:fill="auto"/>
          </w:tcPr>
          <w:p w14:paraId="1C31C15D" w14:textId="77777777" w:rsidR="00076DBE" w:rsidRPr="0005502D" w:rsidRDefault="00076DBE" w:rsidP="00D560E7">
            <w:pPr>
              <w:spacing w:after="0" w:line="240" w:lineRule="auto"/>
              <w:rPr>
                <w:rFonts w:ascii="Arial" w:eastAsia="Calibri" w:hAnsi="Arial" w:cs="Arial"/>
                <w:sz w:val="20"/>
                <w:szCs w:val="20"/>
                <w:lang w:val="en-US"/>
              </w:rPr>
            </w:pPr>
          </w:p>
        </w:tc>
        <w:tc>
          <w:tcPr>
            <w:tcW w:w="1701" w:type="dxa"/>
            <w:vMerge/>
            <w:shd w:val="clear" w:color="auto" w:fill="auto"/>
          </w:tcPr>
          <w:p w14:paraId="3BD3BF96" w14:textId="77777777" w:rsidR="00076DBE" w:rsidRPr="0005502D" w:rsidRDefault="00076DBE" w:rsidP="00D560E7">
            <w:pPr>
              <w:spacing w:after="0" w:line="240" w:lineRule="auto"/>
              <w:rPr>
                <w:rFonts w:ascii="Arial" w:eastAsia="Calibri" w:hAnsi="Arial" w:cs="Arial"/>
                <w:sz w:val="20"/>
                <w:szCs w:val="20"/>
                <w:lang w:val="en-US"/>
              </w:rPr>
            </w:pPr>
          </w:p>
        </w:tc>
        <w:tc>
          <w:tcPr>
            <w:tcW w:w="2410" w:type="dxa"/>
            <w:vMerge/>
            <w:shd w:val="clear" w:color="auto" w:fill="auto"/>
          </w:tcPr>
          <w:p w14:paraId="4569BD2D" w14:textId="77777777" w:rsidR="00076DBE" w:rsidRPr="0005502D" w:rsidRDefault="00076DBE" w:rsidP="00076DBE">
            <w:pPr>
              <w:spacing w:after="0" w:line="240" w:lineRule="auto"/>
              <w:jc w:val="center"/>
              <w:rPr>
                <w:rFonts w:ascii="Arial" w:eastAsia="Calibri" w:hAnsi="Arial" w:cs="Arial"/>
                <w:sz w:val="20"/>
                <w:szCs w:val="20"/>
                <w:lang w:val="en-US"/>
              </w:rPr>
            </w:pPr>
          </w:p>
        </w:tc>
      </w:tr>
    </w:tbl>
    <w:p w14:paraId="4F22A858" w14:textId="77777777" w:rsidR="0013580A" w:rsidRDefault="0013580A" w:rsidP="00076DBE">
      <w:pPr>
        <w:spacing w:before="240"/>
        <w:rPr>
          <w:rFonts w:ascii="Arial" w:eastAsia="Calibri" w:hAnsi="Arial" w:cs="Arial"/>
          <w:b/>
          <w:bCs/>
          <w:sz w:val="20"/>
          <w:szCs w:val="20"/>
          <w:u w:val="single"/>
          <w:lang w:val="en-US"/>
        </w:rPr>
      </w:pPr>
    </w:p>
    <w:p w14:paraId="60045194" w14:textId="77777777" w:rsidR="0013580A" w:rsidRDefault="0013580A" w:rsidP="00076DBE">
      <w:pPr>
        <w:spacing w:before="240"/>
        <w:rPr>
          <w:rFonts w:ascii="Arial" w:eastAsia="Calibri" w:hAnsi="Arial" w:cs="Arial"/>
          <w:b/>
          <w:bCs/>
          <w:sz w:val="20"/>
          <w:szCs w:val="20"/>
          <w:u w:val="single"/>
          <w:lang w:val="en-US"/>
        </w:rPr>
      </w:pPr>
    </w:p>
    <w:p w14:paraId="6D0E8315" w14:textId="7FA109DD" w:rsidR="00076DBE" w:rsidRPr="005D5883" w:rsidRDefault="00076DBE" w:rsidP="00076DBE">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2268"/>
        <w:gridCol w:w="1701"/>
        <w:gridCol w:w="2410"/>
      </w:tblGrid>
      <w:tr w:rsidR="0005502D" w:rsidRPr="0005502D" w14:paraId="495392DA" w14:textId="77777777" w:rsidTr="0005502D">
        <w:trPr>
          <w:trHeight w:val="331"/>
          <w:jc w:val="center"/>
        </w:trPr>
        <w:tc>
          <w:tcPr>
            <w:tcW w:w="1555" w:type="dxa"/>
            <w:shd w:val="clear" w:color="auto" w:fill="D9D9D9" w:themeFill="background1" w:themeFillShade="D9"/>
            <w:vAlign w:val="center"/>
          </w:tcPr>
          <w:p w14:paraId="60C7A813" w14:textId="77777777" w:rsidR="00076DBE" w:rsidRPr="0005502D" w:rsidRDefault="00076DBE" w:rsidP="0005502D">
            <w:pPr>
              <w:spacing w:after="0" w:line="240" w:lineRule="auto"/>
              <w:jc w:val="center"/>
              <w:rPr>
                <w:rFonts w:ascii="Arial" w:eastAsia="Calibri" w:hAnsi="Arial" w:cs="Arial"/>
                <w:b/>
                <w:bCs/>
                <w:sz w:val="20"/>
                <w:szCs w:val="20"/>
                <w:lang w:val="en-US"/>
              </w:rPr>
            </w:pPr>
            <w:proofErr w:type="spellStart"/>
            <w:r w:rsidRPr="0005502D">
              <w:rPr>
                <w:rFonts w:ascii="Arial" w:eastAsia="Calibri" w:hAnsi="Arial" w:cs="Arial"/>
                <w:b/>
                <w:bCs/>
                <w:sz w:val="20"/>
                <w:szCs w:val="20"/>
                <w:lang w:val="en-US"/>
              </w:rPr>
              <w:t>Labour</w:t>
            </w:r>
            <w:proofErr w:type="spellEnd"/>
          </w:p>
        </w:tc>
        <w:tc>
          <w:tcPr>
            <w:tcW w:w="1842" w:type="dxa"/>
            <w:shd w:val="clear" w:color="auto" w:fill="D9D9D9" w:themeFill="background1" w:themeFillShade="D9"/>
            <w:vAlign w:val="center"/>
          </w:tcPr>
          <w:p w14:paraId="6687CD06" w14:textId="77777777" w:rsidR="00076DBE" w:rsidRPr="0005502D" w:rsidRDefault="00076DBE" w:rsidP="0005502D">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Commodities</w:t>
            </w:r>
          </w:p>
        </w:tc>
        <w:tc>
          <w:tcPr>
            <w:tcW w:w="2268" w:type="dxa"/>
            <w:shd w:val="clear" w:color="auto" w:fill="D9D9D9" w:themeFill="background1" w:themeFillShade="D9"/>
            <w:vAlign w:val="center"/>
          </w:tcPr>
          <w:p w14:paraId="02D13D25" w14:textId="77777777" w:rsidR="00076DBE" w:rsidRPr="0005502D" w:rsidRDefault="00076DBE" w:rsidP="0005502D">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Processed material</w:t>
            </w:r>
          </w:p>
        </w:tc>
        <w:tc>
          <w:tcPr>
            <w:tcW w:w="1701" w:type="dxa"/>
            <w:shd w:val="clear" w:color="auto" w:fill="D9D9D9" w:themeFill="background1" w:themeFillShade="D9"/>
            <w:vAlign w:val="center"/>
          </w:tcPr>
          <w:p w14:paraId="30235F60" w14:textId="77777777" w:rsidR="00076DBE" w:rsidRPr="0005502D" w:rsidRDefault="00076DBE" w:rsidP="0005502D">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Transport</w:t>
            </w:r>
          </w:p>
        </w:tc>
        <w:tc>
          <w:tcPr>
            <w:tcW w:w="2410" w:type="dxa"/>
            <w:shd w:val="clear" w:color="auto" w:fill="D9D9D9" w:themeFill="background1" w:themeFillShade="D9"/>
            <w:vAlign w:val="center"/>
          </w:tcPr>
          <w:p w14:paraId="580EC2CA" w14:textId="77777777" w:rsidR="00076DBE" w:rsidRPr="0005502D" w:rsidRDefault="00076DBE" w:rsidP="0005502D">
            <w:pPr>
              <w:spacing w:after="0" w:line="240" w:lineRule="auto"/>
              <w:jc w:val="center"/>
              <w:rPr>
                <w:rFonts w:ascii="Arial" w:eastAsia="Calibri" w:hAnsi="Arial" w:cs="Arial"/>
                <w:b/>
                <w:bCs/>
                <w:sz w:val="20"/>
                <w:szCs w:val="20"/>
                <w:lang w:val="en-US"/>
              </w:rPr>
            </w:pPr>
            <w:r w:rsidRPr="0005502D">
              <w:rPr>
                <w:rFonts w:ascii="Arial" w:eastAsia="Calibri" w:hAnsi="Arial" w:cs="Arial"/>
                <w:b/>
                <w:bCs/>
                <w:sz w:val="20"/>
                <w:szCs w:val="20"/>
                <w:lang w:val="en-US"/>
              </w:rPr>
              <w:t>Others</w:t>
            </w:r>
          </w:p>
        </w:tc>
      </w:tr>
      <w:tr w:rsidR="0005502D" w:rsidRPr="0005502D" w14:paraId="37293360" w14:textId="77777777" w:rsidTr="00813E8A">
        <w:trPr>
          <w:trHeight w:val="1070"/>
          <w:jc w:val="center"/>
        </w:trPr>
        <w:tc>
          <w:tcPr>
            <w:tcW w:w="1555" w:type="dxa"/>
            <w:vMerge w:val="restart"/>
            <w:shd w:val="clear" w:color="auto" w:fill="auto"/>
          </w:tcPr>
          <w:p w14:paraId="26359C60" w14:textId="77777777" w:rsidR="00076DBE" w:rsidRPr="0005502D" w:rsidRDefault="00076DBE" w:rsidP="0005502D">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general labour index</w:t>
            </w:r>
          </w:p>
        </w:tc>
        <w:tc>
          <w:tcPr>
            <w:tcW w:w="1842" w:type="dxa"/>
            <w:shd w:val="clear" w:color="auto" w:fill="auto"/>
          </w:tcPr>
          <w:p w14:paraId="71BCC6EB"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MEPS,</w:t>
            </w:r>
            <w:r w:rsidRPr="0005502D">
              <w:rPr>
                <w:rFonts w:ascii="Arial" w:eastAsia="Calibri" w:hAnsi="Arial" w:cs="Arial"/>
                <w:sz w:val="20"/>
                <w:szCs w:val="20"/>
                <w:lang w:val="en-GB"/>
              </w:rPr>
              <w:br/>
              <w:t>Country-specific general steel index</w:t>
            </w:r>
          </w:p>
        </w:tc>
        <w:tc>
          <w:tcPr>
            <w:tcW w:w="2268" w:type="dxa"/>
            <w:shd w:val="clear" w:color="auto" w:fill="auto"/>
          </w:tcPr>
          <w:p w14:paraId="7228207A"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mechanical engineering material</w:t>
            </w:r>
          </w:p>
        </w:tc>
        <w:tc>
          <w:tcPr>
            <w:tcW w:w="1701" w:type="dxa"/>
            <w:vMerge w:val="restart"/>
            <w:shd w:val="clear" w:color="auto" w:fill="auto"/>
          </w:tcPr>
          <w:p w14:paraId="0872D2F2"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general transport cost index</w:t>
            </w:r>
          </w:p>
          <w:p w14:paraId="381353AC" w14:textId="77777777" w:rsidR="00076DBE" w:rsidRPr="0005502D" w:rsidRDefault="00076DBE" w:rsidP="0005502D">
            <w:pPr>
              <w:spacing w:after="0" w:line="240" w:lineRule="auto"/>
              <w:jc w:val="center"/>
              <w:rPr>
                <w:rFonts w:ascii="Arial" w:eastAsia="Calibri" w:hAnsi="Arial" w:cs="Arial"/>
                <w:sz w:val="20"/>
                <w:szCs w:val="20"/>
                <w:lang w:val="en-GB"/>
              </w:rPr>
            </w:pPr>
          </w:p>
        </w:tc>
        <w:tc>
          <w:tcPr>
            <w:tcW w:w="2410" w:type="dxa"/>
            <w:vMerge w:val="restart"/>
            <w:shd w:val="clear" w:color="auto" w:fill="auto"/>
          </w:tcPr>
          <w:p w14:paraId="587DCB71" w14:textId="77777777" w:rsidR="00076DBE" w:rsidRPr="0005502D" w:rsidRDefault="00076DBE" w:rsidP="0005502D">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CPI (Headline)</w:t>
            </w:r>
          </w:p>
          <w:p w14:paraId="6CF2A5B5" w14:textId="77777777" w:rsidR="00076DBE" w:rsidRPr="0005502D" w:rsidRDefault="00076DBE" w:rsidP="0005502D">
            <w:pPr>
              <w:spacing w:after="0" w:line="240" w:lineRule="auto"/>
              <w:jc w:val="center"/>
              <w:rPr>
                <w:rFonts w:ascii="Arial" w:eastAsia="Calibri" w:hAnsi="Arial" w:cs="Arial"/>
                <w:sz w:val="20"/>
                <w:szCs w:val="20"/>
                <w:lang w:val="en-GB"/>
              </w:rPr>
            </w:pPr>
          </w:p>
          <w:p w14:paraId="33CC1408"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PPI</w:t>
            </w:r>
          </w:p>
        </w:tc>
      </w:tr>
      <w:tr w:rsidR="0005502D" w:rsidRPr="0005502D" w14:paraId="4FEBDE5A" w14:textId="77777777" w:rsidTr="0005502D">
        <w:trPr>
          <w:trHeight w:val="548"/>
          <w:jc w:val="center"/>
        </w:trPr>
        <w:tc>
          <w:tcPr>
            <w:tcW w:w="1555" w:type="dxa"/>
            <w:vMerge/>
            <w:shd w:val="clear" w:color="auto" w:fill="auto"/>
          </w:tcPr>
          <w:p w14:paraId="42A4B3C1"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1842" w:type="dxa"/>
            <w:shd w:val="clear" w:color="auto" w:fill="auto"/>
          </w:tcPr>
          <w:p w14:paraId="4390D0B3" w14:textId="77777777" w:rsidR="00076DBE" w:rsidRPr="0005502D" w:rsidRDefault="00076DBE" w:rsidP="0005502D">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LME, Copper</w:t>
            </w:r>
          </w:p>
        </w:tc>
        <w:tc>
          <w:tcPr>
            <w:tcW w:w="2268" w:type="dxa"/>
            <w:vMerge w:val="restart"/>
            <w:shd w:val="clear" w:color="auto" w:fill="auto"/>
          </w:tcPr>
          <w:p w14:paraId="25A337D9"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electrical engineering material</w:t>
            </w:r>
          </w:p>
        </w:tc>
        <w:tc>
          <w:tcPr>
            <w:tcW w:w="1701" w:type="dxa"/>
            <w:vMerge/>
            <w:shd w:val="clear" w:color="auto" w:fill="auto"/>
          </w:tcPr>
          <w:p w14:paraId="01A24AFD"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2410" w:type="dxa"/>
            <w:vMerge/>
            <w:shd w:val="clear" w:color="auto" w:fill="auto"/>
          </w:tcPr>
          <w:p w14:paraId="4A238681" w14:textId="77777777" w:rsidR="00076DBE" w:rsidRPr="0005502D" w:rsidRDefault="00076DBE" w:rsidP="0005502D">
            <w:pPr>
              <w:spacing w:after="0" w:line="240" w:lineRule="auto"/>
              <w:jc w:val="center"/>
              <w:rPr>
                <w:rFonts w:ascii="Arial" w:eastAsia="Calibri" w:hAnsi="Arial" w:cs="Arial"/>
                <w:sz w:val="20"/>
                <w:szCs w:val="20"/>
                <w:lang w:val="en-US"/>
              </w:rPr>
            </w:pPr>
          </w:p>
        </w:tc>
      </w:tr>
      <w:tr w:rsidR="0005502D" w:rsidRPr="0005502D" w14:paraId="0F9855E9" w14:textId="77777777" w:rsidTr="0005502D">
        <w:trPr>
          <w:trHeight w:val="518"/>
          <w:jc w:val="center"/>
        </w:trPr>
        <w:tc>
          <w:tcPr>
            <w:tcW w:w="1555" w:type="dxa"/>
            <w:vMerge/>
            <w:shd w:val="clear" w:color="auto" w:fill="auto"/>
          </w:tcPr>
          <w:p w14:paraId="26BDFFAF"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1842" w:type="dxa"/>
            <w:shd w:val="clear" w:color="auto" w:fill="auto"/>
          </w:tcPr>
          <w:p w14:paraId="6206A002" w14:textId="77777777" w:rsidR="00076DBE" w:rsidRPr="0005502D" w:rsidRDefault="00076DBE" w:rsidP="0005502D">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LME, aluminium</w:t>
            </w:r>
          </w:p>
        </w:tc>
        <w:tc>
          <w:tcPr>
            <w:tcW w:w="2268" w:type="dxa"/>
            <w:vMerge/>
            <w:shd w:val="clear" w:color="auto" w:fill="auto"/>
          </w:tcPr>
          <w:p w14:paraId="333558D9" w14:textId="77777777" w:rsidR="00076DBE" w:rsidRPr="0005502D" w:rsidRDefault="00076DBE" w:rsidP="0005502D">
            <w:pPr>
              <w:spacing w:after="0" w:line="240" w:lineRule="auto"/>
              <w:jc w:val="center"/>
              <w:rPr>
                <w:rFonts w:ascii="Arial" w:eastAsia="Calibri" w:hAnsi="Arial" w:cs="Arial"/>
                <w:sz w:val="20"/>
                <w:szCs w:val="20"/>
                <w:lang w:val="en-GB"/>
              </w:rPr>
            </w:pPr>
          </w:p>
        </w:tc>
        <w:tc>
          <w:tcPr>
            <w:tcW w:w="1701" w:type="dxa"/>
            <w:vMerge/>
            <w:shd w:val="clear" w:color="auto" w:fill="auto"/>
          </w:tcPr>
          <w:p w14:paraId="209E5ACB"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2410" w:type="dxa"/>
            <w:vMerge/>
            <w:shd w:val="clear" w:color="auto" w:fill="auto"/>
          </w:tcPr>
          <w:p w14:paraId="760DEF0A" w14:textId="77777777" w:rsidR="00076DBE" w:rsidRPr="0005502D" w:rsidRDefault="00076DBE" w:rsidP="0005502D">
            <w:pPr>
              <w:spacing w:after="0" w:line="240" w:lineRule="auto"/>
              <w:jc w:val="center"/>
              <w:rPr>
                <w:rFonts w:ascii="Arial" w:eastAsia="Calibri" w:hAnsi="Arial" w:cs="Arial"/>
                <w:sz w:val="20"/>
                <w:szCs w:val="20"/>
                <w:lang w:val="en-US"/>
              </w:rPr>
            </w:pPr>
          </w:p>
        </w:tc>
      </w:tr>
      <w:tr w:rsidR="0005502D" w:rsidRPr="0005502D" w14:paraId="3C81C57A" w14:textId="77777777" w:rsidTr="0005502D">
        <w:trPr>
          <w:trHeight w:val="664"/>
          <w:jc w:val="center"/>
        </w:trPr>
        <w:tc>
          <w:tcPr>
            <w:tcW w:w="1555" w:type="dxa"/>
            <w:vMerge/>
            <w:shd w:val="clear" w:color="auto" w:fill="auto"/>
          </w:tcPr>
          <w:p w14:paraId="6224881C"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1842" w:type="dxa"/>
            <w:shd w:val="clear" w:color="auto" w:fill="auto"/>
          </w:tcPr>
          <w:p w14:paraId="2E868A6A"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LME, zinc</w:t>
            </w:r>
          </w:p>
        </w:tc>
        <w:tc>
          <w:tcPr>
            <w:tcW w:w="2268" w:type="dxa"/>
            <w:vMerge w:val="restart"/>
            <w:shd w:val="clear" w:color="auto" w:fill="auto"/>
          </w:tcPr>
          <w:p w14:paraId="7A78E217" w14:textId="77777777" w:rsidR="00076DBE" w:rsidRPr="0005502D" w:rsidRDefault="00076DBE" w:rsidP="0005502D">
            <w:pPr>
              <w:spacing w:after="0" w:line="240" w:lineRule="auto"/>
              <w:jc w:val="center"/>
              <w:rPr>
                <w:rFonts w:ascii="Arial" w:eastAsia="Calibri" w:hAnsi="Arial" w:cs="Arial"/>
                <w:sz w:val="20"/>
                <w:szCs w:val="20"/>
                <w:lang w:val="en-GB"/>
              </w:rPr>
            </w:pPr>
            <w:r w:rsidRPr="0005502D">
              <w:rPr>
                <w:rFonts w:ascii="Arial" w:eastAsia="Calibri" w:hAnsi="Arial" w:cs="Arial"/>
                <w:sz w:val="20"/>
                <w:szCs w:val="20"/>
                <w:lang w:val="en-GB"/>
              </w:rPr>
              <w:t xml:space="preserve">National Statistical Institute, </w:t>
            </w:r>
            <w:r w:rsidRPr="0005502D">
              <w:rPr>
                <w:rFonts w:ascii="Arial" w:eastAsia="Calibri" w:hAnsi="Arial" w:cs="Arial"/>
                <w:sz w:val="20"/>
                <w:szCs w:val="20"/>
                <w:lang w:val="en-GB"/>
              </w:rPr>
              <w:br/>
              <w:t>Country-specific building and construction material</w:t>
            </w:r>
          </w:p>
        </w:tc>
        <w:tc>
          <w:tcPr>
            <w:tcW w:w="1701" w:type="dxa"/>
            <w:vMerge/>
            <w:shd w:val="clear" w:color="auto" w:fill="auto"/>
          </w:tcPr>
          <w:p w14:paraId="0A86878B"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2410" w:type="dxa"/>
            <w:vMerge/>
            <w:shd w:val="clear" w:color="auto" w:fill="auto"/>
          </w:tcPr>
          <w:p w14:paraId="660A8449" w14:textId="77777777" w:rsidR="00076DBE" w:rsidRPr="0005502D" w:rsidRDefault="00076DBE" w:rsidP="0005502D">
            <w:pPr>
              <w:spacing w:after="0" w:line="240" w:lineRule="auto"/>
              <w:jc w:val="center"/>
              <w:rPr>
                <w:rFonts w:ascii="Arial" w:eastAsia="Calibri" w:hAnsi="Arial" w:cs="Arial"/>
                <w:sz w:val="20"/>
                <w:szCs w:val="20"/>
                <w:lang w:val="en-US"/>
              </w:rPr>
            </w:pPr>
          </w:p>
        </w:tc>
      </w:tr>
      <w:tr w:rsidR="0005502D" w:rsidRPr="0005502D" w14:paraId="61A8ADE7" w14:textId="77777777" w:rsidTr="00813E8A">
        <w:trPr>
          <w:trHeight w:val="624"/>
          <w:jc w:val="center"/>
        </w:trPr>
        <w:tc>
          <w:tcPr>
            <w:tcW w:w="1555" w:type="dxa"/>
            <w:vMerge/>
            <w:shd w:val="clear" w:color="auto" w:fill="auto"/>
          </w:tcPr>
          <w:p w14:paraId="5981B4CE"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1842" w:type="dxa"/>
            <w:shd w:val="clear" w:color="auto" w:fill="auto"/>
          </w:tcPr>
          <w:p w14:paraId="60023AB8" w14:textId="77777777" w:rsidR="00076DBE" w:rsidRPr="0005502D" w:rsidRDefault="00076DBE" w:rsidP="0005502D">
            <w:pPr>
              <w:spacing w:after="0" w:line="240" w:lineRule="auto"/>
              <w:jc w:val="center"/>
              <w:rPr>
                <w:rFonts w:ascii="Arial" w:eastAsia="Calibri" w:hAnsi="Arial" w:cs="Arial"/>
                <w:sz w:val="20"/>
                <w:szCs w:val="20"/>
                <w:lang w:val="en-US"/>
              </w:rPr>
            </w:pPr>
            <w:r w:rsidRPr="0005502D">
              <w:rPr>
                <w:rFonts w:ascii="Arial" w:eastAsia="Calibri" w:hAnsi="Arial" w:cs="Arial"/>
                <w:sz w:val="20"/>
                <w:szCs w:val="20"/>
                <w:lang w:val="en-GB"/>
              </w:rPr>
              <w:t>LME, lead</w:t>
            </w:r>
          </w:p>
        </w:tc>
        <w:tc>
          <w:tcPr>
            <w:tcW w:w="2268" w:type="dxa"/>
            <w:vMerge/>
            <w:shd w:val="clear" w:color="auto" w:fill="auto"/>
          </w:tcPr>
          <w:p w14:paraId="509396A9"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1701" w:type="dxa"/>
            <w:vMerge/>
            <w:shd w:val="clear" w:color="auto" w:fill="auto"/>
          </w:tcPr>
          <w:p w14:paraId="4907A7DD" w14:textId="77777777" w:rsidR="00076DBE" w:rsidRPr="0005502D" w:rsidRDefault="00076DBE" w:rsidP="0005502D">
            <w:pPr>
              <w:spacing w:after="0" w:line="240" w:lineRule="auto"/>
              <w:jc w:val="center"/>
              <w:rPr>
                <w:rFonts w:ascii="Arial" w:eastAsia="Calibri" w:hAnsi="Arial" w:cs="Arial"/>
                <w:sz w:val="20"/>
                <w:szCs w:val="20"/>
                <w:lang w:val="en-US"/>
              </w:rPr>
            </w:pPr>
          </w:p>
        </w:tc>
        <w:tc>
          <w:tcPr>
            <w:tcW w:w="2410" w:type="dxa"/>
            <w:vMerge/>
            <w:shd w:val="clear" w:color="auto" w:fill="auto"/>
          </w:tcPr>
          <w:p w14:paraId="45BF944A" w14:textId="77777777" w:rsidR="00076DBE" w:rsidRPr="0005502D" w:rsidRDefault="00076DBE" w:rsidP="0005502D">
            <w:pPr>
              <w:spacing w:after="0" w:line="240" w:lineRule="auto"/>
              <w:jc w:val="center"/>
              <w:rPr>
                <w:rFonts w:ascii="Arial" w:eastAsia="Calibri" w:hAnsi="Arial" w:cs="Arial"/>
                <w:sz w:val="20"/>
                <w:szCs w:val="20"/>
                <w:lang w:val="en-US"/>
              </w:rPr>
            </w:pPr>
          </w:p>
        </w:tc>
      </w:tr>
    </w:tbl>
    <w:p w14:paraId="4F1589CD" w14:textId="20BA82FE" w:rsidR="000624B7" w:rsidRDefault="000624B7" w:rsidP="000624B7">
      <w:pPr>
        <w:tabs>
          <w:tab w:val="left" w:pos="357"/>
        </w:tabs>
        <w:spacing w:after="0" w:line="240" w:lineRule="auto"/>
        <w:rPr>
          <w:rFonts w:ascii="Arial" w:eastAsia="Times New Roman" w:hAnsi="Arial" w:cs="Arial"/>
          <w:b/>
          <w:u w:val="single"/>
        </w:rPr>
      </w:pPr>
    </w:p>
    <w:p w14:paraId="2E401727" w14:textId="77777777" w:rsidR="0013580A" w:rsidRDefault="0013580A" w:rsidP="000624B7">
      <w:pPr>
        <w:tabs>
          <w:tab w:val="left" w:pos="357"/>
        </w:tabs>
        <w:spacing w:after="0" w:line="240" w:lineRule="auto"/>
        <w:rPr>
          <w:rFonts w:ascii="Arial" w:eastAsia="Times New Roman" w:hAnsi="Arial" w:cs="Arial"/>
          <w:b/>
          <w:u w:val="single"/>
        </w:rPr>
      </w:pPr>
    </w:p>
    <w:p w14:paraId="0ECABECD" w14:textId="77777777" w:rsidR="00813E8A" w:rsidRDefault="00813E8A" w:rsidP="00813E8A">
      <w:pPr>
        <w:pBdr>
          <w:top w:val="single" w:sz="4" w:space="0" w:color="auto"/>
          <w:left w:val="single" w:sz="4" w:space="0"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1306806A" w14:textId="77777777" w:rsidR="00813E8A" w:rsidRPr="005D5883" w:rsidRDefault="00813E8A" w:rsidP="00813E8A">
      <w:pPr>
        <w:pBdr>
          <w:top w:val="single" w:sz="4" w:space="0" w:color="auto"/>
          <w:left w:val="single" w:sz="4" w:space="0"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Change w:id="19" w:author="Didimalang Motsemme" w:date="2023-11-28T10:22:00Z">
          <w:pPr>
            <w:pBdr>
              <w:top w:val="single" w:sz="4" w:space="1" w:color="auto"/>
              <w:left w:val="single" w:sz="4" w:space="4" w:color="auto"/>
              <w:bottom w:val="single" w:sz="4" w:space="17" w:color="auto"/>
              <w:right w:val="single" w:sz="4" w:space="4" w:color="auto"/>
            </w:pBdr>
            <w:tabs>
              <w:tab w:val="left" w:pos="357"/>
            </w:tabs>
            <w:spacing w:after="0" w:line="240" w:lineRule="auto"/>
            <w:jc w:val="both"/>
          </w:pPr>
        </w:pPrChange>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7B790FFC" w14:textId="77777777" w:rsidR="00813E8A" w:rsidRPr="005D5883" w:rsidRDefault="00813E8A" w:rsidP="00813E8A">
      <w:pPr>
        <w:pBdr>
          <w:top w:val="single" w:sz="4" w:space="0" w:color="auto"/>
          <w:left w:val="single" w:sz="4" w:space="0"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Change w:id="20" w:author="Didimalang Motsemme" w:date="2023-11-28T10:22:00Z">
          <w:pPr>
            <w:pBdr>
              <w:top w:val="single" w:sz="4" w:space="1" w:color="auto"/>
              <w:left w:val="single" w:sz="4" w:space="4" w:color="auto"/>
              <w:bottom w:val="single" w:sz="4" w:space="17" w:color="auto"/>
              <w:right w:val="single" w:sz="4" w:space="4" w:color="auto"/>
            </w:pBdr>
            <w:tabs>
              <w:tab w:val="left" w:pos="357"/>
            </w:tabs>
            <w:spacing w:after="0" w:line="240" w:lineRule="auto"/>
            <w:jc w:val="both"/>
          </w:pPr>
        </w:pPrChange>
      </w:pPr>
    </w:p>
    <w:p w14:paraId="6E674090" w14:textId="77777777" w:rsidR="00813E8A" w:rsidRPr="005D5883" w:rsidRDefault="00813E8A" w:rsidP="00813E8A">
      <w:pPr>
        <w:pBdr>
          <w:top w:val="single" w:sz="4" w:space="0" w:color="auto"/>
          <w:left w:val="single" w:sz="4" w:space="0"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Change w:id="21" w:author="Didimalang Motsemme" w:date="2023-11-28T10:22:00Z">
          <w:pPr>
            <w:pBdr>
              <w:top w:val="single" w:sz="4" w:space="1" w:color="auto"/>
              <w:left w:val="single" w:sz="4" w:space="4" w:color="auto"/>
              <w:bottom w:val="single" w:sz="4" w:space="17" w:color="auto"/>
              <w:right w:val="single" w:sz="4" w:space="4" w:color="auto"/>
            </w:pBdr>
            <w:tabs>
              <w:tab w:val="left" w:pos="357"/>
            </w:tabs>
            <w:spacing w:after="0" w:line="240" w:lineRule="auto"/>
            <w:jc w:val="both"/>
          </w:pPr>
        </w:pPrChange>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5932D964" w14:textId="77777777" w:rsidR="00813E8A" w:rsidRDefault="00813E8A" w:rsidP="000624B7">
      <w:pPr>
        <w:tabs>
          <w:tab w:val="left" w:pos="357"/>
        </w:tabs>
        <w:spacing w:after="0" w:line="240" w:lineRule="auto"/>
        <w:rPr>
          <w:rFonts w:ascii="Arial" w:eastAsia="Times New Roman" w:hAnsi="Arial" w:cs="Arial"/>
          <w:b/>
          <w:u w:val="single"/>
        </w:rPr>
      </w:pPr>
    </w:p>
    <w:p w14:paraId="4C631C7B" w14:textId="53E83284" w:rsidR="000624B7" w:rsidRDefault="000624B7" w:rsidP="006B6603">
      <w:pPr>
        <w:tabs>
          <w:tab w:val="left" w:pos="357"/>
        </w:tabs>
        <w:spacing w:after="0"/>
        <w:rPr>
          <w:rFonts w:ascii="Arial" w:eastAsia="Times New Roman" w:hAnsi="Arial" w:cs="Arial"/>
          <w:b/>
          <w:u w:val="single"/>
        </w:rPr>
      </w:pPr>
    </w:p>
    <w:p w14:paraId="0DE6D7C9" w14:textId="6BF0E7B9" w:rsidR="00813E8A" w:rsidRDefault="00813E8A" w:rsidP="006B6603">
      <w:pPr>
        <w:tabs>
          <w:tab w:val="left" w:pos="357"/>
        </w:tabs>
        <w:spacing w:after="0"/>
        <w:rPr>
          <w:rFonts w:ascii="Arial" w:eastAsia="Times New Roman" w:hAnsi="Arial" w:cs="Arial"/>
          <w:b/>
          <w:u w:val="single"/>
        </w:rPr>
      </w:pPr>
    </w:p>
    <w:p w14:paraId="13F69CC5" w14:textId="76E8EF14" w:rsidR="00813E8A" w:rsidRDefault="00813E8A" w:rsidP="006B6603">
      <w:pPr>
        <w:tabs>
          <w:tab w:val="left" w:pos="357"/>
        </w:tabs>
        <w:spacing w:after="0"/>
        <w:rPr>
          <w:rFonts w:ascii="Arial" w:eastAsia="Times New Roman" w:hAnsi="Arial" w:cs="Arial"/>
          <w:b/>
          <w:u w:val="single"/>
        </w:rPr>
      </w:pPr>
    </w:p>
    <w:p w14:paraId="6128D756" w14:textId="76D9EEDB" w:rsidR="00813E8A" w:rsidRDefault="00813E8A" w:rsidP="006B6603">
      <w:pPr>
        <w:tabs>
          <w:tab w:val="left" w:pos="357"/>
        </w:tabs>
        <w:spacing w:after="0"/>
        <w:rPr>
          <w:rFonts w:ascii="Arial" w:eastAsia="Times New Roman" w:hAnsi="Arial" w:cs="Arial"/>
          <w:b/>
          <w:u w:val="single"/>
        </w:rPr>
      </w:pPr>
    </w:p>
    <w:p w14:paraId="21AD47FD" w14:textId="77777777" w:rsidR="00813E8A" w:rsidRDefault="00813E8A" w:rsidP="006B6603">
      <w:pPr>
        <w:tabs>
          <w:tab w:val="left" w:pos="357"/>
        </w:tabs>
        <w:spacing w:after="0"/>
        <w:rPr>
          <w:rFonts w:ascii="Arial" w:eastAsia="Times New Roman" w:hAnsi="Arial" w:cs="Arial"/>
          <w:b/>
          <w:u w:val="single"/>
        </w:rPr>
      </w:pPr>
    </w:p>
    <w:p w14:paraId="21D95F4E" w14:textId="77777777" w:rsidR="000624B7" w:rsidRDefault="000624B7" w:rsidP="006B6603">
      <w:pPr>
        <w:tabs>
          <w:tab w:val="left" w:pos="357"/>
        </w:tabs>
        <w:spacing w:after="0"/>
        <w:rPr>
          <w:rFonts w:ascii="Arial" w:eastAsia="Times New Roman" w:hAnsi="Arial" w:cs="Arial"/>
          <w:b/>
          <w:u w:val="single"/>
        </w:rPr>
      </w:pPr>
    </w:p>
    <w:p w14:paraId="7DE7C18E" w14:textId="77777777" w:rsidR="0013580A" w:rsidRDefault="0013580A" w:rsidP="006B6603">
      <w:pPr>
        <w:tabs>
          <w:tab w:val="left" w:pos="357"/>
        </w:tabs>
        <w:spacing w:after="0"/>
        <w:rPr>
          <w:rFonts w:ascii="Arial" w:eastAsia="Times New Roman" w:hAnsi="Arial" w:cs="Arial"/>
          <w:b/>
          <w:u w:val="single"/>
        </w:rPr>
      </w:pPr>
    </w:p>
    <w:p w14:paraId="00A7EA9E" w14:textId="77777777" w:rsidR="0013580A" w:rsidRDefault="0013580A" w:rsidP="006B6603">
      <w:pPr>
        <w:tabs>
          <w:tab w:val="left" w:pos="357"/>
        </w:tabs>
        <w:spacing w:after="0"/>
        <w:rPr>
          <w:rFonts w:ascii="Arial" w:eastAsia="Times New Roman" w:hAnsi="Arial" w:cs="Arial"/>
          <w:b/>
          <w:u w:val="single"/>
        </w:rPr>
      </w:pPr>
    </w:p>
    <w:p w14:paraId="6DBFAE3F" w14:textId="77777777" w:rsidR="0013580A" w:rsidRDefault="0013580A" w:rsidP="006B6603">
      <w:pPr>
        <w:tabs>
          <w:tab w:val="left" w:pos="357"/>
        </w:tabs>
        <w:spacing w:after="0"/>
        <w:rPr>
          <w:rFonts w:ascii="Arial" w:eastAsia="Times New Roman" w:hAnsi="Arial" w:cs="Arial"/>
          <w:b/>
          <w:u w:val="single"/>
        </w:rPr>
      </w:pPr>
    </w:p>
    <w:p w14:paraId="45804B4C" w14:textId="77777777" w:rsidR="0013580A" w:rsidRDefault="0013580A" w:rsidP="006B6603">
      <w:pPr>
        <w:tabs>
          <w:tab w:val="left" w:pos="357"/>
        </w:tabs>
        <w:spacing w:after="0"/>
        <w:rPr>
          <w:rFonts w:ascii="Arial" w:eastAsia="Times New Roman" w:hAnsi="Arial" w:cs="Arial"/>
          <w:b/>
          <w:u w:val="single"/>
        </w:rPr>
      </w:pPr>
    </w:p>
    <w:p w14:paraId="47B8749C" w14:textId="77777777" w:rsidR="0013580A" w:rsidRDefault="0013580A" w:rsidP="006B6603">
      <w:pPr>
        <w:tabs>
          <w:tab w:val="left" w:pos="357"/>
        </w:tabs>
        <w:spacing w:after="0"/>
        <w:rPr>
          <w:rFonts w:ascii="Arial" w:eastAsia="Times New Roman" w:hAnsi="Arial" w:cs="Arial"/>
          <w:b/>
          <w:u w:val="single"/>
        </w:rPr>
      </w:pPr>
    </w:p>
    <w:p w14:paraId="5EC1B744" w14:textId="77777777" w:rsidR="0013580A" w:rsidRDefault="0013580A" w:rsidP="006B6603">
      <w:pPr>
        <w:tabs>
          <w:tab w:val="left" w:pos="357"/>
        </w:tabs>
        <w:spacing w:after="0"/>
        <w:rPr>
          <w:rFonts w:ascii="Arial" w:eastAsia="Times New Roman" w:hAnsi="Arial" w:cs="Arial"/>
          <w:b/>
          <w:u w:val="single"/>
        </w:rPr>
      </w:pPr>
    </w:p>
    <w:p w14:paraId="50ABBD1E" w14:textId="77777777" w:rsidR="0013580A" w:rsidRDefault="0013580A" w:rsidP="006B6603">
      <w:pPr>
        <w:tabs>
          <w:tab w:val="left" w:pos="357"/>
        </w:tabs>
        <w:spacing w:after="0"/>
        <w:rPr>
          <w:rFonts w:ascii="Arial" w:eastAsia="Times New Roman" w:hAnsi="Arial" w:cs="Arial"/>
          <w:b/>
          <w:u w:val="single"/>
        </w:rPr>
      </w:pPr>
    </w:p>
    <w:p w14:paraId="277F05FD" w14:textId="77777777" w:rsidR="0013580A" w:rsidRDefault="0013580A" w:rsidP="006B6603">
      <w:pPr>
        <w:tabs>
          <w:tab w:val="left" w:pos="357"/>
        </w:tabs>
        <w:spacing w:after="0"/>
        <w:rPr>
          <w:rFonts w:ascii="Arial" w:eastAsia="Times New Roman" w:hAnsi="Arial" w:cs="Arial"/>
          <w:b/>
          <w:u w:val="single"/>
        </w:rPr>
      </w:pPr>
    </w:p>
    <w:p w14:paraId="0923A4FF" w14:textId="77777777" w:rsidR="0013580A" w:rsidRDefault="0013580A" w:rsidP="006B6603">
      <w:pPr>
        <w:tabs>
          <w:tab w:val="left" w:pos="357"/>
        </w:tabs>
        <w:spacing w:after="0"/>
        <w:rPr>
          <w:rFonts w:ascii="Arial" w:eastAsia="Times New Roman" w:hAnsi="Arial" w:cs="Arial"/>
          <w:b/>
          <w:u w:val="single"/>
        </w:rPr>
      </w:pPr>
    </w:p>
    <w:p w14:paraId="63FFF458" w14:textId="77777777" w:rsidR="0013580A" w:rsidRDefault="0013580A" w:rsidP="006B6603">
      <w:pPr>
        <w:tabs>
          <w:tab w:val="left" w:pos="357"/>
        </w:tabs>
        <w:spacing w:after="0"/>
        <w:rPr>
          <w:rFonts w:ascii="Arial" w:eastAsia="Times New Roman" w:hAnsi="Arial" w:cs="Arial"/>
          <w:b/>
          <w:u w:val="single"/>
        </w:rPr>
      </w:pPr>
    </w:p>
    <w:p w14:paraId="5A8453AD" w14:textId="77777777" w:rsidR="0013580A" w:rsidRDefault="0013580A" w:rsidP="006B6603">
      <w:pPr>
        <w:tabs>
          <w:tab w:val="left" w:pos="357"/>
        </w:tabs>
        <w:spacing w:after="0"/>
        <w:rPr>
          <w:rFonts w:ascii="Arial" w:eastAsia="Times New Roman" w:hAnsi="Arial" w:cs="Arial"/>
          <w:b/>
          <w:u w:val="single"/>
        </w:rPr>
      </w:pPr>
    </w:p>
    <w:p w14:paraId="6D14A4D8" w14:textId="77777777" w:rsidR="0013580A" w:rsidRDefault="0013580A" w:rsidP="006B6603">
      <w:pPr>
        <w:tabs>
          <w:tab w:val="left" w:pos="357"/>
        </w:tabs>
        <w:spacing w:after="0"/>
        <w:rPr>
          <w:rFonts w:ascii="Arial" w:eastAsia="Times New Roman" w:hAnsi="Arial" w:cs="Arial"/>
          <w:b/>
          <w:u w:val="single"/>
        </w:rPr>
      </w:pPr>
    </w:p>
    <w:p w14:paraId="72B0DB51" w14:textId="77777777" w:rsidR="0013580A" w:rsidRDefault="0013580A" w:rsidP="006B6603">
      <w:pPr>
        <w:tabs>
          <w:tab w:val="left" w:pos="357"/>
        </w:tabs>
        <w:spacing w:after="0"/>
        <w:rPr>
          <w:rFonts w:ascii="Arial" w:eastAsia="Times New Roman" w:hAnsi="Arial" w:cs="Arial"/>
          <w:b/>
          <w:u w:val="single"/>
        </w:rPr>
      </w:pPr>
    </w:p>
    <w:p w14:paraId="3211FB84" w14:textId="77777777" w:rsidR="0013580A" w:rsidRDefault="0013580A" w:rsidP="006B6603">
      <w:pPr>
        <w:tabs>
          <w:tab w:val="left" w:pos="357"/>
        </w:tabs>
        <w:spacing w:after="0"/>
        <w:rPr>
          <w:rFonts w:ascii="Arial" w:eastAsia="Times New Roman" w:hAnsi="Arial" w:cs="Arial"/>
          <w:b/>
          <w:u w:val="single"/>
        </w:rPr>
      </w:pPr>
    </w:p>
    <w:p w14:paraId="263111C3" w14:textId="77777777" w:rsidR="0013580A" w:rsidRDefault="0013580A" w:rsidP="006B6603">
      <w:pPr>
        <w:tabs>
          <w:tab w:val="left" w:pos="357"/>
        </w:tabs>
        <w:spacing w:after="0"/>
        <w:rPr>
          <w:rFonts w:ascii="Arial" w:eastAsia="Times New Roman" w:hAnsi="Arial" w:cs="Arial"/>
          <w:b/>
          <w:u w:val="single"/>
        </w:rPr>
      </w:pPr>
    </w:p>
    <w:p w14:paraId="708B772E" w14:textId="76EABBBC" w:rsidR="005C33EC" w:rsidRPr="00122C7B" w:rsidRDefault="005C33EC" w:rsidP="006B6603">
      <w:pPr>
        <w:tabs>
          <w:tab w:val="left" w:pos="357"/>
        </w:tabs>
        <w:spacing w:after="0"/>
        <w:rPr>
          <w:rFonts w:ascii="Arial" w:eastAsia="Times New Roman" w:hAnsi="Arial" w:cs="Arial"/>
          <w:b/>
          <w:u w:val="single"/>
        </w:rPr>
      </w:pPr>
      <w:r w:rsidRPr="00122C7B">
        <w:rPr>
          <w:rFonts w:ascii="Arial" w:eastAsia="Times New Roman" w:hAnsi="Arial" w:cs="Arial"/>
          <w:b/>
          <w:u w:val="single"/>
        </w:rPr>
        <w:lastRenderedPageBreak/>
        <w:t>ANNEXURE E</w:t>
      </w:r>
    </w:p>
    <w:p w14:paraId="31680E3C" w14:textId="77777777" w:rsidR="005C33EC" w:rsidRPr="00B050D2" w:rsidRDefault="005C33EC" w:rsidP="006B6603">
      <w:pPr>
        <w:tabs>
          <w:tab w:val="left" w:pos="357"/>
        </w:tabs>
        <w:spacing w:after="0"/>
        <w:rPr>
          <w:rFonts w:ascii="Arial" w:eastAsia="Times New Roman" w:hAnsi="Arial" w:cs="Arial"/>
          <w:b/>
          <w:u w:val="single"/>
        </w:rPr>
      </w:pPr>
    </w:p>
    <w:p w14:paraId="7FF6CFD0" w14:textId="77777777" w:rsidR="005C33EC" w:rsidRPr="00B050D2" w:rsidRDefault="005C33EC" w:rsidP="006B6603">
      <w:pPr>
        <w:tabs>
          <w:tab w:val="left" w:pos="357"/>
        </w:tabs>
        <w:spacing w:after="0"/>
        <w:jc w:val="both"/>
        <w:rPr>
          <w:rFonts w:ascii="Arial" w:eastAsia="Times New Roman" w:hAnsi="Arial" w:cs="Arial"/>
          <w:lang w:val="en-GB"/>
        </w:rPr>
      </w:pPr>
      <w:r w:rsidRPr="00B050D2">
        <w:rPr>
          <w:rFonts w:ascii="Arial" w:eastAsia="Times New Roman" w:hAnsi="Arial" w:cs="Arial"/>
          <w:lang w:val="en-GB"/>
        </w:rPr>
        <w:t>Where foreign exchange is involved, Eskom will take measures to mitigate any exposure to foreign currency exposure or exchange rate risk.</w:t>
      </w:r>
    </w:p>
    <w:p w14:paraId="3A8F4B5C" w14:textId="77777777" w:rsidR="005C33EC" w:rsidRPr="00B050D2" w:rsidRDefault="005C33EC" w:rsidP="006B6603">
      <w:pPr>
        <w:tabs>
          <w:tab w:val="left" w:pos="357"/>
        </w:tabs>
        <w:spacing w:after="0"/>
        <w:jc w:val="both"/>
        <w:rPr>
          <w:rFonts w:ascii="Arial" w:eastAsia="Times New Roman" w:hAnsi="Arial" w:cs="Arial"/>
          <w:lang w:val="en-GB"/>
        </w:rPr>
      </w:pPr>
    </w:p>
    <w:p w14:paraId="264AD85F" w14:textId="44B6E408" w:rsidR="005C33EC" w:rsidRDefault="005C33EC" w:rsidP="006B6603">
      <w:pPr>
        <w:tabs>
          <w:tab w:val="left" w:pos="357"/>
        </w:tabs>
        <w:spacing w:after="0"/>
        <w:jc w:val="both"/>
        <w:rPr>
          <w:rFonts w:ascii="Arial" w:eastAsia="Times New Roman" w:hAnsi="Arial" w:cs="Arial"/>
          <w:lang w:val="en-GB"/>
        </w:rPr>
      </w:pPr>
      <w:r w:rsidRPr="00B050D2">
        <w:rPr>
          <w:rFonts w:ascii="Arial" w:eastAsia="Times New Roman" w:hAnsi="Arial" w:cs="Arial"/>
          <w:lang w:val="en-GB"/>
        </w:rPr>
        <w:t>Tenderers:</w:t>
      </w:r>
    </w:p>
    <w:p w14:paraId="3756E697" w14:textId="77777777" w:rsidR="006B6603" w:rsidRPr="00B050D2" w:rsidRDefault="006B6603" w:rsidP="006B6603">
      <w:pPr>
        <w:tabs>
          <w:tab w:val="left" w:pos="357"/>
        </w:tabs>
        <w:spacing w:after="0"/>
        <w:jc w:val="both"/>
        <w:rPr>
          <w:rFonts w:ascii="Arial" w:eastAsia="Times New Roman" w:hAnsi="Arial" w:cs="Arial"/>
          <w:lang w:val="en-GB"/>
        </w:rPr>
      </w:pPr>
    </w:p>
    <w:p w14:paraId="205B8716" w14:textId="77777777" w:rsidR="005C33EC" w:rsidRPr="00B050D2" w:rsidRDefault="005C33EC" w:rsidP="006B6603">
      <w:pPr>
        <w:numPr>
          <w:ilvl w:val="0"/>
          <w:numId w:val="6"/>
        </w:numPr>
        <w:tabs>
          <w:tab w:val="left" w:pos="357"/>
        </w:tabs>
        <w:spacing w:after="0"/>
        <w:contextualSpacing/>
        <w:jc w:val="both"/>
        <w:rPr>
          <w:rFonts w:ascii="Arial" w:eastAsia="Times New Roman" w:hAnsi="Arial" w:cs="Arial"/>
          <w:lang w:val="en-GB"/>
        </w:rPr>
      </w:pPr>
      <w:r w:rsidRPr="00B050D2">
        <w:rPr>
          <w:rFonts w:ascii="Arial" w:eastAsia="Times New Roman" w:hAnsi="Arial" w:cs="Arial"/>
          <w:lang w:val="en-GB"/>
        </w:rPr>
        <w:t xml:space="preserve">Who wish to submit tenders with pricing in foreign currency for imported goods/services must establish </w:t>
      </w:r>
      <w:r w:rsidRPr="00B050D2">
        <w:rPr>
          <w:rFonts w:ascii="Arial" w:eastAsia="Times New Roman" w:hAnsi="Arial" w:cs="Arial"/>
          <w:b/>
          <w:lang w:val="en-GB"/>
        </w:rPr>
        <w:t>prior</w:t>
      </w:r>
      <w:r w:rsidRPr="00B050D2">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725A10E9" w14:textId="77777777" w:rsidR="005C33EC" w:rsidRPr="00B050D2" w:rsidRDefault="005C33EC" w:rsidP="006B6603">
      <w:pPr>
        <w:numPr>
          <w:ilvl w:val="0"/>
          <w:numId w:val="6"/>
        </w:numPr>
        <w:tabs>
          <w:tab w:val="left" w:pos="357"/>
        </w:tabs>
        <w:spacing w:after="0"/>
        <w:contextualSpacing/>
        <w:jc w:val="both"/>
        <w:rPr>
          <w:rFonts w:ascii="Arial" w:eastAsia="Times New Roman" w:hAnsi="Arial" w:cs="Arial"/>
          <w:lang w:val="en-GB"/>
        </w:rPr>
      </w:pPr>
      <w:r w:rsidRPr="00B050D2">
        <w:rPr>
          <w:rFonts w:ascii="Arial" w:eastAsia="Times New Roman" w:hAnsi="Arial" w:cs="Arial"/>
          <w:lang w:val="en-GB"/>
        </w:rPr>
        <w:t xml:space="preserve">Who </w:t>
      </w:r>
      <w:proofErr w:type="gramStart"/>
      <w:r w:rsidRPr="00B050D2">
        <w:rPr>
          <w:rFonts w:ascii="Arial" w:eastAsia="Times New Roman" w:hAnsi="Arial" w:cs="Arial"/>
          <w:lang w:val="en-GB"/>
        </w:rPr>
        <w:t>are</w:t>
      </w:r>
      <w:proofErr w:type="gramEnd"/>
      <w:r w:rsidRPr="00B050D2">
        <w:rPr>
          <w:rFonts w:ascii="Arial" w:eastAsia="Times New Roman" w:hAnsi="Arial" w:cs="Arial"/>
          <w:lang w:val="en-GB"/>
        </w:rPr>
        <w:t xml:space="preserve"> pricing for imported goods/services in a foreign currency or linking their pricing of goods to a foreign currency exchange rate, </w:t>
      </w:r>
      <w:r w:rsidRPr="00B050D2">
        <w:rPr>
          <w:rFonts w:ascii="Arial" w:eastAsia="Times New Roman" w:hAnsi="Arial" w:cs="Arial"/>
          <w:b/>
          <w:lang w:val="en-GB"/>
        </w:rPr>
        <w:t xml:space="preserve">must be the direct importers </w:t>
      </w:r>
      <w:r w:rsidRPr="00B050D2">
        <w:rPr>
          <w:rFonts w:ascii="Arial" w:eastAsia="Times New Roman" w:hAnsi="Arial" w:cs="Arial"/>
          <w:lang w:val="en-GB"/>
        </w:rPr>
        <w:t>of the goods/services. For payment purposes, Eskom will require proof of importation.</w:t>
      </w:r>
    </w:p>
    <w:p w14:paraId="0447A426" w14:textId="77777777" w:rsidR="005C33EC" w:rsidRPr="00B050D2" w:rsidRDefault="005C33EC" w:rsidP="006B6603">
      <w:pPr>
        <w:numPr>
          <w:ilvl w:val="0"/>
          <w:numId w:val="6"/>
        </w:numPr>
        <w:tabs>
          <w:tab w:val="left" w:pos="357"/>
        </w:tabs>
        <w:spacing w:after="0"/>
        <w:ind w:left="709" w:hanging="425"/>
        <w:contextualSpacing/>
        <w:jc w:val="both"/>
        <w:rPr>
          <w:rFonts w:ascii="Arial" w:eastAsia="Times New Roman" w:hAnsi="Arial" w:cs="Arial"/>
          <w:b/>
          <w:lang w:val="en-GB"/>
        </w:rPr>
      </w:pPr>
      <w:r w:rsidRPr="00B050D2">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4B70EFB0" w14:textId="77777777" w:rsidR="005C33EC" w:rsidRPr="00B050D2" w:rsidRDefault="005C33EC" w:rsidP="006B6603">
      <w:pPr>
        <w:numPr>
          <w:ilvl w:val="0"/>
          <w:numId w:val="6"/>
        </w:numPr>
        <w:tabs>
          <w:tab w:val="left" w:pos="357"/>
        </w:tabs>
        <w:spacing w:after="0"/>
        <w:contextualSpacing/>
        <w:jc w:val="both"/>
        <w:rPr>
          <w:rFonts w:ascii="Arial" w:eastAsia="Times New Roman" w:hAnsi="Arial" w:cs="Arial"/>
          <w:lang w:val="en-GB"/>
        </w:rPr>
      </w:pPr>
      <w:r w:rsidRPr="00B050D2">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46A82162" w14:textId="77777777" w:rsidR="005C33EC" w:rsidRPr="00B050D2" w:rsidRDefault="005C33EC" w:rsidP="006B6603">
      <w:pPr>
        <w:tabs>
          <w:tab w:val="left" w:pos="357"/>
        </w:tabs>
        <w:spacing w:after="0"/>
        <w:ind w:left="720"/>
        <w:contextualSpacing/>
        <w:jc w:val="both"/>
        <w:rPr>
          <w:rFonts w:ascii="Arial" w:eastAsia="Times New Roman" w:hAnsi="Arial" w:cs="Arial"/>
          <w:lang w:val="en-GB"/>
        </w:rPr>
      </w:pPr>
    </w:p>
    <w:p w14:paraId="3B157C67" w14:textId="77777777" w:rsidR="005C33EC" w:rsidRDefault="005C33EC" w:rsidP="006B6603">
      <w:pPr>
        <w:tabs>
          <w:tab w:val="left" w:pos="357"/>
        </w:tabs>
        <w:spacing w:after="0"/>
        <w:jc w:val="both"/>
        <w:rPr>
          <w:rFonts w:ascii="Arial" w:eastAsia="Times New Roman" w:hAnsi="Arial" w:cs="Arial"/>
          <w:lang w:val="en-GB"/>
        </w:rPr>
      </w:pPr>
      <w:r w:rsidRPr="00B050D2">
        <w:rPr>
          <w:rFonts w:ascii="Arial" w:eastAsia="Times New Roman" w:hAnsi="Arial" w:cs="Arial"/>
          <w:lang w:val="en-GB"/>
        </w:rPr>
        <w:t>Tenderers should note that all domestic value-added process, i.e., costs incurred in the Republic, for example, transport costs will only be paid in Rands</w:t>
      </w:r>
      <w:r>
        <w:rPr>
          <w:rFonts w:ascii="Arial" w:eastAsia="Times New Roman" w:hAnsi="Arial" w:cs="Arial"/>
          <w:lang w:val="en-GB"/>
        </w:rPr>
        <w:t>.</w:t>
      </w:r>
    </w:p>
    <w:p w14:paraId="4252400D" w14:textId="77777777" w:rsidR="005C33EC" w:rsidRPr="00B050D2" w:rsidRDefault="005C33EC" w:rsidP="006B6603">
      <w:pPr>
        <w:tabs>
          <w:tab w:val="left" w:pos="357"/>
        </w:tabs>
        <w:spacing w:after="0"/>
        <w:jc w:val="both"/>
        <w:rPr>
          <w:rFonts w:ascii="Arial" w:eastAsia="Times New Roman" w:hAnsi="Arial" w:cs="Arial"/>
          <w:lang w:val="en-GB"/>
        </w:rPr>
      </w:pPr>
    </w:p>
    <w:p w14:paraId="68701B3F" w14:textId="77777777" w:rsidR="005C33EC" w:rsidRPr="00B050D2" w:rsidRDefault="005C33EC" w:rsidP="006B6603">
      <w:pPr>
        <w:tabs>
          <w:tab w:val="left" w:pos="357"/>
        </w:tabs>
        <w:spacing w:after="0"/>
        <w:jc w:val="both"/>
        <w:rPr>
          <w:rFonts w:ascii="Arial" w:eastAsia="Times New Roman" w:hAnsi="Arial" w:cs="Arial"/>
          <w:lang w:val="en-GB"/>
        </w:rPr>
      </w:pPr>
      <w:r w:rsidRPr="00B050D2">
        <w:rPr>
          <w:rFonts w:ascii="Arial" w:eastAsia="Times New Roman" w:hAnsi="Arial" w:cs="Arial"/>
          <w:lang w:val="en-GB"/>
        </w:rPr>
        <w:t xml:space="preserve">Tenderers who have submitted tenders, which have goods/services priced, are linked to a foreign currency or exchange rate, are required to select one of the payment methods indicated </w:t>
      </w:r>
      <w:r w:rsidRPr="00B050D2">
        <w:rPr>
          <w:rFonts w:ascii="Arial" w:eastAsia="Times New Roman" w:hAnsi="Arial" w:cs="Arial"/>
          <w:b/>
          <w:bCs/>
          <w:lang w:val="en-GB"/>
        </w:rPr>
        <w:t xml:space="preserve">below </w:t>
      </w:r>
      <w:r w:rsidRPr="006B6603">
        <w:rPr>
          <w:rFonts w:ascii="Arial" w:eastAsia="Times New Roman" w:hAnsi="Arial" w:cs="Arial"/>
          <w:lang w:val="en-GB"/>
        </w:rPr>
        <w:t>f</w:t>
      </w:r>
      <w:r w:rsidRPr="00B050D2">
        <w:rPr>
          <w:rFonts w:ascii="Arial" w:eastAsia="Times New Roman" w:hAnsi="Arial" w:cs="Arial"/>
          <w:lang w:val="en-GB"/>
        </w:rPr>
        <w:t>or the payment relating to those imported goods/services:</w:t>
      </w:r>
    </w:p>
    <w:p w14:paraId="2C6DCC82" w14:textId="77777777" w:rsidR="005C33EC" w:rsidRPr="00B050D2" w:rsidRDefault="005C33EC" w:rsidP="006B6603">
      <w:pPr>
        <w:tabs>
          <w:tab w:val="left" w:pos="357"/>
        </w:tabs>
        <w:spacing w:after="0"/>
        <w:rPr>
          <w:rFonts w:ascii="Arial" w:eastAsia="Times New Roman" w:hAnsi="Arial" w:cs="Arial"/>
          <w:b/>
          <w:u w:val="single"/>
        </w:rPr>
      </w:pPr>
    </w:p>
    <w:p w14:paraId="0B4B6229" w14:textId="77777777" w:rsidR="005C33EC" w:rsidRPr="00B050D2" w:rsidRDefault="005C33EC" w:rsidP="006B6603">
      <w:pPr>
        <w:tabs>
          <w:tab w:val="left" w:pos="357"/>
        </w:tabs>
        <w:spacing w:after="0"/>
        <w:rPr>
          <w:rFonts w:ascii="Arial" w:eastAsia="Times New Roman" w:hAnsi="Arial" w:cs="Arial"/>
          <w:b/>
          <w:u w:val="single"/>
          <w:lang w:val="en-GB"/>
        </w:rPr>
      </w:pPr>
      <w:r w:rsidRPr="00B050D2">
        <w:rPr>
          <w:rFonts w:ascii="Arial" w:eastAsia="Times New Roman" w:hAnsi="Arial" w:cs="Arial"/>
          <w:b/>
          <w:u w:val="single"/>
        </w:rPr>
        <w:t xml:space="preserve">CPA (IG) REQUIREMENTS FOR FOREIGN GOODS AND SERVICES </w:t>
      </w:r>
    </w:p>
    <w:p w14:paraId="66016495" w14:textId="77777777" w:rsidR="005C33EC" w:rsidRPr="00B050D2" w:rsidRDefault="005C33EC" w:rsidP="006B6603">
      <w:pPr>
        <w:tabs>
          <w:tab w:val="left" w:pos="357"/>
        </w:tabs>
        <w:spacing w:after="0"/>
        <w:rPr>
          <w:rFonts w:ascii="Arial" w:eastAsia="Times New Roman" w:hAnsi="Arial" w:cs="Arial"/>
          <w:b/>
          <w:lang w:val="en-GB"/>
        </w:rPr>
      </w:pPr>
    </w:p>
    <w:p w14:paraId="5E7C8FFA" w14:textId="77777777" w:rsidR="005C33EC" w:rsidRPr="00B050D2" w:rsidRDefault="005C33EC" w:rsidP="006B6603">
      <w:pPr>
        <w:tabs>
          <w:tab w:val="left" w:pos="357"/>
        </w:tabs>
        <w:spacing w:after="0"/>
        <w:jc w:val="both"/>
        <w:rPr>
          <w:rFonts w:ascii="Arial" w:eastAsia="Times New Roman" w:hAnsi="Arial" w:cs="Arial"/>
          <w:lang w:val="en-GB"/>
        </w:rPr>
      </w:pPr>
      <w:r w:rsidRPr="00B050D2">
        <w:rPr>
          <w:rFonts w:ascii="Arial" w:eastAsia="Times New Roman" w:hAnsi="Arial" w:cs="Arial"/>
          <w:b/>
          <w:lang w:val="en-GB"/>
        </w:rPr>
        <w:t>CONTRACT PRICE ADJUSTMENT AND FOREX PAYMENTS – IMPORTATION</w:t>
      </w:r>
      <w:r w:rsidRPr="00B050D2">
        <w:rPr>
          <w:rFonts w:ascii="Arial" w:eastAsia="Times New Roman" w:hAnsi="Arial" w:cs="Arial"/>
          <w:b/>
          <w:lang w:val="en-GB"/>
        </w:rPr>
        <w:br/>
      </w:r>
      <w:r w:rsidRPr="00B050D2">
        <w:rPr>
          <w:rFonts w:ascii="Arial" w:eastAsia="Times New Roman" w:hAnsi="Arial" w:cs="Arial"/>
          <w:lang w:val="en-GB"/>
        </w:rPr>
        <w:br/>
      </w:r>
      <w:r w:rsidRPr="00357C5D">
        <w:rPr>
          <w:rFonts w:ascii="Arial" w:eastAsia="Times New Roman" w:hAnsi="Arial" w:cs="Arial"/>
          <w:b/>
          <w:bCs/>
          <w:color w:val="FF0000"/>
          <w:lang w:val="en-GB"/>
        </w:rPr>
        <w:t>Failure to propose contract price adjustment methods, either by completing this document or proposing alternative methods for any portion of the tender price, will lead to that portion of the tender price being considered fixed.</w:t>
      </w:r>
      <w:r w:rsidRPr="00B050D2">
        <w:rPr>
          <w:rFonts w:ascii="Arial" w:eastAsia="Times New Roman" w:hAnsi="Arial" w:cs="Arial"/>
          <w:lang w:val="en-GB"/>
        </w:rPr>
        <w:br/>
      </w:r>
      <w:r w:rsidRPr="00B050D2">
        <w:rPr>
          <w:rFonts w:ascii="Arial" w:eastAsia="Times New Roman" w:hAnsi="Arial" w:cs="Arial"/>
          <w:lang w:val="en-GB"/>
        </w:rPr>
        <w:br/>
        <w:t>Where space in this document is insufficient, the tenderer shall submit the required information on separate schedules, duly referenced to this document.</w:t>
      </w:r>
      <w:r w:rsidRPr="00B050D2">
        <w:rPr>
          <w:rFonts w:ascii="Arial" w:eastAsia="Times New Roman" w:hAnsi="Arial" w:cs="Arial"/>
          <w:lang w:val="en-GB"/>
        </w:rPr>
        <w:br/>
      </w:r>
      <w:r w:rsidRPr="00B050D2">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B050D2">
        <w:rPr>
          <w:rFonts w:ascii="Arial" w:eastAsia="Times New Roman" w:hAnsi="Arial" w:cs="Arial"/>
          <w:b/>
          <w:lang w:val="en-GB"/>
        </w:rPr>
        <w:t>Method 1</w:t>
      </w:r>
      <w:r w:rsidRPr="00B050D2">
        <w:rPr>
          <w:rFonts w:ascii="Arial" w:eastAsia="Times New Roman" w:hAnsi="Arial" w:cs="Arial"/>
          <w:lang w:val="en-GB"/>
        </w:rPr>
        <w:t xml:space="preserve"> to be the default payment method.</w:t>
      </w:r>
    </w:p>
    <w:p w14:paraId="6BAC6094" w14:textId="77777777" w:rsidR="005C33EC" w:rsidRPr="00B050D2" w:rsidRDefault="005C33EC" w:rsidP="006B6603">
      <w:pPr>
        <w:tabs>
          <w:tab w:val="left" w:pos="357"/>
        </w:tabs>
        <w:spacing w:after="0"/>
        <w:rPr>
          <w:rFonts w:ascii="Arial" w:eastAsia="Times New Roman" w:hAnsi="Arial" w:cs="Arial"/>
          <w:lang w:val="en-GB"/>
        </w:rPr>
      </w:pPr>
    </w:p>
    <w:p w14:paraId="4F020A25" w14:textId="35FFD285" w:rsidR="005C33EC" w:rsidRDefault="005C33EC" w:rsidP="006B6603">
      <w:pPr>
        <w:spacing w:after="0"/>
        <w:jc w:val="both"/>
        <w:rPr>
          <w:rFonts w:ascii="Arial" w:eastAsia="Times New Roman" w:hAnsi="Arial" w:cs="Arial"/>
          <w:b/>
          <w:lang w:val="en-GB"/>
        </w:rPr>
      </w:pPr>
      <w:r w:rsidRPr="00B050D2">
        <w:rPr>
          <w:rFonts w:ascii="Arial" w:eastAsia="Times New Roman" w:hAnsi="Arial" w:cs="Arial"/>
          <w:b/>
          <w:lang w:val="en-GB"/>
        </w:rPr>
        <w:lastRenderedPageBreak/>
        <w:t xml:space="preserve">PART 1:  PAYMENT OF FOREIGN </w:t>
      </w:r>
      <w:r w:rsidRPr="005D5883">
        <w:rPr>
          <w:rFonts w:ascii="Arial" w:eastAsia="Times New Roman" w:hAnsi="Arial" w:cs="Arial"/>
          <w:b/>
          <w:lang w:val="en-GB"/>
        </w:rPr>
        <w:t>COMMITMENTS</w:t>
      </w:r>
    </w:p>
    <w:p w14:paraId="323C0C76" w14:textId="77777777" w:rsidR="006B6603" w:rsidRPr="005D5883" w:rsidRDefault="006B6603" w:rsidP="006B6603">
      <w:pPr>
        <w:spacing w:after="0"/>
        <w:jc w:val="both"/>
        <w:rPr>
          <w:rFonts w:ascii="Arial" w:eastAsia="Times New Roman" w:hAnsi="Arial" w:cs="Arial"/>
          <w:b/>
          <w:lang w:val="en-GB"/>
        </w:rPr>
      </w:pPr>
    </w:p>
    <w:p w14:paraId="1C4C1B5D"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2EC2842C" w14:textId="79953013" w:rsidR="005C33EC" w:rsidRDefault="005C33EC" w:rsidP="006B6603">
      <w:pPr>
        <w:tabs>
          <w:tab w:val="left" w:pos="357"/>
        </w:tabs>
        <w:spacing w:after="0"/>
        <w:jc w:val="both"/>
        <w:rPr>
          <w:rFonts w:ascii="Arial" w:eastAsia="Times New Roman" w:hAnsi="Arial" w:cs="Arial"/>
          <w:lang w:val="en-GB"/>
        </w:rPr>
      </w:pPr>
    </w:p>
    <w:p w14:paraId="1D95965A" w14:textId="1BD906F9" w:rsidR="005C33EC" w:rsidRDefault="005C33EC" w:rsidP="006B6603">
      <w:pPr>
        <w:tabs>
          <w:tab w:val="left" w:pos="357"/>
        </w:tabs>
        <w:spacing w:after="0"/>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Pr>
          <w:rFonts w:ascii="Arial" w:eastAsia="Times New Roman" w:hAnsi="Arial" w:cs="Arial"/>
          <w:b/>
          <w:lang w:val="en-GB"/>
        </w:rPr>
        <w:t>A</w:t>
      </w:r>
      <w:r w:rsidRPr="005D5883">
        <w:rPr>
          <w:rFonts w:ascii="Arial" w:eastAsia="Times New Roman" w:hAnsi="Arial" w:cs="Arial"/>
          <w:b/>
          <w:lang w:val="en-GB"/>
        </w:rPr>
        <w:t>:</w:t>
      </w:r>
    </w:p>
    <w:p w14:paraId="6FED494F" w14:textId="77777777" w:rsidR="006B6603" w:rsidRPr="005D5883" w:rsidRDefault="006B6603" w:rsidP="006B6603">
      <w:pPr>
        <w:tabs>
          <w:tab w:val="left" w:pos="357"/>
        </w:tabs>
        <w:spacing w:after="0"/>
        <w:ind w:left="2127" w:hanging="2127"/>
        <w:jc w:val="both"/>
        <w:rPr>
          <w:rFonts w:ascii="Arial" w:eastAsia="Times New Roman" w:hAnsi="Arial" w:cs="Arial"/>
          <w:b/>
          <w:lang w:val="en-GB"/>
        </w:rPr>
      </w:pPr>
    </w:p>
    <w:p w14:paraId="374B67AC" w14:textId="1F80F1A2"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To a nominated bank account in a foreign country in a foreign currency</w:t>
      </w:r>
      <w:r w:rsidR="006B6603">
        <w:rPr>
          <w:rFonts w:ascii="Arial" w:eastAsia="Times New Roman" w:hAnsi="Arial" w:cs="Arial"/>
          <w:lang w:val="en-GB"/>
        </w:rPr>
        <w:t xml:space="preserve"> </w:t>
      </w:r>
      <w:r w:rsidRPr="005D5883">
        <w:rPr>
          <w:rFonts w:ascii="Arial" w:eastAsia="Times New Roman" w:hAnsi="Arial" w:cs="Arial"/>
          <w:lang w:val="en-GB"/>
        </w:rPr>
        <w:t>(payment will be made to the party and account nominated by the supplier</w:t>
      </w:r>
      <w:r w:rsidR="006B6603">
        <w:rPr>
          <w:rFonts w:ascii="Arial" w:eastAsia="Times New Roman" w:hAnsi="Arial" w:cs="Arial"/>
          <w:lang w:val="en-GB"/>
        </w:rPr>
        <w:t xml:space="preserve"> </w:t>
      </w:r>
      <w:r w:rsidRPr="005D5883">
        <w:rPr>
          <w:rFonts w:ascii="Arial" w:eastAsia="Times New Roman" w:hAnsi="Arial" w:cs="Arial"/>
          <w:lang w:val="en-GB"/>
        </w:rPr>
        <w:t>in the contract, and not to any other party)</w:t>
      </w:r>
      <w:r w:rsidR="006B6603">
        <w:rPr>
          <w:rFonts w:ascii="Arial" w:eastAsia="Times New Roman" w:hAnsi="Arial" w:cs="Arial"/>
          <w:lang w:val="en-GB"/>
        </w:rPr>
        <w:t>.</w:t>
      </w:r>
    </w:p>
    <w:p w14:paraId="62D505C7" w14:textId="3EB67AE3" w:rsidR="005C33EC" w:rsidRDefault="005C33EC" w:rsidP="006B6603">
      <w:pPr>
        <w:tabs>
          <w:tab w:val="left" w:pos="357"/>
        </w:tabs>
        <w:spacing w:after="0"/>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r w:rsidR="006B6603">
        <w:rPr>
          <w:rFonts w:ascii="Arial" w:eastAsia="Times New Roman" w:hAnsi="Arial" w:cs="Arial"/>
          <w:b/>
          <w:lang w:val="en-GB"/>
        </w:rPr>
        <w:t>.</w:t>
      </w:r>
    </w:p>
    <w:p w14:paraId="214B8A66" w14:textId="77777777" w:rsidR="005C33EC" w:rsidRPr="005D5883" w:rsidRDefault="005C33EC" w:rsidP="006B6603">
      <w:pPr>
        <w:tabs>
          <w:tab w:val="left" w:pos="357"/>
        </w:tabs>
        <w:spacing w:after="0"/>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6A091C21" w14:textId="77777777" w:rsidR="005C33EC" w:rsidRPr="005D5883" w:rsidRDefault="005C33EC" w:rsidP="006B6603">
      <w:pPr>
        <w:tabs>
          <w:tab w:val="left" w:pos="357"/>
        </w:tabs>
        <w:spacing w:after="0"/>
        <w:jc w:val="both"/>
        <w:rPr>
          <w:rFonts w:ascii="Arial" w:eastAsia="Times New Roman" w:hAnsi="Arial" w:cs="Arial"/>
          <w:lang w:val="en-GB"/>
        </w:rPr>
      </w:pPr>
    </w:p>
    <w:p w14:paraId="7A891D37" w14:textId="7D224725" w:rsidR="005C33EC" w:rsidRDefault="005C33EC" w:rsidP="006B6603">
      <w:pPr>
        <w:tabs>
          <w:tab w:val="left" w:pos="357"/>
        </w:tabs>
        <w:spacing w:after="0"/>
        <w:jc w:val="both"/>
        <w:rPr>
          <w:rFonts w:ascii="Arial" w:eastAsia="Times New Roman" w:hAnsi="Arial" w:cs="Arial"/>
          <w:b/>
          <w:bCs/>
          <w:lang w:val="en-GB"/>
        </w:rPr>
      </w:pPr>
      <w:r w:rsidRPr="006B6603">
        <w:rPr>
          <w:rFonts w:ascii="Arial" w:eastAsia="Times New Roman" w:hAnsi="Arial" w:cs="Arial"/>
          <w:b/>
          <w:bCs/>
          <w:lang w:val="en-GB"/>
        </w:rPr>
        <w:t>Payment Method 1B</w:t>
      </w:r>
      <w:r w:rsidR="006B6603" w:rsidRPr="006B6603">
        <w:rPr>
          <w:rFonts w:ascii="Arial" w:eastAsia="Times New Roman" w:hAnsi="Arial" w:cs="Arial"/>
          <w:b/>
          <w:bCs/>
          <w:lang w:val="en-GB"/>
        </w:rPr>
        <w:t>:</w:t>
      </w:r>
    </w:p>
    <w:p w14:paraId="27104291" w14:textId="77777777" w:rsidR="006B6603" w:rsidRDefault="006B6603" w:rsidP="006B6603">
      <w:pPr>
        <w:tabs>
          <w:tab w:val="left" w:pos="357"/>
        </w:tabs>
        <w:spacing w:after="0"/>
        <w:jc w:val="both"/>
        <w:rPr>
          <w:rFonts w:ascii="Arial" w:eastAsia="Times New Roman" w:hAnsi="Arial" w:cs="Arial"/>
          <w:lang w:val="en-GB"/>
        </w:rPr>
      </w:pPr>
    </w:p>
    <w:p w14:paraId="7932B127" w14:textId="10483F71" w:rsidR="005C33EC"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 xml:space="preserve">To a valid SARB approved CFC account in South Africa, in a foreign currency (payment will be made to the party and account nominated by the supplier in the contract, and not to any other party). </w:t>
      </w:r>
    </w:p>
    <w:p w14:paraId="30AEE694" w14:textId="77777777" w:rsidR="006B6603" w:rsidRDefault="006B6603" w:rsidP="006B6603">
      <w:pPr>
        <w:tabs>
          <w:tab w:val="left" w:pos="357"/>
        </w:tabs>
        <w:spacing w:after="0"/>
        <w:jc w:val="both"/>
        <w:rPr>
          <w:rFonts w:ascii="Arial" w:eastAsia="Times New Roman" w:hAnsi="Arial" w:cs="Arial"/>
          <w:lang w:val="en-GB"/>
        </w:rPr>
      </w:pPr>
    </w:p>
    <w:p w14:paraId="28C30DD8" w14:textId="77777777" w:rsidR="005C33EC" w:rsidRDefault="005C33EC" w:rsidP="006B6603">
      <w:pPr>
        <w:tabs>
          <w:tab w:val="left" w:pos="357"/>
        </w:tabs>
        <w:spacing w:after="0"/>
        <w:jc w:val="both"/>
        <w:rPr>
          <w:rFonts w:ascii="Arial" w:eastAsia="Times New Roman" w:hAnsi="Arial" w:cs="Arial"/>
          <w:lang w:val="en-GB"/>
        </w:rPr>
      </w:pPr>
      <w:r>
        <w:rPr>
          <w:rFonts w:ascii="Arial" w:eastAsia="Times New Roman" w:hAnsi="Arial" w:cs="Arial"/>
          <w:lang w:val="en-GB"/>
        </w:rPr>
        <w:t xml:space="preserve">Please note: </w:t>
      </w:r>
    </w:p>
    <w:p w14:paraId="5DF6E7DE" w14:textId="77777777" w:rsidR="005C33EC" w:rsidRDefault="005C33EC" w:rsidP="0013580A">
      <w:pPr>
        <w:pStyle w:val="ListParagraph"/>
        <w:numPr>
          <w:ilvl w:val="0"/>
          <w:numId w:val="13"/>
        </w:numPr>
        <w:tabs>
          <w:tab w:val="left" w:pos="284"/>
        </w:tabs>
        <w:spacing w:after="0"/>
        <w:jc w:val="both"/>
        <w:rPr>
          <w:rFonts w:ascii="Arial" w:eastAsia="Times New Roman" w:hAnsi="Arial" w:cs="Arial"/>
          <w:lang w:val="en-GB"/>
        </w:rPr>
      </w:pPr>
      <w:r>
        <w:rPr>
          <w:rFonts w:ascii="Arial" w:eastAsia="Times New Roman" w:hAnsi="Arial" w:cs="Arial"/>
          <w:lang w:val="en-GB"/>
        </w:rPr>
        <w:t xml:space="preserve">The contracting party must be the direct </w:t>
      </w:r>
      <w:proofErr w:type="gramStart"/>
      <w:r>
        <w:rPr>
          <w:rFonts w:ascii="Arial" w:eastAsia="Times New Roman" w:hAnsi="Arial" w:cs="Arial"/>
          <w:lang w:val="en-GB"/>
        </w:rPr>
        <w:t>importer</w:t>
      </w:r>
      <w:proofErr w:type="gramEnd"/>
    </w:p>
    <w:p w14:paraId="642A05AA" w14:textId="482A44F4" w:rsidR="005C33EC" w:rsidRDefault="005C33EC" w:rsidP="0013580A">
      <w:pPr>
        <w:pStyle w:val="ListParagraph"/>
        <w:numPr>
          <w:ilvl w:val="0"/>
          <w:numId w:val="13"/>
        </w:numPr>
        <w:tabs>
          <w:tab w:val="left" w:pos="284"/>
        </w:tabs>
        <w:spacing w:after="0"/>
        <w:jc w:val="both"/>
        <w:rPr>
          <w:rFonts w:ascii="Arial" w:eastAsia="Times New Roman" w:hAnsi="Arial" w:cs="Arial"/>
          <w:lang w:val="en-GB"/>
        </w:rPr>
      </w:pPr>
      <w:r>
        <w:rPr>
          <w:rFonts w:ascii="Arial" w:eastAsia="Times New Roman" w:hAnsi="Arial" w:cs="Arial"/>
          <w:lang w:val="en-GB"/>
        </w:rPr>
        <w:t xml:space="preserve">For payment purposes, Eskom will require both the foreign (commercial) invoice and the local tax </w:t>
      </w:r>
      <w:proofErr w:type="gramStart"/>
      <w:r>
        <w:rPr>
          <w:rFonts w:ascii="Arial" w:eastAsia="Times New Roman" w:hAnsi="Arial" w:cs="Arial"/>
          <w:lang w:val="en-GB"/>
        </w:rPr>
        <w:t>invoice</w:t>
      </w:r>
      <w:proofErr w:type="gramEnd"/>
    </w:p>
    <w:p w14:paraId="3B2838AE" w14:textId="4AF56237" w:rsidR="005C33EC" w:rsidRDefault="005C33EC" w:rsidP="0013580A">
      <w:pPr>
        <w:pStyle w:val="ListParagraph"/>
        <w:numPr>
          <w:ilvl w:val="0"/>
          <w:numId w:val="13"/>
        </w:numPr>
        <w:tabs>
          <w:tab w:val="left" w:pos="284"/>
        </w:tabs>
        <w:spacing w:after="0"/>
        <w:jc w:val="both"/>
        <w:rPr>
          <w:rFonts w:ascii="Arial" w:eastAsia="Times New Roman" w:hAnsi="Arial" w:cs="Arial"/>
          <w:lang w:val="en-GB"/>
        </w:rPr>
      </w:pPr>
      <w:r>
        <w:rPr>
          <w:rFonts w:ascii="Arial" w:eastAsia="Times New Roman" w:hAnsi="Arial" w:cs="Arial"/>
          <w:lang w:val="en-GB"/>
        </w:rPr>
        <w:t>The foreign currency values on both the commercial and local invoice must be the same.</w:t>
      </w:r>
      <w:r w:rsidR="006B6603">
        <w:rPr>
          <w:rFonts w:ascii="Arial" w:eastAsia="Times New Roman" w:hAnsi="Arial" w:cs="Arial"/>
          <w:lang w:val="en-GB"/>
        </w:rPr>
        <w:t xml:space="preserve"> </w:t>
      </w:r>
      <w:r>
        <w:rPr>
          <w:rFonts w:ascii="Arial" w:eastAsia="Times New Roman" w:hAnsi="Arial" w:cs="Arial"/>
          <w:lang w:val="en-GB"/>
        </w:rPr>
        <w:t>Eskom will not pay any profit in foreign currency.</w:t>
      </w:r>
    </w:p>
    <w:p w14:paraId="11133099" w14:textId="26849A90" w:rsidR="005C33EC" w:rsidRPr="00562CB9" w:rsidRDefault="006B6603" w:rsidP="0013580A">
      <w:pPr>
        <w:pStyle w:val="ListParagraph"/>
        <w:numPr>
          <w:ilvl w:val="0"/>
          <w:numId w:val="13"/>
        </w:numPr>
        <w:tabs>
          <w:tab w:val="left" w:pos="284"/>
        </w:tabs>
        <w:spacing w:after="0"/>
        <w:jc w:val="both"/>
        <w:rPr>
          <w:rFonts w:ascii="Arial" w:eastAsia="Times New Roman" w:hAnsi="Arial" w:cs="Arial"/>
          <w:lang w:val="en-GB"/>
        </w:rPr>
      </w:pPr>
      <w:r w:rsidRPr="00562CB9">
        <w:rPr>
          <w:rFonts w:ascii="Arial" w:eastAsia="Times New Roman" w:hAnsi="Arial" w:cs="Arial"/>
          <w:lang w:val="en-GB"/>
        </w:rPr>
        <w:t>Service-related</w:t>
      </w:r>
      <w:r w:rsidR="005C33EC" w:rsidRPr="00562CB9">
        <w:rPr>
          <w:rFonts w:ascii="Arial" w:eastAsia="Times New Roman" w:hAnsi="Arial" w:cs="Arial"/>
          <w:lang w:val="en-GB"/>
        </w:rPr>
        <w:t xml:space="preserve"> payments are excluded from this </w:t>
      </w:r>
      <w:proofErr w:type="gramStart"/>
      <w:r w:rsidR="005C33EC" w:rsidRPr="00562CB9">
        <w:rPr>
          <w:rFonts w:ascii="Arial" w:eastAsia="Times New Roman" w:hAnsi="Arial" w:cs="Arial"/>
          <w:lang w:val="en-GB"/>
        </w:rPr>
        <w:t>option;</w:t>
      </w:r>
      <w:proofErr w:type="gramEnd"/>
    </w:p>
    <w:p w14:paraId="283C18B4" w14:textId="77777777" w:rsidR="005C33EC" w:rsidRDefault="005C33EC" w:rsidP="006B6603">
      <w:pPr>
        <w:tabs>
          <w:tab w:val="left" w:pos="357"/>
        </w:tabs>
        <w:spacing w:after="0"/>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248C70EF" w14:textId="77777777" w:rsidR="005C33EC" w:rsidRPr="005D5883" w:rsidRDefault="005C33EC" w:rsidP="006B6603">
      <w:pPr>
        <w:tabs>
          <w:tab w:val="left" w:pos="357"/>
        </w:tabs>
        <w:spacing w:after="0"/>
        <w:jc w:val="both"/>
        <w:rPr>
          <w:rFonts w:ascii="Arial" w:eastAsia="Times New Roman" w:hAnsi="Arial" w:cs="Arial"/>
          <w:b/>
          <w:lang w:val="en-GB"/>
        </w:rPr>
      </w:pPr>
    </w:p>
    <w:p w14:paraId="3AD53580" w14:textId="6C6F0166" w:rsidR="005C33EC" w:rsidRDefault="005C33EC" w:rsidP="006B6603">
      <w:pPr>
        <w:tabs>
          <w:tab w:val="left" w:pos="357"/>
        </w:tabs>
        <w:spacing w:after="0"/>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79959FBC" w14:textId="77777777" w:rsidR="006B6603" w:rsidRPr="005D5883" w:rsidRDefault="006B6603" w:rsidP="006B6603">
      <w:pPr>
        <w:tabs>
          <w:tab w:val="left" w:pos="357"/>
        </w:tabs>
        <w:spacing w:after="0"/>
        <w:ind w:left="2127" w:hanging="2127"/>
        <w:rPr>
          <w:rFonts w:ascii="Arial" w:eastAsia="Times New Roman" w:hAnsi="Arial" w:cs="Arial"/>
          <w:b/>
          <w:lang w:val="en-GB"/>
        </w:rPr>
      </w:pPr>
    </w:p>
    <w:p w14:paraId="13527363" w14:textId="28492CA1" w:rsidR="005C33EC"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In South African Rand at the selling spot rate of exchange obtained by</w:t>
      </w:r>
      <w:r w:rsidR="006B6603">
        <w:rPr>
          <w:rFonts w:ascii="Arial" w:eastAsia="Times New Roman" w:hAnsi="Arial" w:cs="Arial"/>
          <w:lang w:val="en-GB"/>
        </w:rPr>
        <w:t xml:space="preserve"> </w:t>
      </w:r>
      <w:r w:rsidRPr="005D5883">
        <w:rPr>
          <w:rFonts w:ascii="Arial" w:eastAsia="Times New Roman" w:hAnsi="Arial" w:cs="Arial"/>
          <w:lang w:val="en-GB"/>
        </w:rPr>
        <w:t>Eskom’s Treasury o</w:t>
      </w:r>
      <w:r w:rsidR="006B6603">
        <w:rPr>
          <w:rFonts w:ascii="Arial" w:eastAsia="Times New Roman" w:hAnsi="Arial" w:cs="Arial"/>
          <w:lang w:val="en-GB"/>
        </w:rPr>
        <w:t xml:space="preserve">n </w:t>
      </w:r>
      <w:r w:rsidRPr="005D5883">
        <w:rPr>
          <w:rFonts w:ascii="Arial" w:eastAsia="Times New Roman" w:hAnsi="Arial" w:cs="Arial"/>
          <w:lang w:val="en-GB"/>
        </w:rPr>
        <w:t>the date that the forward cover is cancelled.  Eskom will notify the supplier of the date that the forward cover is cancelled as well as the intended payment date, which will be as per the agreed payment terms.</w:t>
      </w:r>
      <w:r w:rsidR="006B6603">
        <w:rPr>
          <w:rFonts w:ascii="Arial" w:eastAsia="Times New Roman" w:hAnsi="Arial" w:cs="Arial"/>
          <w:lang w:val="en-GB"/>
        </w:rPr>
        <w:t xml:space="preserve"> </w:t>
      </w:r>
      <w:r w:rsidRPr="005D5883">
        <w:rPr>
          <w:rFonts w:ascii="Arial" w:eastAsia="Times New Roman" w:hAnsi="Arial" w:cs="Arial"/>
          <w:lang w:val="en-GB"/>
        </w:rPr>
        <w:t xml:space="preserve">Any exchange rate adjustment after Eskom has notified the supplier of the date and the rate which the forward cover is cancelled, will be for the account of the supplier. </w:t>
      </w:r>
    </w:p>
    <w:p w14:paraId="1A41E15A" w14:textId="77777777" w:rsidR="006B6603" w:rsidRDefault="006B6603" w:rsidP="006B6603">
      <w:pPr>
        <w:tabs>
          <w:tab w:val="left" w:pos="357"/>
        </w:tabs>
        <w:spacing w:after="0"/>
        <w:jc w:val="both"/>
        <w:rPr>
          <w:rFonts w:ascii="Arial" w:eastAsia="Times New Roman" w:hAnsi="Arial" w:cs="Arial"/>
          <w:lang w:val="en-GB"/>
        </w:rPr>
      </w:pPr>
    </w:p>
    <w:p w14:paraId="5D214DD1" w14:textId="77777777" w:rsidR="005C33EC" w:rsidRDefault="005C33EC" w:rsidP="006B6603">
      <w:pPr>
        <w:tabs>
          <w:tab w:val="left" w:pos="357"/>
        </w:tabs>
        <w:spacing w:after="0"/>
        <w:ind w:left="2127" w:hanging="2127"/>
        <w:rPr>
          <w:rFonts w:ascii="Arial" w:eastAsia="Times New Roman" w:hAnsi="Arial" w:cs="Arial"/>
          <w:lang w:val="en-GB"/>
        </w:rPr>
      </w:pPr>
      <w:r>
        <w:rPr>
          <w:rFonts w:ascii="Arial" w:eastAsia="Times New Roman" w:hAnsi="Arial" w:cs="Arial"/>
          <w:lang w:val="en-GB"/>
        </w:rPr>
        <w:t xml:space="preserve">Please note: </w:t>
      </w:r>
    </w:p>
    <w:p w14:paraId="61B3353F" w14:textId="77777777" w:rsidR="005C33EC" w:rsidRDefault="005C33EC" w:rsidP="006B6603">
      <w:pPr>
        <w:pStyle w:val="ListParagraph"/>
        <w:numPr>
          <w:ilvl w:val="0"/>
          <w:numId w:val="3"/>
        </w:numPr>
        <w:tabs>
          <w:tab w:val="left" w:pos="357"/>
        </w:tabs>
        <w:spacing w:after="0"/>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w:t>
      </w:r>
      <w:proofErr w:type="gramStart"/>
      <w:r w:rsidRPr="00562CB9">
        <w:rPr>
          <w:rFonts w:ascii="Arial" w:eastAsia="Times New Roman" w:hAnsi="Arial" w:cs="Arial"/>
          <w:lang w:val="en-GB"/>
        </w:rPr>
        <w:t>has to</w:t>
      </w:r>
      <w:proofErr w:type="gramEnd"/>
      <w:r w:rsidRPr="00562CB9">
        <w:rPr>
          <w:rFonts w:ascii="Arial" w:eastAsia="Times New Roman" w:hAnsi="Arial" w:cs="Arial"/>
          <w:lang w:val="en-GB"/>
        </w:rPr>
        <w:t xml:space="preserve"> be the direct importer of the goods. </w:t>
      </w:r>
    </w:p>
    <w:p w14:paraId="330EA86D" w14:textId="6045B13D" w:rsidR="005C33EC" w:rsidRPr="00562CB9" w:rsidRDefault="005C33EC" w:rsidP="006B6603">
      <w:pPr>
        <w:pStyle w:val="ListParagraph"/>
        <w:numPr>
          <w:ilvl w:val="0"/>
          <w:numId w:val="3"/>
        </w:numPr>
        <w:tabs>
          <w:tab w:val="left" w:pos="357"/>
        </w:tabs>
        <w:spacing w:after="0"/>
        <w:rPr>
          <w:rFonts w:ascii="Arial" w:eastAsia="Times New Roman" w:hAnsi="Arial" w:cs="Arial"/>
          <w:lang w:val="en-GB"/>
        </w:rPr>
      </w:pPr>
      <w:r w:rsidRPr="00562CB9">
        <w:rPr>
          <w:rFonts w:ascii="Arial" w:eastAsia="Times New Roman" w:hAnsi="Arial" w:cs="Arial"/>
          <w:lang w:val="en-GB"/>
        </w:rPr>
        <w:t xml:space="preserve">This </w:t>
      </w:r>
      <w:r w:rsidR="006B6603" w:rsidRPr="00562CB9">
        <w:rPr>
          <w:rFonts w:ascii="Arial" w:eastAsia="Times New Roman" w:hAnsi="Arial" w:cs="Arial"/>
          <w:lang w:val="en-GB"/>
        </w:rPr>
        <w:t xml:space="preserve">payment </w:t>
      </w:r>
      <w:r w:rsidR="006B6603">
        <w:rPr>
          <w:rFonts w:ascii="Arial" w:eastAsia="Times New Roman" w:hAnsi="Arial" w:cs="Arial"/>
          <w:lang w:val="en-GB"/>
        </w:rPr>
        <w:t>option</w:t>
      </w:r>
      <w:r>
        <w:rPr>
          <w:rFonts w:ascii="Arial" w:eastAsia="Times New Roman" w:hAnsi="Arial" w:cs="Arial"/>
          <w:lang w:val="en-GB"/>
        </w:rPr>
        <w:t xml:space="preserve"> is not applicable for the payment of services</w:t>
      </w:r>
      <w:r w:rsidR="006B6603">
        <w:rPr>
          <w:rFonts w:ascii="Arial" w:eastAsia="Times New Roman" w:hAnsi="Arial" w:cs="Arial"/>
          <w:lang w:val="en-GB"/>
        </w:rPr>
        <w:t>.</w:t>
      </w:r>
    </w:p>
    <w:p w14:paraId="54601EB6" w14:textId="77777777" w:rsidR="005C33EC" w:rsidRDefault="005C33EC" w:rsidP="006B6603">
      <w:pPr>
        <w:tabs>
          <w:tab w:val="left" w:pos="357"/>
        </w:tabs>
        <w:spacing w:after="0"/>
        <w:ind w:left="2127" w:hanging="2127"/>
        <w:rPr>
          <w:rFonts w:ascii="Arial" w:eastAsia="Times New Roman" w:hAnsi="Arial" w:cs="Arial"/>
          <w:b/>
          <w:lang w:val="en-GB"/>
        </w:rPr>
      </w:pPr>
    </w:p>
    <w:p w14:paraId="0687000A" w14:textId="77777777" w:rsidR="005C33EC" w:rsidRPr="005D5883" w:rsidRDefault="005C33EC" w:rsidP="006B6603">
      <w:pPr>
        <w:tabs>
          <w:tab w:val="left" w:pos="357"/>
        </w:tabs>
        <w:spacing w:after="0"/>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041943E5"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584E6DE0" w14:textId="77777777" w:rsidR="005C33EC" w:rsidRPr="005D5883" w:rsidRDefault="005C33EC" w:rsidP="006B6603">
      <w:pPr>
        <w:tabs>
          <w:tab w:val="left" w:pos="357"/>
        </w:tabs>
        <w:spacing w:after="0"/>
        <w:jc w:val="both"/>
        <w:rPr>
          <w:rFonts w:ascii="Arial" w:eastAsia="Times New Roman" w:hAnsi="Arial" w:cs="Arial"/>
          <w:b/>
          <w:i/>
          <w:lang w:val="en-GB"/>
        </w:rPr>
      </w:pPr>
    </w:p>
    <w:p w14:paraId="53DA015E" w14:textId="77777777" w:rsidR="005C33EC" w:rsidRDefault="005C33EC" w:rsidP="006B6603">
      <w:pPr>
        <w:tabs>
          <w:tab w:val="left" w:pos="357"/>
        </w:tabs>
        <w:spacing w:after="0"/>
        <w:jc w:val="both"/>
        <w:rPr>
          <w:rFonts w:ascii="Arial" w:eastAsia="Times New Roman" w:hAnsi="Arial" w:cs="Arial"/>
          <w:b/>
          <w:i/>
          <w:lang w:val="en-GB"/>
        </w:rPr>
      </w:pPr>
      <w:r w:rsidRPr="005D5883">
        <w:rPr>
          <w:rFonts w:ascii="Arial" w:eastAsia="Times New Roman" w:hAnsi="Arial" w:cs="Arial"/>
          <w:b/>
          <w:i/>
          <w:lang w:val="en-GB"/>
        </w:rPr>
        <w:lastRenderedPageBreak/>
        <w:t>[Payment Method 2 must be accepted by the Commercial Policy and Procedure Manager before the tender documentation is sent out, but at the latest before the tender closing date.  If it is not approved before tender closing, Payment Method 1 will be the default.]</w:t>
      </w:r>
    </w:p>
    <w:p w14:paraId="6D734890" w14:textId="77777777" w:rsidR="005C33EC" w:rsidRDefault="005C33EC" w:rsidP="006B6603">
      <w:pPr>
        <w:tabs>
          <w:tab w:val="left" w:pos="357"/>
        </w:tabs>
        <w:spacing w:after="0"/>
        <w:jc w:val="both"/>
        <w:rPr>
          <w:rFonts w:ascii="Arial" w:eastAsia="Times New Roman" w:hAnsi="Arial" w:cs="Arial"/>
          <w:lang w:val="en-GB"/>
        </w:rPr>
      </w:pPr>
    </w:p>
    <w:p w14:paraId="7AB3BF35" w14:textId="77777777" w:rsidR="005C33EC" w:rsidRPr="006B6603" w:rsidRDefault="005C33EC" w:rsidP="006B6603">
      <w:pPr>
        <w:tabs>
          <w:tab w:val="left" w:pos="357"/>
        </w:tabs>
        <w:spacing w:after="0"/>
        <w:jc w:val="both"/>
        <w:rPr>
          <w:rFonts w:ascii="Arial" w:eastAsia="Times New Roman" w:hAnsi="Arial" w:cs="Arial"/>
          <w:b/>
          <w:bCs/>
          <w:lang w:val="en-GB"/>
        </w:rPr>
      </w:pPr>
      <w:r w:rsidRPr="006B6603">
        <w:rPr>
          <w:rFonts w:ascii="Arial" w:eastAsia="Times New Roman" w:hAnsi="Arial" w:cs="Arial"/>
          <w:b/>
          <w:bCs/>
          <w:lang w:val="en-GB"/>
        </w:rPr>
        <w:t>Fixed ZAR pricing</w:t>
      </w:r>
    </w:p>
    <w:p w14:paraId="5CBB610B" w14:textId="69E05284" w:rsidR="005C33EC" w:rsidRDefault="005C33EC" w:rsidP="006B6603">
      <w:pPr>
        <w:tabs>
          <w:tab w:val="left" w:pos="357"/>
        </w:tabs>
        <w:spacing w:after="0"/>
        <w:jc w:val="both"/>
        <w:rPr>
          <w:rFonts w:ascii="Arial" w:eastAsia="Times New Roman" w:hAnsi="Arial" w:cs="Arial"/>
          <w:lang w:val="en-GB"/>
        </w:rPr>
      </w:pPr>
      <w:r>
        <w:rPr>
          <w:rFonts w:ascii="Arial" w:eastAsia="Times New Roman" w:hAnsi="Arial" w:cs="Arial"/>
          <w:lang w:val="en-GB"/>
        </w:rPr>
        <w:t xml:space="preserve">The tenderer may elect to be responsible for the hedging of the exposure of the imported content. However, Eskom reserves the right to have line of sight of the exchange rates to be quoted by the tenderer. This entails a simultaneous exercise of the verification of </w:t>
      </w:r>
      <w:r w:rsidR="006B6603">
        <w:rPr>
          <w:rFonts w:ascii="Arial" w:eastAsia="Times New Roman" w:hAnsi="Arial" w:cs="Arial"/>
          <w:lang w:val="en-GB"/>
        </w:rPr>
        <w:t>the exchange</w:t>
      </w:r>
      <w:r>
        <w:rPr>
          <w:rFonts w:ascii="Arial" w:eastAsia="Times New Roman" w:hAnsi="Arial" w:cs="Arial"/>
          <w:lang w:val="en-GB"/>
        </w:rPr>
        <w:t xml:space="preserve"> rates to be used.</w:t>
      </w:r>
    </w:p>
    <w:p w14:paraId="1CC79B3E" w14:textId="77777777" w:rsidR="005C33EC" w:rsidRPr="005D5883" w:rsidRDefault="005C33EC" w:rsidP="006B6603">
      <w:pPr>
        <w:tabs>
          <w:tab w:val="left" w:pos="357"/>
        </w:tabs>
        <w:spacing w:after="0"/>
        <w:ind w:left="2127" w:hanging="2127"/>
        <w:rPr>
          <w:rFonts w:ascii="Arial" w:eastAsia="Times New Roman" w:hAnsi="Arial" w:cs="Arial"/>
          <w:b/>
          <w:lang w:val="en-GB"/>
        </w:rPr>
      </w:pPr>
      <w:r w:rsidRPr="005D5883">
        <w:rPr>
          <w:rFonts w:ascii="Arial" w:eastAsia="Times New Roman" w:hAnsi="Arial" w:cs="Arial"/>
          <w:b/>
          <w:lang w:val="en-GB"/>
        </w:rPr>
        <w:t>Applicable (Y/</w:t>
      </w:r>
      <w:proofErr w:type="gramStart"/>
      <w:r w:rsidRPr="005D5883">
        <w:rPr>
          <w:rFonts w:ascii="Arial" w:eastAsia="Times New Roman" w:hAnsi="Arial" w:cs="Arial"/>
          <w:b/>
          <w:lang w:val="en-GB"/>
        </w:rPr>
        <w:t>N)…</w:t>
      </w:r>
      <w:proofErr w:type="gramEnd"/>
      <w:r w:rsidRPr="005D5883">
        <w:rPr>
          <w:rFonts w:ascii="Arial" w:eastAsia="Times New Roman" w:hAnsi="Arial" w:cs="Arial"/>
          <w:b/>
          <w:lang w:val="en-GB"/>
        </w:rPr>
        <w:t>……..</w:t>
      </w:r>
    </w:p>
    <w:p w14:paraId="309B55D8" w14:textId="77777777" w:rsidR="005C33EC" w:rsidRDefault="005C33EC" w:rsidP="006B6603">
      <w:pPr>
        <w:tabs>
          <w:tab w:val="left" w:pos="357"/>
        </w:tabs>
        <w:spacing w:after="0"/>
        <w:jc w:val="both"/>
        <w:rPr>
          <w:rFonts w:ascii="Arial" w:eastAsia="Times New Roman" w:hAnsi="Arial" w:cs="Arial"/>
          <w:lang w:val="en-GB"/>
        </w:rPr>
      </w:pPr>
    </w:p>
    <w:p w14:paraId="5238FB69" w14:textId="5DCA7562" w:rsidR="005C33EC" w:rsidRPr="005D5883" w:rsidRDefault="005C33EC" w:rsidP="006B6603">
      <w:pPr>
        <w:tabs>
          <w:tab w:val="left" w:pos="357"/>
        </w:tabs>
        <w:spacing w:after="0"/>
        <w:jc w:val="both"/>
        <w:rPr>
          <w:rFonts w:ascii="Arial" w:eastAsia="Times New Roman" w:hAnsi="Arial" w:cs="Arial"/>
          <w:lang w:val="en-GB"/>
        </w:rPr>
      </w:pPr>
      <w:r>
        <w:rPr>
          <w:rFonts w:ascii="Arial" w:eastAsia="Times New Roman" w:hAnsi="Arial" w:cs="Arial"/>
          <w:lang w:val="en-GB"/>
        </w:rPr>
        <w:t xml:space="preserve">Please note: </w:t>
      </w:r>
      <w:r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if </w:t>
      </w:r>
      <w:r w:rsidRPr="005D5883">
        <w:rPr>
          <w:rFonts w:ascii="Arial" w:eastAsia="Times New Roman" w:hAnsi="Arial" w:cs="Arial"/>
          <w:lang w:val="en-GB"/>
        </w:rPr>
        <w:t>payment method</w:t>
      </w:r>
      <w:r>
        <w:rPr>
          <w:rFonts w:ascii="Arial" w:eastAsia="Times New Roman" w:hAnsi="Arial" w:cs="Arial"/>
          <w:lang w:val="en-GB"/>
        </w:rPr>
        <w:t>s 1A,</w:t>
      </w:r>
      <w:r w:rsidR="006B6603">
        <w:rPr>
          <w:rFonts w:ascii="Arial" w:eastAsia="Times New Roman" w:hAnsi="Arial" w:cs="Arial"/>
          <w:lang w:val="en-GB"/>
        </w:rPr>
        <w:t xml:space="preserve"> </w:t>
      </w:r>
      <w:r>
        <w:rPr>
          <w:rFonts w:ascii="Arial" w:eastAsia="Times New Roman" w:hAnsi="Arial" w:cs="Arial"/>
          <w:lang w:val="en-GB"/>
        </w:rPr>
        <w:t>1B and 2 are</w:t>
      </w:r>
      <w:r w:rsidRPr="005D5883">
        <w:rPr>
          <w:rFonts w:ascii="Arial" w:eastAsia="Times New Roman" w:hAnsi="Arial" w:cs="Arial"/>
          <w:lang w:val="en-GB"/>
        </w:rPr>
        <w:t xml:space="preserve"> selected.</w:t>
      </w:r>
    </w:p>
    <w:p w14:paraId="6F11D0F8" w14:textId="77777777" w:rsidR="005C33EC" w:rsidRPr="005D5883" w:rsidRDefault="005C33EC" w:rsidP="006B6603">
      <w:pPr>
        <w:tabs>
          <w:tab w:val="left" w:pos="357"/>
        </w:tabs>
        <w:spacing w:after="0"/>
        <w:jc w:val="both"/>
        <w:rPr>
          <w:rFonts w:ascii="Arial" w:eastAsia="Times New Roman" w:hAnsi="Arial" w:cs="Arial"/>
          <w:lang w:val="en-GB"/>
        </w:rPr>
      </w:pPr>
    </w:p>
    <w:p w14:paraId="198AB487"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793C7163" w14:textId="77777777" w:rsidR="005C33EC" w:rsidRDefault="005C33EC" w:rsidP="006B6603">
      <w:pPr>
        <w:tabs>
          <w:tab w:val="left" w:pos="357"/>
        </w:tabs>
        <w:spacing w:after="0"/>
        <w:ind w:left="851" w:hanging="851"/>
        <w:rPr>
          <w:rFonts w:ascii="Arial" w:eastAsia="Times New Roman" w:hAnsi="Arial" w:cs="Arial"/>
          <w:b/>
          <w:lang w:val="en-GB"/>
        </w:rPr>
      </w:pPr>
    </w:p>
    <w:p w14:paraId="1ED6D4B5" w14:textId="4D64BE5F" w:rsidR="005C33EC" w:rsidRDefault="005C33EC" w:rsidP="006B6603">
      <w:pPr>
        <w:tabs>
          <w:tab w:val="left" w:pos="357"/>
        </w:tabs>
        <w:spacing w:after="0"/>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CE826C4" w14:textId="77777777" w:rsidR="006B6603" w:rsidRPr="005D5883" w:rsidRDefault="006B6603" w:rsidP="006B6603">
      <w:pPr>
        <w:tabs>
          <w:tab w:val="left" w:pos="357"/>
        </w:tabs>
        <w:spacing w:after="0"/>
        <w:ind w:left="851" w:hanging="851"/>
        <w:rPr>
          <w:rFonts w:ascii="Arial" w:eastAsia="Times New Roman" w:hAnsi="Arial" w:cs="Arial"/>
          <w:b/>
          <w:lang w:val="en-GB"/>
        </w:rPr>
      </w:pPr>
    </w:p>
    <w:p w14:paraId="32AAF367" w14:textId="3E62C057" w:rsidR="005C33EC"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Pr>
          <w:rFonts w:ascii="Arial" w:eastAsia="Times New Roman" w:hAnsi="Arial" w:cs="Arial"/>
          <w:lang w:val="en-GB"/>
        </w:rPr>
        <w:t>12</w:t>
      </w:r>
      <w:r w:rsidR="006B6603">
        <w:rPr>
          <w:rFonts w:ascii="Arial" w:eastAsia="Times New Roman" w:hAnsi="Arial" w:cs="Arial"/>
          <w:lang w:val="en-GB"/>
        </w:rPr>
        <w:t>h</w:t>
      </w:r>
      <w:r>
        <w:rPr>
          <w:rFonts w:ascii="Arial" w:eastAsia="Times New Roman" w:hAnsi="Arial" w:cs="Arial"/>
          <w:lang w:val="en-GB"/>
        </w:rPr>
        <w:t>00 on the date of the advertisement of the tender. The source of the exchange rates shall be the South African Reserve Bank (</w:t>
      </w:r>
      <w:hyperlink r:id="rId11" w:history="1">
        <w:r w:rsidR="006B6603" w:rsidRPr="00B053D3">
          <w:rPr>
            <w:rStyle w:val="Hyperlink"/>
            <w:rFonts w:ascii="Arial" w:eastAsia="Times New Roman" w:hAnsi="Arial" w:cs="Arial"/>
            <w:lang w:val="en-GB"/>
          </w:rPr>
          <w:t>www.resbank.co.za</w:t>
        </w:r>
      </w:hyperlink>
      <w:r>
        <w:rPr>
          <w:rFonts w:ascii="Arial" w:eastAsia="Times New Roman" w:hAnsi="Arial" w:cs="Arial"/>
          <w:lang w:val="en-GB"/>
        </w:rPr>
        <w:t>)</w:t>
      </w:r>
    </w:p>
    <w:p w14:paraId="72020043" w14:textId="77777777" w:rsidR="006B6603" w:rsidRDefault="006B6603" w:rsidP="006B6603">
      <w:pPr>
        <w:tabs>
          <w:tab w:val="left" w:pos="357"/>
        </w:tabs>
        <w:spacing w:after="0"/>
        <w:rPr>
          <w:rFonts w:ascii="Arial" w:eastAsia="Times New Roman" w:hAnsi="Arial" w:cs="Arial"/>
          <w:lang w:val="en-GB"/>
        </w:rPr>
      </w:pPr>
    </w:p>
    <w:p w14:paraId="6348937A" w14:textId="77777777" w:rsidR="005C33EC" w:rsidRDefault="005C33EC" w:rsidP="006B6603">
      <w:pPr>
        <w:tabs>
          <w:tab w:val="left" w:pos="357"/>
        </w:tabs>
        <w:spacing w:after="0"/>
        <w:rPr>
          <w:rFonts w:ascii="Arial" w:eastAsia="Times New Roman" w:hAnsi="Arial" w:cs="Arial"/>
          <w:lang w:val="en-GB"/>
        </w:rPr>
      </w:pPr>
      <w:r>
        <w:rPr>
          <w:rFonts w:ascii="Arial" w:eastAsia="Times New Roman" w:hAnsi="Arial" w:cs="Arial"/>
          <w:lang w:val="en-GB"/>
        </w:rPr>
        <w:t>Please note that the tenderer is required to submit proof of the SARB rate/s used.</w:t>
      </w:r>
    </w:p>
    <w:p w14:paraId="724EA016" w14:textId="77777777" w:rsidR="005C33EC" w:rsidRPr="005D5883" w:rsidRDefault="005C33EC" w:rsidP="006B6603">
      <w:pPr>
        <w:tabs>
          <w:tab w:val="left" w:pos="357"/>
        </w:tabs>
        <w:spacing w:after="0"/>
        <w:jc w:val="both"/>
        <w:rPr>
          <w:rFonts w:ascii="Arial" w:eastAsia="Times New Roman" w:hAnsi="Arial" w:cs="Arial"/>
          <w:lang w:val="en-GB"/>
        </w:rPr>
      </w:pPr>
    </w:p>
    <w:p w14:paraId="4D6053FE" w14:textId="6ED09A76" w:rsidR="005C33EC" w:rsidRDefault="005C33EC" w:rsidP="006B6603">
      <w:pPr>
        <w:keepNext/>
        <w:tabs>
          <w:tab w:val="left" w:pos="357"/>
        </w:tabs>
        <w:spacing w:after="0"/>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r w:rsidR="006B6603">
        <w:rPr>
          <w:rFonts w:ascii="Arial" w:eastAsia="Times New Roman" w:hAnsi="Arial" w:cs="Arial"/>
          <w:b/>
          <w:lang w:val="en-GB"/>
        </w:rPr>
        <w:t>.</w:t>
      </w:r>
    </w:p>
    <w:p w14:paraId="53C2A078" w14:textId="77777777" w:rsidR="006B6603" w:rsidRPr="005D5883" w:rsidRDefault="006B6603" w:rsidP="006B6603">
      <w:pPr>
        <w:keepNext/>
        <w:tabs>
          <w:tab w:val="left" w:pos="357"/>
        </w:tabs>
        <w:spacing w:after="0"/>
        <w:jc w:val="both"/>
        <w:outlineLvl w:val="0"/>
        <w:rPr>
          <w:rFonts w:ascii="Arial" w:eastAsia="Times New Roman" w:hAnsi="Arial" w:cs="Arial"/>
          <w:b/>
          <w:lang w:val="en-GB"/>
        </w:rPr>
      </w:pPr>
    </w:p>
    <w:p w14:paraId="0383159D" w14:textId="77777777" w:rsidR="005C33EC"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56E0CF72" w14:textId="77777777" w:rsidR="005C33EC" w:rsidRDefault="005C33EC" w:rsidP="006B6603">
      <w:pPr>
        <w:tabs>
          <w:tab w:val="left" w:pos="357"/>
        </w:tabs>
        <w:spacing w:after="0"/>
        <w:jc w:val="both"/>
        <w:rPr>
          <w:rFonts w:ascii="Arial" w:eastAsia="Times New Roman" w:hAnsi="Arial" w:cs="Arial"/>
          <w:lang w:val="en-GB"/>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gridCol w:w="2374"/>
      </w:tblGrid>
      <w:tr w:rsidR="005C33EC" w:rsidRPr="005D5883" w14:paraId="5A754D58" w14:textId="77777777" w:rsidTr="006B6603">
        <w:trPr>
          <w:jc w:val="center"/>
        </w:trPr>
        <w:tc>
          <w:tcPr>
            <w:tcW w:w="7087" w:type="dxa"/>
            <w:tcBorders>
              <w:top w:val="nil"/>
              <w:left w:val="nil"/>
            </w:tcBorders>
            <w:vAlign w:val="bottom"/>
          </w:tcPr>
          <w:p w14:paraId="320A6C84" w14:textId="77777777" w:rsidR="005C33EC" w:rsidRPr="005D5883" w:rsidRDefault="005C33EC" w:rsidP="006B6603">
            <w:pPr>
              <w:tabs>
                <w:tab w:val="left" w:pos="357"/>
              </w:tabs>
              <w:spacing w:after="0"/>
              <w:jc w:val="both"/>
              <w:rPr>
                <w:rFonts w:ascii="Arial" w:eastAsia="Times New Roman" w:hAnsi="Arial" w:cs="Arial"/>
                <w:lang w:val="en-GB"/>
              </w:rPr>
            </w:pPr>
          </w:p>
        </w:tc>
        <w:tc>
          <w:tcPr>
            <w:tcW w:w="2374" w:type="dxa"/>
            <w:shd w:val="clear" w:color="auto" w:fill="D9D9D9" w:themeFill="background1" w:themeFillShade="D9"/>
            <w:vAlign w:val="bottom"/>
          </w:tcPr>
          <w:p w14:paraId="54F1C73D" w14:textId="77777777" w:rsidR="005C33EC" w:rsidRPr="006B6603" w:rsidRDefault="005C33EC" w:rsidP="006B6603">
            <w:pPr>
              <w:tabs>
                <w:tab w:val="left" w:pos="357"/>
              </w:tabs>
              <w:spacing w:after="0"/>
              <w:jc w:val="center"/>
              <w:rPr>
                <w:rFonts w:ascii="Arial" w:eastAsia="Times New Roman" w:hAnsi="Arial" w:cs="Arial"/>
                <w:b/>
                <w:bCs/>
                <w:lang w:val="en-GB"/>
              </w:rPr>
            </w:pPr>
            <w:r w:rsidRPr="006B6603">
              <w:rPr>
                <w:rFonts w:ascii="Arial" w:eastAsia="Times New Roman" w:hAnsi="Arial" w:cs="Arial"/>
                <w:b/>
                <w:bCs/>
                <w:lang w:val="en-GB"/>
              </w:rPr>
              <w:t>RATES/TARIFFS</w:t>
            </w:r>
          </w:p>
        </w:tc>
      </w:tr>
      <w:tr w:rsidR="005C33EC" w:rsidRPr="005D5883" w14:paraId="25C9D45D" w14:textId="77777777" w:rsidTr="006B6603">
        <w:trPr>
          <w:jc w:val="center"/>
        </w:trPr>
        <w:tc>
          <w:tcPr>
            <w:tcW w:w="7087" w:type="dxa"/>
            <w:vAlign w:val="center"/>
          </w:tcPr>
          <w:p w14:paraId="61250F2B"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65C3DB88"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1C4AB235" w14:textId="77777777" w:rsidTr="006B6603">
        <w:trPr>
          <w:jc w:val="center"/>
        </w:trPr>
        <w:tc>
          <w:tcPr>
            <w:tcW w:w="7087" w:type="dxa"/>
            <w:vAlign w:val="bottom"/>
          </w:tcPr>
          <w:p w14:paraId="4AE4B319"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42B7B294"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7F874D52" w14:textId="77777777" w:rsidTr="006B6603">
        <w:trPr>
          <w:jc w:val="center"/>
        </w:trPr>
        <w:tc>
          <w:tcPr>
            <w:tcW w:w="7087" w:type="dxa"/>
            <w:vAlign w:val="bottom"/>
          </w:tcPr>
          <w:p w14:paraId="78A357F1"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2D71BDB3"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44E5A1D2" w14:textId="77777777" w:rsidTr="006B6603">
        <w:trPr>
          <w:jc w:val="center"/>
        </w:trPr>
        <w:tc>
          <w:tcPr>
            <w:tcW w:w="7087" w:type="dxa"/>
            <w:vAlign w:val="bottom"/>
          </w:tcPr>
          <w:p w14:paraId="04AE4611"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2CC2B6A5"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4AE73951" w14:textId="77777777" w:rsidTr="006B6603">
        <w:trPr>
          <w:jc w:val="center"/>
        </w:trPr>
        <w:tc>
          <w:tcPr>
            <w:tcW w:w="7087" w:type="dxa"/>
            <w:vAlign w:val="bottom"/>
          </w:tcPr>
          <w:p w14:paraId="387DD2E0"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E0FB031"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5B5803E0" w14:textId="77777777" w:rsidTr="006B6603">
        <w:trPr>
          <w:jc w:val="center"/>
        </w:trPr>
        <w:tc>
          <w:tcPr>
            <w:tcW w:w="7087" w:type="dxa"/>
            <w:vAlign w:val="bottom"/>
          </w:tcPr>
          <w:p w14:paraId="238EB963"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356AC017"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5F8BC211" w14:textId="77777777" w:rsidTr="006B6603">
        <w:trPr>
          <w:jc w:val="center"/>
        </w:trPr>
        <w:tc>
          <w:tcPr>
            <w:tcW w:w="7087" w:type="dxa"/>
            <w:vAlign w:val="bottom"/>
          </w:tcPr>
          <w:p w14:paraId="5A999A31"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51BD2044"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714F87FB" w14:textId="77777777" w:rsidTr="006B6603">
        <w:trPr>
          <w:jc w:val="center"/>
        </w:trPr>
        <w:tc>
          <w:tcPr>
            <w:tcW w:w="7087" w:type="dxa"/>
            <w:vAlign w:val="bottom"/>
          </w:tcPr>
          <w:p w14:paraId="0FA0FF90"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2E78F4AE" w14:textId="77777777" w:rsidR="005C33EC" w:rsidRPr="005D5883" w:rsidRDefault="005C33EC" w:rsidP="006B6603">
            <w:pPr>
              <w:tabs>
                <w:tab w:val="left" w:pos="357"/>
              </w:tabs>
              <w:spacing w:after="0"/>
              <w:jc w:val="both"/>
              <w:rPr>
                <w:rFonts w:ascii="Arial" w:eastAsia="Times New Roman" w:hAnsi="Arial" w:cs="Arial"/>
                <w:lang w:val="en-GB"/>
              </w:rPr>
            </w:pPr>
          </w:p>
        </w:tc>
      </w:tr>
      <w:tr w:rsidR="005C33EC" w:rsidRPr="005D5883" w14:paraId="50B53030" w14:textId="77777777" w:rsidTr="006B6603">
        <w:trPr>
          <w:jc w:val="center"/>
        </w:trPr>
        <w:tc>
          <w:tcPr>
            <w:tcW w:w="7087" w:type="dxa"/>
            <w:vAlign w:val="bottom"/>
          </w:tcPr>
          <w:p w14:paraId="1320A10C"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65CEFC62" w14:textId="77777777" w:rsidR="005C33EC" w:rsidRPr="005D5883" w:rsidRDefault="005C33EC" w:rsidP="006B6603">
            <w:pPr>
              <w:tabs>
                <w:tab w:val="left" w:pos="357"/>
              </w:tabs>
              <w:spacing w:after="0"/>
              <w:jc w:val="both"/>
              <w:rPr>
                <w:rFonts w:ascii="Arial" w:eastAsia="Times New Roman" w:hAnsi="Arial" w:cs="Arial"/>
                <w:lang w:val="en-GB"/>
              </w:rPr>
            </w:pPr>
          </w:p>
        </w:tc>
      </w:tr>
    </w:tbl>
    <w:p w14:paraId="5206938D" w14:textId="6C930251" w:rsidR="005C33EC" w:rsidRPr="005D5883" w:rsidRDefault="005C33EC" w:rsidP="006B6603">
      <w:pPr>
        <w:keepNext/>
        <w:tabs>
          <w:tab w:val="left" w:pos="357"/>
          <w:tab w:val="left" w:pos="993"/>
        </w:tabs>
        <w:spacing w:after="0"/>
        <w:ind w:left="993" w:hanging="993"/>
        <w:jc w:val="both"/>
        <w:outlineLvl w:val="0"/>
        <w:rPr>
          <w:rFonts w:ascii="Arial" w:eastAsia="Times New Roman" w:hAnsi="Arial" w:cs="Arial"/>
          <w:lang w:val="en-GB"/>
        </w:rPr>
      </w:pPr>
      <w:r w:rsidRPr="005D5883">
        <w:rPr>
          <w:rFonts w:ascii="Arial" w:eastAsia="Times New Roman" w:hAnsi="Arial" w:cs="Arial"/>
          <w:b/>
          <w:lang w:val="en-GB"/>
        </w:rPr>
        <w:lastRenderedPageBreak/>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61577A90" w14:textId="77777777" w:rsidR="005C33EC" w:rsidRPr="005D5883" w:rsidRDefault="005C33EC" w:rsidP="006B6603">
      <w:pPr>
        <w:tabs>
          <w:tab w:val="left" w:pos="357"/>
        </w:tabs>
        <w:spacing w:after="0"/>
        <w:jc w:val="both"/>
        <w:rPr>
          <w:rFonts w:ascii="Arial" w:eastAsia="Times New Roman" w:hAnsi="Arial" w:cs="Arial"/>
          <w:lang w:val="en-GB"/>
        </w:rPr>
      </w:pPr>
    </w:p>
    <w:p w14:paraId="7405C731"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1CB79DB0" w14:textId="77777777" w:rsidR="005C33EC" w:rsidRPr="005D5883" w:rsidRDefault="005C33EC" w:rsidP="006B6603">
      <w:pPr>
        <w:tabs>
          <w:tab w:val="left" w:pos="357"/>
        </w:tabs>
        <w:spacing w:after="0"/>
        <w:jc w:val="both"/>
        <w:rPr>
          <w:rFonts w:ascii="Arial" w:eastAsia="Times New Roman" w:hAnsi="Arial" w:cs="Arial"/>
          <w:lang w:val="en-GB"/>
        </w:rPr>
      </w:pPr>
    </w:p>
    <w:p w14:paraId="4B291838"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0292E76D" w14:textId="77777777" w:rsidR="005C33EC" w:rsidRPr="005D5883" w:rsidRDefault="005C33EC" w:rsidP="006B6603">
      <w:pPr>
        <w:tabs>
          <w:tab w:val="left" w:pos="357"/>
        </w:tabs>
        <w:spacing w:after="0"/>
        <w:jc w:val="both"/>
        <w:rPr>
          <w:rFonts w:ascii="Arial" w:eastAsia="Times New Roman" w:hAnsi="Arial" w:cs="Arial"/>
          <w:lang w:val="en-GB"/>
        </w:rPr>
      </w:pPr>
    </w:p>
    <w:p w14:paraId="58C4F439"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16DA0E52" w14:textId="77777777" w:rsidR="005C33EC" w:rsidRPr="005D5883" w:rsidRDefault="005C33EC" w:rsidP="006B6603">
      <w:pPr>
        <w:tabs>
          <w:tab w:val="left" w:pos="357"/>
        </w:tabs>
        <w:spacing w:after="0"/>
        <w:jc w:val="both"/>
        <w:rPr>
          <w:rFonts w:ascii="Arial" w:eastAsia="Times New Roman" w:hAnsi="Arial" w:cs="Arial"/>
          <w:lang w:val="en-GB"/>
        </w:rPr>
      </w:pPr>
    </w:p>
    <w:p w14:paraId="46642193"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0A68F0AD" w14:textId="77777777" w:rsidR="005C33EC" w:rsidRPr="005D5883" w:rsidRDefault="005C33EC" w:rsidP="006B6603">
      <w:pPr>
        <w:tabs>
          <w:tab w:val="left" w:pos="357"/>
        </w:tabs>
        <w:spacing w:after="0"/>
        <w:jc w:val="both"/>
        <w:rPr>
          <w:rFonts w:ascii="Arial" w:eastAsia="Times New Roman" w:hAnsi="Arial" w:cs="Arial"/>
          <w:lang w:val="en-GB"/>
        </w:rPr>
      </w:pPr>
    </w:p>
    <w:p w14:paraId="76E5E261"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C2A92A7" w14:textId="77777777" w:rsidR="005C33EC" w:rsidRPr="005D5883" w:rsidRDefault="005C33EC" w:rsidP="006B6603">
      <w:pPr>
        <w:numPr>
          <w:ilvl w:val="1"/>
          <w:numId w:val="4"/>
        </w:numPr>
        <w:tabs>
          <w:tab w:val="left" w:pos="357"/>
        </w:tabs>
        <w:spacing w:after="0"/>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384914C4" w14:textId="77777777"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6AE8608" w14:textId="77777777" w:rsidR="005C33EC" w:rsidRPr="005D5883" w:rsidRDefault="005C33EC" w:rsidP="006B6603">
      <w:pPr>
        <w:numPr>
          <w:ilvl w:val="1"/>
          <w:numId w:val="4"/>
        </w:numPr>
        <w:tabs>
          <w:tab w:val="left" w:pos="357"/>
        </w:tabs>
        <w:spacing w:after="0"/>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5058D126" w14:textId="77777777" w:rsidR="005C33EC" w:rsidRPr="005D5883" w:rsidRDefault="005C33EC" w:rsidP="006B6603">
      <w:pPr>
        <w:widowControl w:val="0"/>
        <w:tabs>
          <w:tab w:val="left" w:pos="-720"/>
          <w:tab w:val="left" w:pos="357"/>
        </w:tabs>
        <w:spacing w:after="0"/>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A5C7C63" w14:textId="77777777" w:rsidR="005C33EC" w:rsidRPr="005D5883" w:rsidRDefault="005C33EC" w:rsidP="006B6603">
      <w:pPr>
        <w:numPr>
          <w:ilvl w:val="1"/>
          <w:numId w:val="4"/>
        </w:numPr>
        <w:tabs>
          <w:tab w:val="left" w:pos="357"/>
          <w:tab w:val="num"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OTHER VALUES METHOD (</w:t>
      </w:r>
      <w:proofErr w:type="gramStart"/>
      <w:r w:rsidRPr="005D5883">
        <w:rPr>
          <w:rFonts w:ascii="Arial" w:eastAsia="Times New Roman" w:hAnsi="Arial" w:cs="Arial"/>
          <w:lang w:val="en-GB"/>
        </w:rPr>
        <w:t>e.g.</w:t>
      </w:r>
      <w:proofErr w:type="gramEnd"/>
      <w:r w:rsidRPr="005D5883">
        <w:rPr>
          <w:rFonts w:ascii="Arial" w:eastAsia="Times New Roman" w:hAnsi="Arial" w:cs="Arial"/>
          <w:lang w:val="en-GB"/>
        </w:rPr>
        <w:t xml:space="preserve"> Engineering fees, design fees, barging, inland transportation, etc</w:t>
      </w:r>
      <w:r>
        <w:rPr>
          <w:rFonts w:ascii="Arial" w:eastAsia="Times New Roman" w:hAnsi="Arial" w:cs="Arial"/>
          <w:lang w:val="en-GB"/>
        </w:rPr>
        <w:t>.</w:t>
      </w:r>
      <w:r w:rsidRPr="005D5883">
        <w:rPr>
          <w:rFonts w:ascii="Arial" w:eastAsia="Times New Roman" w:hAnsi="Arial" w:cs="Arial"/>
          <w:lang w:val="en-GB"/>
        </w:rPr>
        <w:t>)</w:t>
      </w:r>
    </w:p>
    <w:p w14:paraId="491CDD26" w14:textId="77777777" w:rsidR="005C33EC" w:rsidRPr="005D5883" w:rsidRDefault="005C33EC" w:rsidP="006B6603">
      <w:pPr>
        <w:widowControl w:val="0"/>
        <w:tabs>
          <w:tab w:val="left" w:pos="-720"/>
          <w:tab w:val="left" w:pos="357"/>
        </w:tabs>
        <w:spacing w:after="0"/>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35CC5F4" w14:textId="77777777" w:rsidR="005C33EC" w:rsidRPr="005D5883" w:rsidRDefault="005C33EC" w:rsidP="006B6603">
      <w:pPr>
        <w:widowControl w:val="0"/>
        <w:tabs>
          <w:tab w:val="left" w:pos="-720"/>
          <w:tab w:val="left" w:pos="357"/>
        </w:tabs>
        <w:spacing w:after="0"/>
        <w:ind w:left="357"/>
        <w:jc w:val="both"/>
        <w:rPr>
          <w:rFonts w:ascii="Arial" w:eastAsia="Times New Roman" w:hAnsi="Arial" w:cs="Arial"/>
          <w:lang w:val="en-GB"/>
        </w:rPr>
      </w:pPr>
    </w:p>
    <w:p w14:paraId="492328F6" w14:textId="3CCF3142" w:rsidR="005C33EC" w:rsidRDefault="005C33EC" w:rsidP="006B6603">
      <w:pPr>
        <w:keepNext/>
        <w:tabs>
          <w:tab w:val="left" w:pos="357"/>
        </w:tabs>
        <w:spacing w:after="0"/>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73A187F7" w14:textId="77777777" w:rsidR="006B6603" w:rsidRPr="005D5883" w:rsidRDefault="006B6603" w:rsidP="006B6603">
      <w:pPr>
        <w:keepNext/>
        <w:tabs>
          <w:tab w:val="left" w:pos="357"/>
        </w:tabs>
        <w:spacing w:after="0"/>
        <w:ind w:left="1134" w:hanging="1134"/>
        <w:jc w:val="both"/>
        <w:outlineLvl w:val="0"/>
        <w:rPr>
          <w:rFonts w:ascii="Arial" w:eastAsia="Times New Roman" w:hAnsi="Arial" w:cs="Arial"/>
          <w:b/>
          <w:lang w:val="en-GB"/>
        </w:rPr>
      </w:pPr>
    </w:p>
    <w:p w14:paraId="2FD5EC18" w14:textId="77777777" w:rsidR="006B660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The contract price adjustment method for local manufacture or partly local manufacture from imported stock, equipment or plant cost, transport cost within the RSA and local erection/installation cost shall be in accordance with the attached Eskom CPA Principles</w:t>
      </w:r>
      <w:r w:rsidR="006B6603">
        <w:rPr>
          <w:rFonts w:ascii="Arial" w:eastAsia="Times New Roman" w:hAnsi="Arial" w:cs="Arial"/>
          <w:lang w:val="en-GB"/>
        </w:rPr>
        <w:t>.</w:t>
      </w:r>
    </w:p>
    <w:p w14:paraId="64E74101" w14:textId="02130C92" w:rsidR="005C33EC" w:rsidRPr="005D5883" w:rsidRDefault="005C33EC" w:rsidP="006B6603">
      <w:pPr>
        <w:tabs>
          <w:tab w:val="left" w:pos="357"/>
        </w:tabs>
        <w:spacing w:after="0"/>
        <w:jc w:val="both"/>
        <w:rPr>
          <w:rFonts w:ascii="Arial" w:eastAsia="Times New Roman" w:hAnsi="Arial" w:cs="Arial"/>
          <w:lang w:val="en-GB"/>
        </w:rPr>
      </w:pPr>
      <w:r w:rsidRPr="005D5883">
        <w:rPr>
          <w:rFonts w:ascii="Arial" w:eastAsia="Times New Roman" w:hAnsi="Arial" w:cs="Arial"/>
          <w:lang w:val="en-GB"/>
        </w:rPr>
        <w:t xml:space="preserve"> </w:t>
      </w:r>
    </w:p>
    <w:p w14:paraId="16B5A2D3" w14:textId="16EA0A84" w:rsidR="005C33EC" w:rsidRDefault="005C33EC" w:rsidP="006B6603">
      <w:pPr>
        <w:keepNext/>
        <w:tabs>
          <w:tab w:val="left" w:pos="357"/>
        </w:tabs>
        <w:spacing w:after="0"/>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2BA22021" w14:textId="77777777" w:rsidR="006B6603" w:rsidRPr="005D5883" w:rsidRDefault="006B6603" w:rsidP="006B6603">
      <w:pPr>
        <w:keepNext/>
        <w:tabs>
          <w:tab w:val="left" w:pos="357"/>
        </w:tabs>
        <w:spacing w:after="0"/>
        <w:jc w:val="both"/>
        <w:outlineLvl w:val="0"/>
        <w:rPr>
          <w:rFonts w:ascii="Arial" w:eastAsia="Times New Roman" w:hAnsi="Arial" w:cs="Arial"/>
          <w:b/>
          <w:lang w:val="en-GB"/>
        </w:rPr>
      </w:pPr>
    </w:p>
    <w:p w14:paraId="51343BDD" w14:textId="77777777" w:rsidR="005C33EC" w:rsidRPr="005D5883"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5BE96480" w14:textId="77777777" w:rsidR="005C33EC" w:rsidRPr="005D5883"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3C16CD3" w14:textId="77777777" w:rsidR="005C33EC" w:rsidRPr="005D5883"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 xml:space="preserve">Where the terms of payment of the contract allow progress payments, other than Eskom’s standard payment terms, the agreed contract price adjustment method shall be applied </w:t>
      </w:r>
      <w:r w:rsidRPr="005D5883">
        <w:rPr>
          <w:rFonts w:ascii="Arial" w:eastAsia="Times New Roman" w:hAnsi="Arial" w:cs="Arial"/>
          <w:lang w:val="en-GB"/>
        </w:rPr>
        <w:lastRenderedPageBreak/>
        <w:t>to the value of such payment and to the date and level of completion to which payment is linked.</w:t>
      </w:r>
    </w:p>
    <w:p w14:paraId="4E78AAD3" w14:textId="77777777" w:rsidR="005C33EC" w:rsidRPr="005D5883"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63E4822" w14:textId="77777777" w:rsidR="005C33EC" w:rsidRPr="005D5883"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1E61EDE9" w14:textId="77777777" w:rsidR="005C33EC"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5D5883">
        <w:rPr>
          <w:rFonts w:ascii="Arial" w:eastAsia="Times New Roman" w:hAnsi="Arial" w:cs="Arial"/>
          <w:lang w:val="en-GB"/>
        </w:rPr>
        <w:t>Where requested by Eskom</w:t>
      </w:r>
      <w:r>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5D5883">
        <w:rPr>
          <w:rFonts w:ascii="Arial" w:eastAsia="Times New Roman" w:hAnsi="Arial" w:cs="Arial"/>
          <w:lang w:val="en-GB"/>
        </w:rPr>
        <w:t>during the course of</w:t>
      </w:r>
      <w:proofErr w:type="gramEnd"/>
      <w:r w:rsidRPr="005D5883">
        <w:rPr>
          <w:rFonts w:ascii="Arial" w:eastAsia="Times New Roman" w:hAnsi="Arial" w:cs="Arial"/>
          <w:lang w:val="en-GB"/>
        </w:rPr>
        <w:t xml:space="preserve"> the contract.</w:t>
      </w:r>
    </w:p>
    <w:p w14:paraId="2DF0C7E8" w14:textId="05B751FB" w:rsidR="005C33EC" w:rsidRDefault="005C33EC" w:rsidP="006B6603">
      <w:pPr>
        <w:numPr>
          <w:ilvl w:val="0"/>
          <w:numId w:val="5"/>
        </w:numPr>
        <w:tabs>
          <w:tab w:val="left" w:pos="426"/>
        </w:tabs>
        <w:spacing w:after="0"/>
        <w:ind w:left="426" w:hanging="426"/>
        <w:jc w:val="both"/>
        <w:rPr>
          <w:rFonts w:ascii="Arial" w:eastAsia="Times New Roman" w:hAnsi="Arial" w:cs="Arial"/>
          <w:lang w:val="en-GB"/>
        </w:rPr>
      </w:pPr>
      <w:r w:rsidRPr="004E01AF">
        <w:rPr>
          <w:rFonts w:ascii="Arial" w:eastAsia="Times New Roman" w:hAnsi="Arial" w:cs="Arial"/>
          <w:lang w:val="en-GB"/>
        </w:rPr>
        <w:t xml:space="preserve">Where it is </w:t>
      </w:r>
      <w:proofErr w:type="gramStart"/>
      <w:r w:rsidRPr="004E01AF">
        <w:rPr>
          <w:rFonts w:ascii="Arial" w:eastAsia="Times New Roman" w:hAnsi="Arial" w:cs="Arial"/>
          <w:lang w:val="en-GB"/>
        </w:rPr>
        <w:t>considered</w:t>
      </w:r>
      <w:proofErr w:type="gramEnd"/>
      <w:r w:rsidRPr="004E01AF">
        <w:rPr>
          <w:rFonts w:ascii="Arial" w:eastAsia="Times New Roman" w:hAnsi="Arial" w:cs="Arial"/>
          <w:lang w:val="en-GB"/>
        </w:rPr>
        <w:t xml:space="preserve"> necessary Eskom reserves the right to call for any documentary evidence to substantiate claims.</w:t>
      </w:r>
    </w:p>
    <w:p w14:paraId="64D0C24E" w14:textId="3939593D" w:rsidR="006B6603" w:rsidRDefault="006B6603" w:rsidP="006B6603">
      <w:pPr>
        <w:tabs>
          <w:tab w:val="left" w:pos="426"/>
        </w:tabs>
        <w:spacing w:after="0"/>
        <w:ind w:left="426"/>
        <w:jc w:val="both"/>
        <w:rPr>
          <w:rFonts w:ascii="Arial" w:eastAsia="Times New Roman" w:hAnsi="Arial" w:cs="Arial"/>
          <w:lang w:val="en-GB"/>
        </w:rPr>
      </w:pPr>
    </w:p>
    <w:p w14:paraId="682148E2" w14:textId="77777777" w:rsidR="0013580A" w:rsidRDefault="0013580A" w:rsidP="006B6603">
      <w:pPr>
        <w:tabs>
          <w:tab w:val="left" w:pos="426"/>
        </w:tabs>
        <w:spacing w:after="0"/>
        <w:ind w:left="426"/>
        <w:jc w:val="both"/>
        <w:rPr>
          <w:rFonts w:ascii="Arial" w:eastAsia="Times New Roman" w:hAnsi="Arial" w:cs="Arial"/>
          <w:lang w:val="en-GB"/>
        </w:rPr>
      </w:pPr>
    </w:p>
    <w:p w14:paraId="0931D4F8" w14:textId="77777777" w:rsidR="005C33EC" w:rsidRPr="005D5883" w:rsidRDefault="005C33EC" w:rsidP="006B6603">
      <w:pPr>
        <w:pBdr>
          <w:top w:val="single" w:sz="4" w:space="1" w:color="auto"/>
          <w:left w:val="single" w:sz="4" w:space="4" w:color="auto"/>
          <w:bottom w:val="single" w:sz="4" w:space="1" w:color="auto"/>
          <w:right w:val="single" w:sz="4" w:space="4" w:color="auto"/>
        </w:pBdr>
        <w:tabs>
          <w:tab w:val="left" w:pos="357"/>
        </w:tabs>
        <w:spacing w:after="0"/>
        <w:jc w:val="both"/>
        <w:rPr>
          <w:rFonts w:ascii="Arial" w:eastAsia="Times New Roman" w:hAnsi="Arial" w:cs="Arial"/>
          <w:lang w:val="en-GB"/>
        </w:rPr>
      </w:pPr>
    </w:p>
    <w:p w14:paraId="57C3DEB9" w14:textId="77777777" w:rsidR="005C33EC" w:rsidRPr="005D5883" w:rsidRDefault="005C33EC" w:rsidP="006B6603">
      <w:pPr>
        <w:pBdr>
          <w:top w:val="single" w:sz="4" w:space="1" w:color="auto"/>
          <w:left w:val="single" w:sz="4" w:space="4" w:color="auto"/>
          <w:bottom w:val="single" w:sz="4" w:space="1" w:color="auto"/>
          <w:right w:val="single" w:sz="4" w:space="4" w:color="auto"/>
        </w:pBdr>
        <w:tabs>
          <w:tab w:val="left" w:pos="357"/>
        </w:tabs>
        <w:spacing w:after="0"/>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104434A1" w14:textId="77777777" w:rsidR="005C33EC" w:rsidRPr="005D5883" w:rsidRDefault="005C33EC" w:rsidP="006B6603">
      <w:pPr>
        <w:pBdr>
          <w:top w:val="single" w:sz="4" w:space="1" w:color="auto"/>
          <w:left w:val="single" w:sz="4" w:space="4" w:color="auto"/>
          <w:bottom w:val="single" w:sz="4" w:space="1" w:color="auto"/>
          <w:right w:val="single" w:sz="4" w:space="4" w:color="auto"/>
        </w:pBdr>
        <w:tabs>
          <w:tab w:val="left" w:pos="357"/>
        </w:tabs>
        <w:spacing w:after="0"/>
        <w:jc w:val="both"/>
        <w:rPr>
          <w:rFonts w:ascii="Arial" w:eastAsia="Times New Roman" w:hAnsi="Arial" w:cs="Arial"/>
          <w:lang w:val="en-GB"/>
        </w:rPr>
      </w:pPr>
    </w:p>
    <w:p w14:paraId="23A3BAAA" w14:textId="77777777" w:rsidR="005C33EC" w:rsidRPr="005D5883" w:rsidRDefault="005C33EC" w:rsidP="006B6603">
      <w:pPr>
        <w:pBdr>
          <w:top w:val="single" w:sz="4" w:space="1" w:color="auto"/>
          <w:left w:val="single" w:sz="4" w:space="4" w:color="auto"/>
          <w:bottom w:val="single" w:sz="4" w:space="1" w:color="auto"/>
          <w:right w:val="single" w:sz="4" w:space="4" w:color="auto"/>
        </w:pBdr>
        <w:tabs>
          <w:tab w:val="left" w:pos="357"/>
        </w:tabs>
        <w:spacing w:after="0"/>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5B3CCBBF" w14:textId="77777777" w:rsidR="005C33EC" w:rsidRDefault="005C33EC" w:rsidP="006B6603">
      <w:pPr>
        <w:spacing w:after="0"/>
        <w:ind w:left="-142"/>
        <w:jc w:val="both"/>
        <w:rPr>
          <w:rFonts w:ascii="Arial" w:eastAsia="Times New Roman" w:hAnsi="Arial" w:cs="Times New Roman"/>
          <w:b/>
          <w:szCs w:val="24"/>
          <w:u w:val="single"/>
        </w:rPr>
      </w:pPr>
    </w:p>
    <w:p w14:paraId="46613CDF" w14:textId="77777777" w:rsidR="005C33EC" w:rsidRDefault="005C33EC" w:rsidP="006B6603">
      <w:pPr>
        <w:spacing w:after="0"/>
        <w:ind w:left="-142"/>
        <w:jc w:val="both"/>
        <w:rPr>
          <w:rFonts w:ascii="Arial" w:eastAsia="Times New Roman" w:hAnsi="Arial" w:cs="Times New Roman"/>
          <w:b/>
          <w:szCs w:val="24"/>
          <w:u w:val="single"/>
        </w:rPr>
      </w:pPr>
    </w:p>
    <w:p w14:paraId="1B6912BA" w14:textId="77777777" w:rsidR="003A05A7" w:rsidRDefault="003A05A7" w:rsidP="006B6603">
      <w:pPr>
        <w:spacing w:after="0"/>
      </w:pPr>
    </w:p>
    <w:sectPr w:rsidR="003A05A7" w:rsidSect="00813E8A">
      <w:headerReference w:type="default" r:id="rId12"/>
      <w:footerReference w:type="default" r:id="rId13"/>
      <w:pgSz w:w="11906" w:h="16838"/>
      <w:pgMar w:top="1440" w:right="1440" w:bottom="1440" w:left="1440" w:header="624"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rato Morife" w:date="2023-11-28T08:54:00Z" w:initials="LM">
    <w:p w14:paraId="085450B9" w14:textId="77777777" w:rsidR="000624B7" w:rsidRDefault="000624B7" w:rsidP="000624B7">
      <w:pPr>
        <w:pStyle w:val="CommentText"/>
      </w:pPr>
      <w:r>
        <w:rPr>
          <w:rStyle w:val="CommentReference"/>
        </w:rPr>
        <w:annotationRef/>
      </w:r>
      <w:r>
        <w:t>Please clean up, I have aligned to Portia's. You may customise to your commodity as advised by your QS.</w:t>
      </w:r>
    </w:p>
  </w:comment>
  <w:comment w:id="1" w:author="Didimalang Motsemme" w:date="2023-11-28T09:45:00Z" w:initials="DM">
    <w:p w14:paraId="25A9751E" w14:textId="77777777" w:rsidR="000624B7" w:rsidRDefault="000624B7" w:rsidP="000624B7">
      <w:pPr>
        <w:pStyle w:val="CommentText"/>
      </w:pPr>
      <w:r>
        <w:rPr>
          <w:rStyle w:val="CommentReference"/>
        </w:rPr>
        <w:annotationRef/>
      </w:r>
      <w:r>
        <w:t xml:space="preserve">I initially had all this information and you said I must align with the one Yurisha issued recently </w:t>
      </w:r>
    </w:p>
  </w:comment>
  <w:comment w:id="2" w:author="Didimalang Motsemme" w:date="2023-11-28T09:46:00Z" w:initials="DM">
    <w:p w14:paraId="70FEC44E" w14:textId="77777777" w:rsidR="000624B7" w:rsidRDefault="000624B7" w:rsidP="000624B7">
      <w:pPr>
        <w:pStyle w:val="CommentText"/>
      </w:pPr>
      <w:r>
        <w:rPr>
          <w:rStyle w:val="CommentReference"/>
        </w:rPr>
        <w:annotationRef/>
      </w:r>
      <w:r>
        <w:t>And Takalani was happy with the information that was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5450B9" w15:done="1"/>
  <w15:commentEx w15:paraId="25A9751E" w15:paraIdParent="085450B9" w15:done="1"/>
  <w15:commentEx w15:paraId="70FEC44E" w15:paraIdParent="085450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2948" w16cex:dateUtc="2023-11-28T06:54:00Z"/>
  <w16cex:commentExtensible w16cex:durableId="29103546" w16cex:dateUtc="2023-11-28T07:45:00Z"/>
  <w16cex:commentExtensible w16cex:durableId="2910357D" w16cex:dateUtc="2023-11-28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5450B9" w16cid:durableId="29102948"/>
  <w16cid:commentId w16cid:paraId="25A9751E" w16cid:durableId="29103546"/>
  <w16cid:commentId w16cid:paraId="70FEC44E" w16cid:durableId="29103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ABBF2" w14:textId="77777777" w:rsidR="002325E5" w:rsidRDefault="002325E5" w:rsidP="00813E8A">
      <w:pPr>
        <w:spacing w:after="0" w:line="240" w:lineRule="auto"/>
      </w:pPr>
      <w:r>
        <w:separator/>
      </w:r>
    </w:p>
  </w:endnote>
  <w:endnote w:type="continuationSeparator" w:id="0">
    <w:p w14:paraId="76D7E2E4" w14:textId="77777777" w:rsidR="002325E5" w:rsidRDefault="002325E5" w:rsidP="0081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DE34" w14:textId="7E633025" w:rsidR="00813E8A" w:rsidRDefault="00813E8A">
    <w:pPr>
      <w:pStyle w:val="Footer"/>
    </w:pPr>
    <w:r w:rsidRPr="00813E8A">
      <w:drawing>
        <wp:inline distT="0" distB="0" distL="0" distR="0" wp14:anchorId="74DCF762" wp14:editId="399027C4">
          <wp:extent cx="5731510"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607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4E98" w14:textId="77777777" w:rsidR="002325E5" w:rsidRDefault="002325E5" w:rsidP="00813E8A">
      <w:pPr>
        <w:spacing w:after="0" w:line="240" w:lineRule="auto"/>
      </w:pPr>
      <w:r>
        <w:separator/>
      </w:r>
    </w:p>
  </w:footnote>
  <w:footnote w:type="continuationSeparator" w:id="0">
    <w:p w14:paraId="06004CD9" w14:textId="77777777" w:rsidR="002325E5" w:rsidRDefault="002325E5" w:rsidP="0081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1"/>
      <w:gridCol w:w="3396"/>
      <w:gridCol w:w="2132"/>
      <w:gridCol w:w="1564"/>
      <w:gridCol w:w="567"/>
      <w:gridCol w:w="567"/>
    </w:tblGrid>
    <w:tr w:rsidR="00813E8A" w:rsidRPr="00116E60" w14:paraId="18E69F3F" w14:textId="77777777" w:rsidTr="00813E8A">
      <w:trPr>
        <w:cantSplit/>
        <w:trHeight w:val="263"/>
        <w:jc w:val="center"/>
      </w:trPr>
      <w:tc>
        <w:tcPr>
          <w:tcW w:w="2411" w:type="dxa"/>
          <w:vMerge w:val="restart"/>
        </w:tcPr>
        <w:p w14:paraId="2E9B1C9A" w14:textId="77777777" w:rsidR="00813E8A" w:rsidRPr="003914DE" w:rsidRDefault="00813E8A" w:rsidP="00813E8A">
          <w:pPr>
            <w:spacing w:after="0"/>
            <w:rPr>
              <w:rFonts w:ascii="Arial" w:hAnsi="Arial"/>
              <w:b/>
              <w:lang w:val="en-GB"/>
            </w:rPr>
          </w:pPr>
          <w:r>
            <w:rPr>
              <w:rFonts w:ascii="Arial" w:hAnsi="Arial"/>
              <w:b/>
              <w:lang w:val="en-GB"/>
            </w:rPr>
            <w:object w:dxaOrig="1440" w:dyaOrig="1440" w14:anchorId="537B9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65pt;margin-top:10.4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69946133" r:id="rId2"/>
            </w:object>
          </w:r>
        </w:p>
      </w:tc>
      <w:tc>
        <w:tcPr>
          <w:tcW w:w="3396" w:type="dxa"/>
          <w:vMerge w:val="restart"/>
          <w:vAlign w:val="center"/>
        </w:tcPr>
        <w:p w14:paraId="0FA4FBD1" w14:textId="3001FA39" w:rsidR="00813E8A" w:rsidRPr="002720DE" w:rsidRDefault="00813E8A" w:rsidP="00813E8A">
          <w:pPr>
            <w:spacing w:after="0"/>
            <w:jc w:val="center"/>
            <w:rPr>
              <w:rFonts w:ascii="Arial" w:hAnsi="Arial" w:cs="Arial"/>
              <w:b/>
              <w:szCs w:val="24"/>
            </w:rPr>
          </w:pPr>
          <w:r w:rsidRPr="002720DE">
            <w:rPr>
              <w:rFonts w:ascii="Arial" w:hAnsi="Arial" w:cs="Arial"/>
              <w:b/>
              <w:szCs w:val="24"/>
            </w:rPr>
            <w:t>Form CPA (IG)</w:t>
          </w:r>
        </w:p>
        <w:p w14:paraId="475D396C" w14:textId="77777777" w:rsidR="00813E8A" w:rsidRPr="00CA666C" w:rsidRDefault="00813E8A" w:rsidP="00813E8A">
          <w:pPr>
            <w:spacing w:after="0"/>
            <w:jc w:val="center"/>
            <w:rPr>
              <w:rFonts w:ascii="Arial" w:hAnsi="Arial" w:cs="Arial"/>
              <w:b/>
              <w:szCs w:val="24"/>
              <w:lang w:val="en-GB"/>
            </w:rPr>
          </w:pPr>
          <w:r w:rsidRPr="002720DE">
            <w:rPr>
              <w:rFonts w:ascii="Arial" w:hAnsi="Arial" w:cs="Arial"/>
              <w:b/>
              <w:szCs w:val="24"/>
            </w:rPr>
            <w:t>Annexure to Price Schedule</w:t>
          </w:r>
        </w:p>
      </w:tc>
      <w:tc>
        <w:tcPr>
          <w:tcW w:w="2132" w:type="dxa"/>
          <w:shd w:val="clear" w:color="auto" w:fill="auto"/>
          <w:vAlign w:val="center"/>
        </w:tcPr>
        <w:p w14:paraId="5E70BC6C" w14:textId="77777777" w:rsidR="00813E8A" w:rsidRPr="003914DE" w:rsidRDefault="00813E8A" w:rsidP="00813E8A">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64" w:type="dxa"/>
          <w:shd w:val="clear" w:color="auto" w:fill="auto"/>
          <w:vAlign w:val="center"/>
        </w:tcPr>
        <w:p w14:paraId="25F9736C" w14:textId="77777777" w:rsidR="00813E8A" w:rsidRPr="002720DE" w:rsidRDefault="00813E8A" w:rsidP="00813E8A">
          <w:pPr>
            <w:spacing w:after="0"/>
            <w:rPr>
              <w:rFonts w:ascii="Arial" w:hAnsi="Arial"/>
              <w:sz w:val="20"/>
              <w:lang w:val="en-GB"/>
            </w:rPr>
          </w:pPr>
          <w:r w:rsidRPr="002720DE">
            <w:rPr>
              <w:rFonts w:ascii="Arial" w:hAnsi="Arial"/>
              <w:sz w:val="20"/>
            </w:rPr>
            <w:t>240-59384916</w:t>
          </w:r>
        </w:p>
      </w:tc>
      <w:tc>
        <w:tcPr>
          <w:tcW w:w="567" w:type="dxa"/>
          <w:shd w:val="clear" w:color="auto" w:fill="auto"/>
          <w:vAlign w:val="center"/>
        </w:tcPr>
        <w:p w14:paraId="6DCDB732" w14:textId="77777777" w:rsidR="00813E8A" w:rsidRPr="003914DE" w:rsidRDefault="00813E8A" w:rsidP="00813E8A">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7F9E584" w14:textId="77777777" w:rsidR="00813E8A" w:rsidRPr="002720DE" w:rsidRDefault="00813E8A" w:rsidP="00813E8A">
          <w:pPr>
            <w:spacing w:after="0"/>
            <w:rPr>
              <w:rFonts w:ascii="Arial" w:hAnsi="Arial"/>
              <w:sz w:val="20"/>
              <w:lang w:val="en-GB"/>
            </w:rPr>
          </w:pPr>
          <w:r w:rsidRPr="002720DE">
            <w:rPr>
              <w:rFonts w:ascii="Arial" w:hAnsi="Arial"/>
              <w:sz w:val="20"/>
              <w:lang w:val="en-GB"/>
            </w:rPr>
            <w:t>1</w:t>
          </w:r>
        </w:p>
      </w:tc>
    </w:tr>
    <w:tr w:rsidR="00813E8A" w:rsidRPr="00116E60" w14:paraId="4E4B61F6" w14:textId="77777777" w:rsidTr="00813E8A">
      <w:trPr>
        <w:cantSplit/>
        <w:trHeight w:val="261"/>
        <w:jc w:val="center"/>
      </w:trPr>
      <w:tc>
        <w:tcPr>
          <w:tcW w:w="2411" w:type="dxa"/>
          <w:vMerge/>
          <w:vAlign w:val="bottom"/>
        </w:tcPr>
        <w:p w14:paraId="6277E064" w14:textId="77777777" w:rsidR="00813E8A" w:rsidRPr="003914DE" w:rsidRDefault="00813E8A" w:rsidP="00813E8A">
          <w:pPr>
            <w:spacing w:after="0"/>
            <w:rPr>
              <w:rFonts w:ascii="Arial" w:hAnsi="Arial"/>
              <w:b/>
              <w:lang w:val="en-GB"/>
            </w:rPr>
          </w:pPr>
        </w:p>
      </w:tc>
      <w:tc>
        <w:tcPr>
          <w:tcW w:w="3396" w:type="dxa"/>
          <w:vMerge/>
          <w:vAlign w:val="center"/>
        </w:tcPr>
        <w:p w14:paraId="2BE8587C" w14:textId="77777777" w:rsidR="00813E8A" w:rsidRPr="003914DE" w:rsidRDefault="00813E8A" w:rsidP="00813E8A">
          <w:pPr>
            <w:spacing w:after="0"/>
            <w:jc w:val="center"/>
            <w:rPr>
              <w:rFonts w:ascii="Arial" w:hAnsi="Arial" w:cs="Arial"/>
              <w:b/>
              <w:lang w:val="en-GB"/>
            </w:rPr>
          </w:pPr>
        </w:p>
      </w:tc>
      <w:tc>
        <w:tcPr>
          <w:tcW w:w="2132" w:type="dxa"/>
          <w:shd w:val="clear" w:color="auto" w:fill="auto"/>
          <w:vAlign w:val="center"/>
        </w:tcPr>
        <w:p w14:paraId="0B976611" w14:textId="77777777" w:rsidR="00813E8A" w:rsidRDefault="00813E8A" w:rsidP="00813E8A">
          <w:pPr>
            <w:spacing w:after="0"/>
            <w:rPr>
              <w:rFonts w:ascii="Arial" w:hAnsi="Arial"/>
              <w:b/>
              <w:sz w:val="20"/>
              <w:lang w:val="en-GB"/>
            </w:rPr>
          </w:pPr>
          <w:r>
            <w:rPr>
              <w:rFonts w:ascii="Arial" w:hAnsi="Arial"/>
              <w:b/>
              <w:sz w:val="20"/>
              <w:lang w:val="en-GB"/>
            </w:rPr>
            <w:t>Document Identifier</w:t>
          </w:r>
        </w:p>
      </w:tc>
      <w:tc>
        <w:tcPr>
          <w:tcW w:w="1564" w:type="dxa"/>
          <w:shd w:val="clear" w:color="auto" w:fill="auto"/>
          <w:vAlign w:val="center"/>
        </w:tcPr>
        <w:p w14:paraId="4A33458F" w14:textId="77777777" w:rsidR="00813E8A" w:rsidRPr="002720DE" w:rsidRDefault="00813E8A" w:rsidP="00813E8A">
          <w:pPr>
            <w:spacing w:after="0"/>
            <w:rPr>
              <w:rFonts w:ascii="Arial" w:hAnsi="Arial"/>
              <w:sz w:val="20"/>
              <w:lang w:val="en-GB"/>
            </w:rPr>
          </w:pPr>
          <w:r w:rsidRPr="002720DE">
            <w:rPr>
              <w:rFonts w:ascii="Arial" w:hAnsi="Arial"/>
              <w:sz w:val="20"/>
              <w:lang w:val="en-GB"/>
            </w:rPr>
            <w:t>N/A</w:t>
          </w:r>
        </w:p>
      </w:tc>
      <w:tc>
        <w:tcPr>
          <w:tcW w:w="567" w:type="dxa"/>
          <w:shd w:val="clear" w:color="auto" w:fill="auto"/>
          <w:vAlign w:val="center"/>
        </w:tcPr>
        <w:p w14:paraId="2C005F4F" w14:textId="77777777" w:rsidR="00813E8A" w:rsidRDefault="00813E8A" w:rsidP="00813E8A">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55523CE" w14:textId="77777777" w:rsidR="00813E8A" w:rsidRPr="002720DE" w:rsidRDefault="00813E8A" w:rsidP="00813E8A">
          <w:pPr>
            <w:spacing w:after="0"/>
            <w:rPr>
              <w:rFonts w:ascii="Arial" w:hAnsi="Arial"/>
              <w:sz w:val="20"/>
              <w:lang w:val="en-GB"/>
            </w:rPr>
          </w:pPr>
          <w:r w:rsidRPr="002720DE">
            <w:rPr>
              <w:rFonts w:ascii="Arial" w:hAnsi="Arial"/>
              <w:sz w:val="20"/>
              <w:lang w:val="en-GB"/>
            </w:rPr>
            <w:t>N/A</w:t>
          </w:r>
        </w:p>
      </w:tc>
    </w:tr>
    <w:tr w:rsidR="00813E8A" w:rsidRPr="00116E60" w14:paraId="52B19049" w14:textId="77777777" w:rsidTr="00813E8A">
      <w:trPr>
        <w:cantSplit/>
        <w:trHeight w:val="261"/>
        <w:jc w:val="center"/>
      </w:trPr>
      <w:tc>
        <w:tcPr>
          <w:tcW w:w="2411" w:type="dxa"/>
          <w:vMerge/>
          <w:vAlign w:val="bottom"/>
        </w:tcPr>
        <w:p w14:paraId="3CFA0930" w14:textId="77777777" w:rsidR="00813E8A" w:rsidRPr="003914DE" w:rsidRDefault="00813E8A" w:rsidP="00813E8A">
          <w:pPr>
            <w:spacing w:after="0"/>
            <w:rPr>
              <w:rFonts w:ascii="Arial" w:hAnsi="Arial"/>
              <w:b/>
              <w:lang w:val="en-GB"/>
            </w:rPr>
          </w:pPr>
        </w:p>
      </w:tc>
      <w:tc>
        <w:tcPr>
          <w:tcW w:w="3396" w:type="dxa"/>
          <w:vMerge/>
          <w:vAlign w:val="center"/>
        </w:tcPr>
        <w:p w14:paraId="5F3F42B7" w14:textId="77777777" w:rsidR="00813E8A" w:rsidRPr="003914DE" w:rsidRDefault="00813E8A" w:rsidP="00813E8A">
          <w:pPr>
            <w:spacing w:after="0"/>
            <w:jc w:val="center"/>
            <w:rPr>
              <w:rFonts w:ascii="Arial" w:hAnsi="Arial" w:cs="Arial"/>
              <w:b/>
              <w:lang w:val="en-GB"/>
            </w:rPr>
          </w:pPr>
        </w:p>
      </w:tc>
      <w:tc>
        <w:tcPr>
          <w:tcW w:w="2132" w:type="dxa"/>
          <w:shd w:val="clear" w:color="auto" w:fill="auto"/>
          <w:vAlign w:val="center"/>
        </w:tcPr>
        <w:p w14:paraId="18EF3CE0" w14:textId="77777777" w:rsidR="00813E8A" w:rsidRPr="003914DE" w:rsidRDefault="00813E8A" w:rsidP="00813E8A">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8" w:type="dxa"/>
          <w:gridSpan w:val="3"/>
          <w:shd w:val="clear" w:color="auto" w:fill="auto"/>
          <w:vAlign w:val="center"/>
        </w:tcPr>
        <w:p w14:paraId="2CFF2169" w14:textId="77777777" w:rsidR="00813E8A" w:rsidRPr="002720DE" w:rsidRDefault="00813E8A" w:rsidP="00813E8A">
          <w:pPr>
            <w:spacing w:after="0"/>
            <w:rPr>
              <w:rFonts w:ascii="Arial" w:hAnsi="Arial"/>
              <w:sz w:val="20"/>
              <w:lang w:val="en-GB"/>
            </w:rPr>
          </w:pPr>
          <w:r w:rsidRPr="002720DE">
            <w:rPr>
              <w:rFonts w:ascii="Arial" w:hAnsi="Arial"/>
              <w:sz w:val="20"/>
              <w:lang w:val="en-GB"/>
            </w:rPr>
            <w:t>01 August 2016</w:t>
          </w:r>
        </w:p>
      </w:tc>
    </w:tr>
    <w:tr w:rsidR="00813E8A" w:rsidRPr="00DB041F" w14:paraId="0A535BC2" w14:textId="77777777" w:rsidTr="00813E8A">
      <w:trPr>
        <w:cantSplit/>
        <w:trHeight w:hRule="exact" w:val="261"/>
        <w:jc w:val="center"/>
      </w:trPr>
      <w:tc>
        <w:tcPr>
          <w:tcW w:w="2411" w:type="dxa"/>
          <w:vMerge/>
          <w:vAlign w:val="bottom"/>
        </w:tcPr>
        <w:p w14:paraId="00F923E1" w14:textId="77777777" w:rsidR="00813E8A" w:rsidRPr="003914DE" w:rsidRDefault="00813E8A" w:rsidP="00813E8A">
          <w:pPr>
            <w:spacing w:after="0"/>
            <w:rPr>
              <w:rFonts w:ascii="Arial" w:hAnsi="Arial"/>
              <w:b/>
              <w:lang w:val="en-GB"/>
            </w:rPr>
          </w:pPr>
        </w:p>
      </w:tc>
      <w:tc>
        <w:tcPr>
          <w:tcW w:w="3396" w:type="dxa"/>
          <w:vMerge/>
          <w:vAlign w:val="center"/>
        </w:tcPr>
        <w:p w14:paraId="70E21CAB" w14:textId="77777777" w:rsidR="00813E8A" w:rsidRPr="003914DE" w:rsidRDefault="00813E8A" w:rsidP="00813E8A">
          <w:pPr>
            <w:spacing w:after="0"/>
            <w:jc w:val="center"/>
            <w:rPr>
              <w:rFonts w:ascii="Arial" w:hAnsi="Arial" w:cs="Arial"/>
              <w:b/>
              <w:lang w:val="en-GB"/>
            </w:rPr>
          </w:pPr>
        </w:p>
      </w:tc>
      <w:tc>
        <w:tcPr>
          <w:tcW w:w="2132" w:type="dxa"/>
          <w:shd w:val="clear" w:color="auto" w:fill="auto"/>
          <w:vAlign w:val="center"/>
        </w:tcPr>
        <w:p w14:paraId="2D72B33A" w14:textId="77777777" w:rsidR="00813E8A" w:rsidRPr="003914DE" w:rsidRDefault="00813E8A" w:rsidP="00813E8A">
          <w:pPr>
            <w:spacing w:after="0"/>
            <w:rPr>
              <w:rFonts w:ascii="Arial" w:hAnsi="Arial"/>
              <w:b/>
              <w:sz w:val="20"/>
              <w:lang w:val="en-GB"/>
            </w:rPr>
          </w:pPr>
          <w:r w:rsidRPr="003914DE">
            <w:rPr>
              <w:rFonts w:ascii="Arial" w:hAnsi="Arial"/>
              <w:b/>
              <w:sz w:val="20"/>
              <w:lang w:val="en-GB"/>
            </w:rPr>
            <w:t>Review Date</w:t>
          </w:r>
        </w:p>
      </w:tc>
      <w:tc>
        <w:tcPr>
          <w:tcW w:w="2698" w:type="dxa"/>
          <w:gridSpan w:val="3"/>
          <w:shd w:val="clear" w:color="auto" w:fill="auto"/>
          <w:vAlign w:val="center"/>
        </w:tcPr>
        <w:p w14:paraId="245274B0" w14:textId="77777777" w:rsidR="00813E8A" w:rsidRPr="002720DE" w:rsidRDefault="00813E8A" w:rsidP="00813E8A">
          <w:pPr>
            <w:spacing w:after="0"/>
            <w:rPr>
              <w:rFonts w:ascii="Arial" w:hAnsi="Arial"/>
              <w:sz w:val="20"/>
              <w:lang w:val="en-GB"/>
            </w:rPr>
          </w:pPr>
          <w:r w:rsidRPr="002720DE">
            <w:rPr>
              <w:rFonts w:ascii="Arial" w:hAnsi="Arial"/>
              <w:sz w:val="20"/>
              <w:lang w:val="en-GB"/>
            </w:rPr>
            <w:t>August 2019</w:t>
          </w:r>
        </w:p>
      </w:tc>
    </w:tr>
  </w:tbl>
  <w:p w14:paraId="157772F3" w14:textId="77777777" w:rsidR="00813E8A" w:rsidRDefault="00813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A20"/>
    <w:multiLevelType w:val="hybridMultilevel"/>
    <w:tmpl w:val="1ABAC40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20A76"/>
    <w:multiLevelType w:val="hybridMultilevel"/>
    <w:tmpl w:val="6EC4F242"/>
    <w:lvl w:ilvl="0" w:tplc="1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5D11FC6"/>
    <w:multiLevelType w:val="hybridMultilevel"/>
    <w:tmpl w:val="AFC0D096"/>
    <w:lvl w:ilvl="0" w:tplc="797893B2">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22F4C9A"/>
    <w:multiLevelType w:val="hybridMultilevel"/>
    <w:tmpl w:val="DB500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959620E"/>
    <w:multiLevelType w:val="hybridMultilevel"/>
    <w:tmpl w:val="CE32D5A8"/>
    <w:lvl w:ilvl="0" w:tplc="1C090003">
      <w:start w:val="1"/>
      <w:numFmt w:val="bullet"/>
      <w:lvlText w:val="o"/>
      <w:lvlJc w:val="left"/>
      <w:pPr>
        <w:ind w:left="1146" w:hanging="360"/>
      </w:pPr>
      <w:rPr>
        <w:rFonts w:ascii="Courier New" w:hAnsi="Courier New" w:cs="Courier New"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6" w15:restartNumberingAfterBreak="0">
    <w:nsid w:val="619969E2"/>
    <w:multiLevelType w:val="multilevel"/>
    <w:tmpl w:val="7DFA742A"/>
    <w:lvl w:ilvl="0">
      <w:start w:val="1"/>
      <w:numFmt w:val="decimal"/>
      <w:pStyle w:val="ListNumber"/>
      <w:lvlText w:val="%1."/>
      <w:lvlJc w:val="left"/>
      <w:pPr>
        <w:tabs>
          <w:tab w:val="num" w:pos="720"/>
        </w:tabs>
        <w:ind w:left="720" w:hanging="720"/>
      </w:pPr>
      <w:rPr>
        <w:b/>
        <w:bCs/>
        <w:i w:val="0"/>
        <w:iCs/>
      </w:rPr>
    </w:lvl>
    <w:lvl w:ilvl="1">
      <w:start w:val="1"/>
      <w:numFmt w:val="decimal"/>
      <w:lvlText w:val="%2."/>
      <w:lvlJc w:val="left"/>
      <w:pPr>
        <w:tabs>
          <w:tab w:val="num" w:pos="1440"/>
        </w:tabs>
        <w:ind w:left="1440" w:hanging="720"/>
      </w:pPr>
      <w:rPr>
        <w:b w:val="0"/>
        <w:bCs/>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num w:numId="1" w16cid:durableId="1246765000">
    <w:abstractNumId w:val="6"/>
  </w:num>
  <w:num w:numId="2" w16cid:durableId="1618948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55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214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193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7873204">
    <w:abstractNumId w:val="3"/>
  </w:num>
  <w:num w:numId="7" w16cid:durableId="1463428022">
    <w:abstractNumId w:val="6"/>
    <w:lvlOverride w:ilvl="0">
      <w:startOverride w:val="5"/>
    </w:lvlOverride>
  </w:num>
  <w:num w:numId="8" w16cid:durableId="814109055">
    <w:abstractNumId w:val="1"/>
  </w:num>
  <w:num w:numId="9" w16cid:durableId="937105518">
    <w:abstractNumId w:val="5"/>
  </w:num>
  <w:num w:numId="10" w16cid:durableId="1765686563">
    <w:abstractNumId w:val="7"/>
  </w:num>
  <w:num w:numId="11" w16cid:durableId="547961088">
    <w:abstractNumId w:val="4"/>
  </w:num>
  <w:num w:numId="12" w16cid:durableId="1900288606">
    <w:abstractNumId w:val="2"/>
  </w:num>
  <w:num w:numId="13" w16cid:durableId="14222888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rato Morife">
    <w15:presenceInfo w15:providerId="AD" w15:userId="S::MorifeL@eskom.co.za::16a451b3-265f-470a-9fed-f3f55c5e3aeb"/>
  </w15:person>
  <w15:person w15:author="Didimalang Motsemme">
    <w15:presenceInfo w15:providerId="AD" w15:userId="S::MotsemD@eskom.co.za::018158b8-c603-4259-82c8-428b6ec42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EC"/>
    <w:rsid w:val="0005502D"/>
    <w:rsid w:val="000624B7"/>
    <w:rsid w:val="00076DBE"/>
    <w:rsid w:val="0013580A"/>
    <w:rsid w:val="002325E5"/>
    <w:rsid w:val="003A05A7"/>
    <w:rsid w:val="005C33EC"/>
    <w:rsid w:val="006B6603"/>
    <w:rsid w:val="00813E8A"/>
    <w:rsid w:val="00C07E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8C8C"/>
  <w15:chartTrackingRefBased/>
  <w15:docId w15:val="{3CA817F3-82BE-4CE1-AE3B-3491ACA4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3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Normal,Paragraph,lp1,Bullet List,TOC style,Bulleted text,Bullet OSM,FooterText,numbered,List Paragraph1,Paragraphe de liste1,Bulletr List Paragraph,列出段落,列出段落1,List Paragraph2,List Paragraph21,Párrafo de lista1,Parágrafo da Lista1"/>
    <w:basedOn w:val="Normal"/>
    <w:link w:val="ListParagraphChar"/>
    <w:uiPriority w:val="34"/>
    <w:qFormat/>
    <w:rsid w:val="005C33EC"/>
    <w:pPr>
      <w:ind w:left="720"/>
      <w:contextualSpacing/>
    </w:pPr>
  </w:style>
  <w:style w:type="paragraph" w:styleId="ListNumber">
    <w:name w:val="List Number"/>
    <w:basedOn w:val="Normal"/>
    <w:uiPriority w:val="99"/>
    <w:unhideWhenUsed/>
    <w:rsid w:val="005C33EC"/>
    <w:pPr>
      <w:numPr>
        <w:numId w:val="1"/>
      </w:numPr>
      <w:contextualSpacing/>
    </w:pPr>
  </w:style>
  <w:style w:type="character" w:customStyle="1" w:styleId="ListParagraphChar">
    <w:name w:val="List Paragraph Char"/>
    <w:aliases w:val="Indent Normal Char,Paragraph Char,lp1 Char,Bullet List Char,TOC style Char,Bulleted text Char,Bullet OSM Char,FooterText Char,numbered Char,List Paragraph1 Char,Paragraphe de liste1 Char,Bulletr List Paragraph Char,列出段落 Char"/>
    <w:link w:val="ListParagraph"/>
    <w:uiPriority w:val="34"/>
    <w:rsid w:val="005C33EC"/>
  </w:style>
  <w:style w:type="character" w:styleId="Hyperlink">
    <w:name w:val="Hyperlink"/>
    <w:basedOn w:val="DefaultParagraphFont"/>
    <w:uiPriority w:val="99"/>
    <w:unhideWhenUsed/>
    <w:rsid w:val="006B6603"/>
    <w:rPr>
      <w:color w:val="0563C1" w:themeColor="hyperlink"/>
      <w:u w:val="single"/>
    </w:rPr>
  </w:style>
  <w:style w:type="character" w:styleId="UnresolvedMention">
    <w:name w:val="Unresolved Mention"/>
    <w:basedOn w:val="DefaultParagraphFont"/>
    <w:uiPriority w:val="99"/>
    <w:semiHidden/>
    <w:unhideWhenUsed/>
    <w:rsid w:val="006B6603"/>
    <w:rPr>
      <w:color w:val="605E5C"/>
      <w:shd w:val="clear" w:color="auto" w:fill="E1DFDD"/>
    </w:rPr>
  </w:style>
  <w:style w:type="character" w:customStyle="1" w:styleId="CommentTextChar">
    <w:name w:val="Comment Text Char"/>
    <w:basedOn w:val="DefaultParagraphFont"/>
    <w:link w:val="CommentText"/>
    <w:uiPriority w:val="99"/>
    <w:rsid w:val="000624B7"/>
    <w:rPr>
      <w:sz w:val="20"/>
      <w:szCs w:val="20"/>
    </w:rPr>
  </w:style>
  <w:style w:type="paragraph" w:styleId="CommentText">
    <w:name w:val="annotation text"/>
    <w:basedOn w:val="Normal"/>
    <w:link w:val="CommentTextChar"/>
    <w:uiPriority w:val="99"/>
    <w:unhideWhenUsed/>
    <w:rsid w:val="000624B7"/>
    <w:pPr>
      <w:spacing w:line="240" w:lineRule="auto"/>
    </w:pPr>
    <w:rPr>
      <w:sz w:val="20"/>
      <w:szCs w:val="20"/>
    </w:rPr>
  </w:style>
  <w:style w:type="character" w:customStyle="1" w:styleId="CommentTextChar1">
    <w:name w:val="Comment Text Char1"/>
    <w:basedOn w:val="DefaultParagraphFont"/>
    <w:uiPriority w:val="99"/>
    <w:semiHidden/>
    <w:rsid w:val="000624B7"/>
    <w:rPr>
      <w:sz w:val="20"/>
      <w:szCs w:val="20"/>
    </w:rPr>
  </w:style>
  <w:style w:type="character" w:styleId="CommentReference">
    <w:name w:val="annotation reference"/>
    <w:basedOn w:val="DefaultParagraphFont"/>
    <w:uiPriority w:val="99"/>
    <w:semiHidden/>
    <w:unhideWhenUsed/>
    <w:rsid w:val="000624B7"/>
    <w:rPr>
      <w:sz w:val="16"/>
      <w:szCs w:val="16"/>
    </w:rPr>
  </w:style>
  <w:style w:type="paragraph" w:customStyle="1" w:styleId="Default">
    <w:name w:val="Default"/>
    <w:rsid w:val="000624B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3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E8A"/>
  </w:style>
  <w:style w:type="paragraph" w:styleId="Footer">
    <w:name w:val="footer"/>
    <w:basedOn w:val="Normal"/>
    <w:link w:val="FooterChar"/>
    <w:uiPriority w:val="99"/>
    <w:unhideWhenUsed/>
    <w:rsid w:val="00813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bank.co.za"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Mabatane Mariri</dc:creator>
  <cp:keywords/>
  <dc:description/>
  <cp:lastModifiedBy>Didimalang Motsemme</cp:lastModifiedBy>
  <cp:revision>2</cp:revision>
  <dcterms:created xsi:type="dcterms:W3CDTF">2024-02-20T12:55:00Z</dcterms:created>
  <dcterms:modified xsi:type="dcterms:W3CDTF">2024-02-20T12:55:00Z</dcterms:modified>
</cp:coreProperties>
</file>