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63C18" w14:textId="710B1950" w:rsidR="009B6299" w:rsidRPr="00A44540" w:rsidRDefault="00745D44" w:rsidP="001A799E">
      <w:pPr>
        <w:rPr>
          <w:rFonts w:cstheme="minorHAnsi"/>
          <w:b/>
        </w:rPr>
      </w:pPr>
      <w:r w:rsidRPr="00A44540">
        <w:rPr>
          <w:rFonts w:cstheme="minorHAnsi"/>
          <w:b/>
        </w:rPr>
        <w:tab/>
      </w:r>
    </w:p>
    <w:tbl>
      <w:tblPr>
        <w:tblStyle w:val="TableGrid"/>
        <w:tblW w:w="5000" w:type="pct"/>
        <w:tblLook w:val="04A0" w:firstRow="1" w:lastRow="0" w:firstColumn="1" w:lastColumn="0" w:noHBand="0" w:noVBand="1"/>
      </w:tblPr>
      <w:tblGrid>
        <w:gridCol w:w="3076"/>
        <w:gridCol w:w="5940"/>
      </w:tblGrid>
      <w:tr w:rsidR="009B6299" w:rsidRPr="00C26879" w14:paraId="5A39E0BF" w14:textId="77777777" w:rsidTr="001A799E">
        <w:tc>
          <w:tcPr>
            <w:tcW w:w="1706" w:type="pct"/>
          </w:tcPr>
          <w:p w14:paraId="580C242F" w14:textId="77777777" w:rsidR="009B6299" w:rsidRPr="00C26879" w:rsidRDefault="002F70F7" w:rsidP="001A799E">
            <w:pPr>
              <w:spacing w:line="276" w:lineRule="auto"/>
              <w:rPr>
                <w:rFonts w:ascii="Arial" w:hAnsi="Arial" w:cs="Arial"/>
                <w:b/>
                <w:sz w:val="20"/>
                <w:szCs w:val="20"/>
              </w:rPr>
            </w:pPr>
            <w:r w:rsidRPr="00C26879">
              <w:rPr>
                <w:rFonts w:ascii="Arial" w:hAnsi="Arial" w:cs="Arial"/>
                <w:b/>
                <w:sz w:val="20"/>
                <w:szCs w:val="20"/>
              </w:rPr>
              <w:t>RFQ Number</w:t>
            </w:r>
          </w:p>
        </w:tc>
        <w:tc>
          <w:tcPr>
            <w:tcW w:w="3294" w:type="pct"/>
          </w:tcPr>
          <w:p w14:paraId="64D4FEA5" w14:textId="02968F43" w:rsidR="009B6299" w:rsidRPr="00C26879" w:rsidRDefault="0090510D" w:rsidP="00BB4DF3">
            <w:pPr>
              <w:spacing w:line="276" w:lineRule="auto"/>
              <w:rPr>
                <w:rFonts w:ascii="Arial" w:hAnsi="Arial" w:cs="Arial"/>
                <w:b/>
                <w:sz w:val="20"/>
                <w:szCs w:val="20"/>
              </w:rPr>
            </w:pPr>
            <w:r w:rsidRPr="0090510D">
              <w:rPr>
                <w:rFonts w:ascii="Arial" w:hAnsi="Arial" w:cs="Arial"/>
                <w:b/>
                <w:sz w:val="20"/>
                <w:szCs w:val="20"/>
              </w:rPr>
              <w:t>NLM-QUO-26/040</w:t>
            </w:r>
          </w:p>
        </w:tc>
      </w:tr>
      <w:tr w:rsidR="00EB5516" w:rsidRPr="00C26879" w14:paraId="5E03DF83" w14:textId="77777777" w:rsidTr="001A799E">
        <w:tc>
          <w:tcPr>
            <w:tcW w:w="1706" w:type="pct"/>
          </w:tcPr>
          <w:p w14:paraId="796FF34C" w14:textId="1043DB5F" w:rsidR="00EB5516" w:rsidRPr="00C26879" w:rsidRDefault="00EB5516" w:rsidP="00EB5516">
            <w:pPr>
              <w:spacing w:line="276" w:lineRule="auto"/>
              <w:rPr>
                <w:rFonts w:ascii="Arial" w:hAnsi="Arial" w:cs="Arial"/>
                <w:b/>
                <w:sz w:val="20"/>
                <w:szCs w:val="20"/>
              </w:rPr>
            </w:pPr>
            <w:r w:rsidRPr="00C26879">
              <w:rPr>
                <w:rFonts w:ascii="Arial" w:hAnsi="Arial" w:cs="Arial"/>
                <w:b/>
                <w:sz w:val="20"/>
                <w:szCs w:val="20"/>
              </w:rPr>
              <w:t>Request for Quotation Date</w:t>
            </w:r>
          </w:p>
        </w:tc>
        <w:tc>
          <w:tcPr>
            <w:tcW w:w="3294" w:type="pct"/>
          </w:tcPr>
          <w:p w14:paraId="56D5AABC" w14:textId="0E2F9FD5" w:rsidR="00EB5516" w:rsidRPr="00C26879" w:rsidRDefault="00EB5516" w:rsidP="00EB5516">
            <w:pPr>
              <w:spacing w:line="276" w:lineRule="auto"/>
              <w:rPr>
                <w:rFonts w:ascii="Arial" w:hAnsi="Arial" w:cs="Arial"/>
                <w:b/>
                <w:sz w:val="20"/>
                <w:szCs w:val="20"/>
              </w:rPr>
            </w:pPr>
            <w:r>
              <w:rPr>
                <w:rFonts w:ascii="Arial" w:hAnsi="Arial" w:cs="Arial"/>
                <w:b/>
                <w:sz w:val="20"/>
                <w:szCs w:val="20"/>
              </w:rPr>
              <w:t>20 February 2026</w:t>
            </w:r>
          </w:p>
        </w:tc>
      </w:tr>
      <w:tr w:rsidR="00EB5516" w:rsidRPr="00C26879" w14:paraId="3E763B8C" w14:textId="77777777" w:rsidTr="001A799E">
        <w:tc>
          <w:tcPr>
            <w:tcW w:w="1706" w:type="pct"/>
          </w:tcPr>
          <w:p w14:paraId="55A29009" w14:textId="7F624E51" w:rsidR="00EB5516" w:rsidRPr="00C26879" w:rsidRDefault="00EB5516" w:rsidP="00EB5516">
            <w:pPr>
              <w:spacing w:line="276" w:lineRule="auto"/>
              <w:rPr>
                <w:rFonts w:ascii="Arial" w:hAnsi="Arial" w:cs="Arial"/>
                <w:b/>
                <w:sz w:val="20"/>
                <w:szCs w:val="20"/>
              </w:rPr>
            </w:pPr>
            <w:r w:rsidRPr="00C26879">
              <w:rPr>
                <w:rFonts w:ascii="Arial" w:hAnsi="Arial" w:cs="Arial"/>
                <w:b/>
                <w:sz w:val="20"/>
                <w:szCs w:val="20"/>
              </w:rPr>
              <w:t>RFQ Closing Date</w:t>
            </w:r>
          </w:p>
        </w:tc>
        <w:tc>
          <w:tcPr>
            <w:tcW w:w="3294" w:type="pct"/>
          </w:tcPr>
          <w:p w14:paraId="587C953D" w14:textId="54135EEE" w:rsidR="00EB5516" w:rsidRPr="00C26879" w:rsidRDefault="00EB5516" w:rsidP="00EB5516">
            <w:pPr>
              <w:spacing w:line="276" w:lineRule="auto"/>
              <w:rPr>
                <w:rFonts w:ascii="Arial" w:hAnsi="Arial" w:cs="Arial"/>
                <w:b/>
                <w:sz w:val="20"/>
                <w:szCs w:val="20"/>
              </w:rPr>
            </w:pPr>
            <w:r>
              <w:rPr>
                <w:rFonts w:ascii="Arial" w:hAnsi="Arial" w:cs="Arial"/>
                <w:b/>
                <w:sz w:val="20"/>
                <w:szCs w:val="20"/>
              </w:rPr>
              <w:t>06 March</w:t>
            </w:r>
            <w:r w:rsidRPr="00806874">
              <w:rPr>
                <w:rFonts w:ascii="Arial" w:hAnsi="Arial" w:cs="Arial"/>
                <w:b/>
                <w:sz w:val="20"/>
                <w:szCs w:val="20"/>
              </w:rPr>
              <w:t xml:space="preserve"> 2026</w:t>
            </w:r>
          </w:p>
        </w:tc>
      </w:tr>
      <w:tr w:rsidR="00EB5516" w:rsidRPr="00C26879" w14:paraId="4C4733DB" w14:textId="77777777" w:rsidTr="001A799E">
        <w:tc>
          <w:tcPr>
            <w:tcW w:w="1706" w:type="pct"/>
          </w:tcPr>
          <w:p w14:paraId="58D74366" w14:textId="77777777" w:rsidR="00EB5516" w:rsidRPr="00C26879" w:rsidRDefault="00EB5516" w:rsidP="00EB5516">
            <w:pPr>
              <w:spacing w:line="276" w:lineRule="auto"/>
              <w:rPr>
                <w:rFonts w:ascii="Arial" w:hAnsi="Arial" w:cs="Arial"/>
                <w:b/>
                <w:sz w:val="20"/>
                <w:szCs w:val="20"/>
              </w:rPr>
            </w:pPr>
            <w:r w:rsidRPr="00C26879">
              <w:rPr>
                <w:rFonts w:ascii="Arial" w:hAnsi="Arial" w:cs="Arial"/>
                <w:b/>
                <w:sz w:val="20"/>
                <w:szCs w:val="20"/>
              </w:rPr>
              <w:t>RFQ Closing Time</w:t>
            </w:r>
          </w:p>
        </w:tc>
        <w:tc>
          <w:tcPr>
            <w:tcW w:w="3294" w:type="pct"/>
          </w:tcPr>
          <w:p w14:paraId="55417C37" w14:textId="062DC547" w:rsidR="00EB5516" w:rsidRPr="00C26879" w:rsidRDefault="00EB5516" w:rsidP="00EB5516">
            <w:pPr>
              <w:spacing w:line="276" w:lineRule="auto"/>
              <w:rPr>
                <w:rFonts w:ascii="Arial" w:hAnsi="Arial" w:cs="Arial"/>
                <w:b/>
                <w:sz w:val="20"/>
                <w:szCs w:val="20"/>
              </w:rPr>
            </w:pPr>
            <w:r>
              <w:rPr>
                <w:rFonts w:ascii="Arial" w:hAnsi="Arial" w:cs="Arial"/>
                <w:b/>
                <w:sz w:val="20"/>
                <w:szCs w:val="20"/>
              </w:rPr>
              <w:t>17:00</w:t>
            </w:r>
          </w:p>
        </w:tc>
      </w:tr>
      <w:tr w:rsidR="00B90012" w:rsidRPr="00C26879" w14:paraId="076E0A19" w14:textId="77777777" w:rsidTr="001A799E">
        <w:tc>
          <w:tcPr>
            <w:tcW w:w="1706" w:type="pct"/>
          </w:tcPr>
          <w:p w14:paraId="629D2549" w14:textId="77777777" w:rsidR="00B90012" w:rsidRPr="00C26879" w:rsidRDefault="00B90012" w:rsidP="00B90012">
            <w:pPr>
              <w:spacing w:line="276" w:lineRule="auto"/>
              <w:rPr>
                <w:rFonts w:ascii="Arial" w:hAnsi="Arial" w:cs="Arial"/>
                <w:b/>
                <w:sz w:val="20"/>
                <w:szCs w:val="20"/>
              </w:rPr>
            </w:pPr>
            <w:r w:rsidRPr="00C26879">
              <w:rPr>
                <w:rFonts w:ascii="Arial" w:hAnsi="Arial" w:cs="Arial"/>
                <w:b/>
                <w:sz w:val="20"/>
                <w:szCs w:val="20"/>
              </w:rPr>
              <w:t>Compulsory Site Briefing</w:t>
            </w:r>
          </w:p>
        </w:tc>
        <w:tc>
          <w:tcPr>
            <w:tcW w:w="3294" w:type="pct"/>
          </w:tcPr>
          <w:p w14:paraId="41AC3B5C" w14:textId="107F861F" w:rsidR="00B90012" w:rsidRPr="00C26879" w:rsidRDefault="00B90012" w:rsidP="00B90012">
            <w:pPr>
              <w:spacing w:line="276" w:lineRule="auto"/>
              <w:rPr>
                <w:rFonts w:ascii="Arial" w:hAnsi="Arial" w:cs="Arial"/>
                <w:b/>
                <w:sz w:val="20"/>
                <w:szCs w:val="20"/>
              </w:rPr>
            </w:pPr>
            <w:r w:rsidRPr="00C26879">
              <w:rPr>
                <w:rFonts w:ascii="Arial" w:hAnsi="Arial" w:cs="Arial"/>
                <w:b/>
                <w:sz w:val="20"/>
                <w:szCs w:val="20"/>
              </w:rPr>
              <w:t xml:space="preserve">Not compulsory but if more information required can be arranged </w:t>
            </w:r>
          </w:p>
        </w:tc>
      </w:tr>
      <w:tr w:rsidR="00B90012" w:rsidRPr="00C26879" w14:paraId="4352C8CF" w14:textId="77777777" w:rsidTr="001A799E">
        <w:tc>
          <w:tcPr>
            <w:tcW w:w="1706" w:type="pct"/>
          </w:tcPr>
          <w:p w14:paraId="2386141C" w14:textId="77777777" w:rsidR="00B90012" w:rsidRPr="00C26879" w:rsidRDefault="00B90012" w:rsidP="00B90012">
            <w:pPr>
              <w:spacing w:line="276" w:lineRule="auto"/>
              <w:rPr>
                <w:rFonts w:ascii="Arial" w:hAnsi="Arial" w:cs="Arial"/>
                <w:b/>
                <w:sz w:val="20"/>
                <w:szCs w:val="20"/>
              </w:rPr>
            </w:pPr>
            <w:r w:rsidRPr="00C26879">
              <w:rPr>
                <w:rFonts w:ascii="Arial" w:hAnsi="Arial" w:cs="Arial"/>
                <w:b/>
                <w:sz w:val="20"/>
                <w:szCs w:val="20"/>
              </w:rPr>
              <w:t>Contact Person</w:t>
            </w:r>
          </w:p>
        </w:tc>
        <w:tc>
          <w:tcPr>
            <w:tcW w:w="3294" w:type="pct"/>
          </w:tcPr>
          <w:p w14:paraId="69BE4465" w14:textId="18BF44E3" w:rsidR="00B90012" w:rsidRPr="00C26879" w:rsidRDefault="00B90012" w:rsidP="00B90012">
            <w:pPr>
              <w:spacing w:line="276" w:lineRule="auto"/>
              <w:rPr>
                <w:rFonts w:ascii="Arial" w:hAnsi="Arial" w:cs="Arial"/>
                <w:b/>
                <w:sz w:val="20"/>
                <w:szCs w:val="20"/>
              </w:rPr>
            </w:pPr>
            <w:r>
              <w:rPr>
                <w:rFonts w:ascii="Arial" w:hAnsi="Arial" w:cs="Arial"/>
                <w:b/>
                <w:sz w:val="20"/>
                <w:szCs w:val="20"/>
              </w:rPr>
              <w:t xml:space="preserve">Thulile </w:t>
            </w:r>
            <w:r w:rsidRPr="00806874">
              <w:rPr>
                <w:rFonts w:ascii="Arial" w:hAnsi="Arial" w:cs="Arial"/>
                <w:b/>
                <w:sz w:val="20"/>
                <w:szCs w:val="20"/>
              </w:rPr>
              <w:t>Sokhela</w:t>
            </w:r>
          </w:p>
        </w:tc>
      </w:tr>
      <w:tr w:rsidR="00B90012" w:rsidRPr="00C26879" w14:paraId="4D626FF4" w14:textId="77777777" w:rsidTr="001A799E">
        <w:tc>
          <w:tcPr>
            <w:tcW w:w="1706" w:type="pct"/>
          </w:tcPr>
          <w:p w14:paraId="59EE792D" w14:textId="77777777" w:rsidR="00B90012" w:rsidRPr="00C26879" w:rsidRDefault="00B90012" w:rsidP="00B90012">
            <w:pPr>
              <w:spacing w:line="276" w:lineRule="auto"/>
              <w:rPr>
                <w:rFonts w:ascii="Arial" w:hAnsi="Arial" w:cs="Arial"/>
                <w:b/>
                <w:sz w:val="20"/>
                <w:szCs w:val="20"/>
              </w:rPr>
            </w:pPr>
            <w:r w:rsidRPr="00C26879">
              <w:rPr>
                <w:rFonts w:ascii="Arial" w:hAnsi="Arial" w:cs="Arial"/>
                <w:b/>
                <w:sz w:val="20"/>
                <w:szCs w:val="20"/>
              </w:rPr>
              <w:t>Quotation Validity</w:t>
            </w:r>
          </w:p>
        </w:tc>
        <w:tc>
          <w:tcPr>
            <w:tcW w:w="3294" w:type="pct"/>
          </w:tcPr>
          <w:p w14:paraId="2CAB943B" w14:textId="48A59A61" w:rsidR="00B90012" w:rsidRPr="00C26879" w:rsidRDefault="00B90012" w:rsidP="00B90012">
            <w:pPr>
              <w:spacing w:line="276" w:lineRule="auto"/>
              <w:rPr>
                <w:rFonts w:ascii="Arial" w:hAnsi="Arial" w:cs="Arial"/>
                <w:b/>
                <w:sz w:val="20"/>
                <w:szCs w:val="20"/>
              </w:rPr>
            </w:pPr>
            <w:r w:rsidRPr="00C26879">
              <w:rPr>
                <w:rFonts w:ascii="Arial" w:hAnsi="Arial" w:cs="Arial"/>
                <w:b/>
                <w:sz w:val="20"/>
                <w:szCs w:val="20"/>
              </w:rPr>
              <w:t>90 Days from the closing date</w:t>
            </w:r>
          </w:p>
        </w:tc>
      </w:tr>
      <w:tr w:rsidR="00B90012" w:rsidRPr="00C26879" w14:paraId="70097BA5" w14:textId="77777777" w:rsidTr="001A799E">
        <w:tc>
          <w:tcPr>
            <w:tcW w:w="1706" w:type="pct"/>
          </w:tcPr>
          <w:p w14:paraId="546DB948" w14:textId="77777777" w:rsidR="00B90012" w:rsidRPr="00C26879" w:rsidRDefault="00B90012" w:rsidP="00B90012">
            <w:pPr>
              <w:spacing w:line="276" w:lineRule="auto"/>
              <w:rPr>
                <w:rFonts w:ascii="Arial" w:hAnsi="Arial" w:cs="Arial"/>
                <w:b/>
                <w:sz w:val="20"/>
                <w:szCs w:val="20"/>
              </w:rPr>
            </w:pPr>
            <w:r w:rsidRPr="00C26879">
              <w:rPr>
                <w:rFonts w:ascii="Arial" w:hAnsi="Arial" w:cs="Arial"/>
                <w:b/>
                <w:sz w:val="20"/>
                <w:szCs w:val="20"/>
              </w:rPr>
              <w:t>Submission Details</w:t>
            </w:r>
          </w:p>
        </w:tc>
        <w:tc>
          <w:tcPr>
            <w:tcW w:w="3294" w:type="pct"/>
          </w:tcPr>
          <w:p w14:paraId="37EB2C3F" w14:textId="77777777" w:rsidR="00B90012" w:rsidRPr="00C26879" w:rsidRDefault="00B90012" w:rsidP="00B90012">
            <w:pPr>
              <w:spacing w:line="276" w:lineRule="auto"/>
              <w:rPr>
                <w:rStyle w:val="Hyperlink"/>
                <w:rFonts w:ascii="Arial" w:hAnsi="Arial" w:cs="Arial"/>
                <w:b/>
                <w:sz w:val="20"/>
                <w:szCs w:val="20"/>
              </w:rPr>
            </w:pPr>
            <w:r w:rsidRPr="00C26879">
              <w:rPr>
                <w:rFonts w:ascii="Arial" w:hAnsi="Arial" w:cs="Arial"/>
                <w:b/>
                <w:sz w:val="20"/>
                <w:szCs w:val="20"/>
              </w:rPr>
              <w:t xml:space="preserve">RFQ Response must be sent to: </w:t>
            </w:r>
          </w:p>
          <w:p w14:paraId="4B3FF792" w14:textId="540D50C4" w:rsidR="00B90012" w:rsidRPr="00C26879" w:rsidRDefault="00B90012" w:rsidP="00B90012">
            <w:pPr>
              <w:spacing w:line="276" w:lineRule="auto"/>
              <w:rPr>
                <w:rFonts w:ascii="Arial" w:hAnsi="Arial" w:cs="Arial"/>
                <w:b/>
                <w:sz w:val="20"/>
                <w:szCs w:val="20"/>
              </w:rPr>
            </w:pPr>
            <w:r w:rsidRPr="00806874">
              <w:rPr>
                <w:rStyle w:val="Hyperlink"/>
                <w:rFonts w:ascii="Arial" w:hAnsi="Arial" w:cs="Arial"/>
                <w:sz w:val="20"/>
                <w:szCs w:val="20"/>
              </w:rPr>
              <w:t>Thulile.Sokhela@ntp.co.za</w:t>
            </w:r>
          </w:p>
        </w:tc>
      </w:tr>
      <w:tr w:rsidR="002F70F7" w:rsidRPr="00C26879" w14:paraId="1CDE507B" w14:textId="77777777" w:rsidTr="00657272">
        <w:tc>
          <w:tcPr>
            <w:tcW w:w="1706" w:type="pct"/>
          </w:tcPr>
          <w:p w14:paraId="36D96074" w14:textId="77777777" w:rsidR="002F70F7" w:rsidRPr="00C26879" w:rsidRDefault="002F70F7" w:rsidP="001A799E">
            <w:pPr>
              <w:spacing w:line="276" w:lineRule="auto"/>
              <w:rPr>
                <w:rFonts w:ascii="Arial" w:hAnsi="Arial" w:cs="Arial"/>
                <w:b/>
                <w:sz w:val="20"/>
                <w:szCs w:val="20"/>
              </w:rPr>
            </w:pPr>
            <w:r w:rsidRPr="00C26879">
              <w:rPr>
                <w:rFonts w:ascii="Arial" w:hAnsi="Arial" w:cs="Arial"/>
                <w:b/>
                <w:sz w:val="20"/>
                <w:szCs w:val="20"/>
              </w:rPr>
              <w:t>RFQ Description</w:t>
            </w:r>
          </w:p>
        </w:tc>
        <w:tc>
          <w:tcPr>
            <w:tcW w:w="3294" w:type="pct"/>
          </w:tcPr>
          <w:p w14:paraId="4C561131" w14:textId="21CF3383" w:rsidR="002F70F7" w:rsidRPr="00C26879" w:rsidRDefault="00212ED8" w:rsidP="00CC5CA3">
            <w:pPr>
              <w:pStyle w:val="Default"/>
              <w:rPr>
                <w:rFonts w:ascii="Arial" w:hAnsi="Arial" w:cs="Arial"/>
                <w:b/>
                <w:bCs/>
                <w:sz w:val="20"/>
                <w:szCs w:val="20"/>
              </w:rPr>
            </w:pPr>
            <w:r w:rsidRPr="00C26879">
              <w:rPr>
                <w:rFonts w:ascii="Arial" w:hAnsi="Arial" w:cs="Arial"/>
                <w:b/>
                <w:bCs/>
                <w:sz w:val="20"/>
                <w:szCs w:val="20"/>
              </w:rPr>
              <w:t xml:space="preserve">RFQ TO SUPPLY SYSTEM </w:t>
            </w:r>
            <w:r>
              <w:rPr>
                <w:rFonts w:ascii="Arial" w:hAnsi="Arial" w:cs="Arial"/>
                <w:b/>
                <w:bCs/>
                <w:sz w:val="20"/>
                <w:szCs w:val="20"/>
              </w:rPr>
              <w:t>ACTUATED</w:t>
            </w:r>
            <w:r w:rsidRPr="00C26879">
              <w:rPr>
                <w:rFonts w:ascii="Arial" w:hAnsi="Arial" w:cs="Arial"/>
                <w:b/>
                <w:bCs/>
                <w:sz w:val="20"/>
                <w:szCs w:val="20"/>
              </w:rPr>
              <w:t xml:space="preserve"> VALVES FOR NW PLASMA GAS PROJECT</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4997B2D4" w14:textId="77777777" w:rsidR="0028213E" w:rsidRPr="0028213E" w:rsidRDefault="0028213E" w:rsidP="001A799E">
      <w:pPr>
        <w:spacing w:after="0"/>
        <w:jc w:val="both"/>
        <w:rPr>
          <w:rFonts w:ascii="Arial" w:hAnsi="Arial" w:cs="Arial"/>
        </w:rPr>
      </w:pPr>
    </w:p>
    <w:p w14:paraId="6249FE7B" w14:textId="77777777" w:rsidR="00A97702" w:rsidRPr="0028213E" w:rsidRDefault="00A97702" w:rsidP="001A799E">
      <w:pPr>
        <w:spacing w:after="0"/>
        <w:jc w:val="both"/>
        <w:rPr>
          <w:rFonts w:ascii="Arial" w:hAnsi="Arial" w:cs="Arial"/>
        </w:rPr>
      </w:pPr>
    </w:p>
    <w:p w14:paraId="4BB48DD9" w14:textId="0E39AECF" w:rsidR="009B6299" w:rsidRPr="0028213E" w:rsidRDefault="00A97702" w:rsidP="001A799E">
      <w:pPr>
        <w:spacing w:after="0"/>
        <w:jc w:val="both"/>
        <w:rPr>
          <w:rFonts w:ascii="Arial" w:hAnsi="Arial" w:cs="Arial"/>
        </w:rPr>
      </w:pPr>
      <w:r w:rsidRPr="0028213E">
        <w:rPr>
          <w:rFonts w:ascii="Arial" w:hAnsi="Arial" w:cs="Arial"/>
        </w:rPr>
        <w:t xml:space="preserve">Kindly provide a </w:t>
      </w:r>
      <w:r w:rsidR="00C26879">
        <w:rPr>
          <w:rFonts w:ascii="Arial" w:hAnsi="Arial" w:cs="Arial"/>
        </w:rPr>
        <w:t>Q</w:t>
      </w:r>
      <w:r w:rsidRPr="0028213E">
        <w:rPr>
          <w:rFonts w:ascii="Arial" w:hAnsi="Arial" w:cs="Arial"/>
        </w:rPr>
        <w:t xml:space="preserve">uotation for goods and or services as outlined in </w:t>
      </w:r>
      <w:r w:rsidR="00C26879">
        <w:rPr>
          <w:rFonts w:ascii="Arial" w:hAnsi="Arial" w:cs="Arial"/>
        </w:rPr>
        <w:t>S</w:t>
      </w:r>
      <w:r w:rsidRPr="0028213E">
        <w:rPr>
          <w:rFonts w:ascii="Arial" w:hAnsi="Arial" w:cs="Arial"/>
        </w:rPr>
        <w:t>ection 2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2751A912" w14:textId="77777777" w:rsidR="00155894" w:rsidRPr="00C26879"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r w:rsidRPr="00C26879">
        <w:rPr>
          <w:rFonts w:ascii="Arial" w:eastAsia="Times New Roman" w:hAnsi="Arial" w:cs="Arial"/>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489F1706"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4004F4BB" w14:textId="0BC346CB" w:rsidR="005A0E84" w:rsidRPr="002F5C7B" w:rsidRDefault="003B5BB2" w:rsidP="001A799E">
      <w:pPr>
        <w:autoSpaceDE w:val="0"/>
        <w:autoSpaceDN w:val="0"/>
        <w:adjustRightInd w:val="0"/>
        <w:jc w:val="both"/>
        <w:rPr>
          <w:rFonts w:ascii="Arial" w:eastAsia="Times New Roman" w:hAnsi="Arial" w:cs="Arial"/>
          <w:color w:val="0000FF" w:themeColor="hyperlink"/>
          <w:u w:val="single"/>
        </w:rPr>
      </w:pPr>
      <w:r w:rsidRPr="0028213E">
        <w:rPr>
          <w:rFonts w:ascii="Arial" w:eastAsia="Times New Roman" w:hAnsi="Arial" w:cs="Arial"/>
          <w:color w:val="000000"/>
        </w:rPr>
        <w:lastRenderedPageBreak/>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6B5DA1" w:rsidRPr="005A0E84">
          <w:rPr>
            <w:rStyle w:val="Hyperlink"/>
            <w:rFonts w:ascii="Arial" w:eastAsia="Times New Roman" w:hAnsi="Arial" w:cs="Arial"/>
          </w:rPr>
          <w:t>www.necsa.co.za</w:t>
        </w:r>
      </w:hyperlink>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2157D637" w14:textId="7A0011F4" w:rsidR="001E7F96" w:rsidRPr="0099203D" w:rsidRDefault="00B30CDC" w:rsidP="0099203D">
      <w:pPr>
        <w:widowControl w:val="0"/>
        <w:tabs>
          <w:tab w:val="left" w:pos="2268"/>
        </w:tabs>
        <w:autoSpaceDE w:val="0"/>
        <w:autoSpaceDN w:val="0"/>
        <w:adjustRightInd w:val="0"/>
        <w:spacing w:after="0"/>
        <w:jc w:val="both"/>
        <w:rPr>
          <w:rFonts w:ascii="Arial" w:eastAsia="Times New Roman" w:hAnsi="Arial" w:cs="Arial"/>
          <w:color w:val="000000"/>
          <w:w w:val="101"/>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a plasma gasification demonstration facility in a laboratory on-site to volumetrically reduce </w:t>
      </w:r>
      <w:r w:rsidR="00C26879">
        <w:rPr>
          <w:rFonts w:ascii="Arial" w:eastAsia="Times New Roman" w:hAnsi="Arial" w:cs="Arial"/>
          <w:color w:val="000000"/>
          <w:w w:val="101"/>
        </w:rPr>
        <w:t>combustible wate material into Carbon dioxide Gas and Water and melting the metallic components to reduce the volume of compressible Low-Level Waste.</w:t>
      </w:r>
      <w:r w:rsidRPr="002F5C7B">
        <w:rPr>
          <w:rFonts w:ascii="Arial" w:eastAsia="Times New Roman" w:hAnsi="Arial" w:cs="Arial"/>
          <w:color w:val="000000"/>
          <w:w w:val="101"/>
        </w:rPr>
        <w:t xml:space="preserve"> </w:t>
      </w:r>
      <w:r w:rsidR="002D0B6B">
        <w:rPr>
          <w:rFonts w:ascii="Arial" w:eastAsia="Times New Roman" w:hAnsi="Arial" w:cs="Arial"/>
          <w:color w:val="000000"/>
          <w:w w:val="101"/>
        </w:rPr>
        <w:t>Actuated</w:t>
      </w:r>
      <w:r w:rsidR="00BA4B82">
        <w:rPr>
          <w:rFonts w:ascii="Arial" w:eastAsia="Times New Roman" w:hAnsi="Arial" w:cs="Arial"/>
          <w:color w:val="000000"/>
          <w:w w:val="101"/>
        </w:rPr>
        <w:t xml:space="preserve"> </w:t>
      </w:r>
      <w:r w:rsidR="00CE7D22">
        <w:rPr>
          <w:rFonts w:ascii="Arial" w:eastAsia="Times New Roman" w:hAnsi="Arial" w:cs="Arial"/>
          <w:color w:val="000000"/>
          <w:w w:val="101"/>
        </w:rPr>
        <w:t>V</w:t>
      </w:r>
      <w:r w:rsidR="003173B9">
        <w:rPr>
          <w:rFonts w:ascii="Arial" w:eastAsia="Times New Roman" w:hAnsi="Arial" w:cs="Arial"/>
          <w:color w:val="000000"/>
          <w:w w:val="101"/>
        </w:rPr>
        <w:t>alves</w:t>
      </w:r>
      <w:r w:rsidR="00685D21" w:rsidRPr="002F5C7B">
        <w:rPr>
          <w:rFonts w:ascii="Arial" w:eastAsia="Times New Roman" w:hAnsi="Arial" w:cs="Arial"/>
          <w:color w:val="000000"/>
          <w:w w:val="101"/>
        </w:rPr>
        <w:t xml:space="preserve"> are utilized in various applications within the facility. </w:t>
      </w:r>
      <w:r w:rsidR="00885611">
        <w:rPr>
          <w:rFonts w:ascii="Arial" w:eastAsia="Times New Roman" w:hAnsi="Arial" w:cs="Arial"/>
          <w:color w:val="000000"/>
          <w:w w:val="101"/>
        </w:rPr>
        <w:t>T</w:t>
      </w:r>
      <w:r w:rsidR="00BA4B82">
        <w:rPr>
          <w:rFonts w:ascii="Arial" w:eastAsia="Times New Roman" w:hAnsi="Arial" w:cs="Arial"/>
          <w:color w:val="000000"/>
          <w:w w:val="101"/>
        </w:rPr>
        <w:t>he required</w:t>
      </w:r>
      <w:r w:rsidR="00B24EAE" w:rsidRPr="00B24EAE">
        <w:rPr>
          <w:rFonts w:ascii="Arial" w:eastAsia="Times New Roman" w:hAnsi="Arial" w:cs="Arial"/>
          <w:color w:val="000000"/>
          <w:w w:val="101"/>
        </w:rPr>
        <w:t xml:space="preserve"> valves are </w:t>
      </w:r>
      <w:r w:rsidR="00885611">
        <w:rPr>
          <w:rFonts w:ascii="Arial" w:eastAsia="Times New Roman" w:hAnsi="Arial" w:cs="Arial"/>
          <w:color w:val="000000"/>
          <w:w w:val="101"/>
        </w:rPr>
        <w:t>described</w:t>
      </w:r>
      <w:r w:rsidR="00BA4B82">
        <w:rPr>
          <w:rFonts w:ascii="Arial" w:eastAsia="Times New Roman" w:hAnsi="Arial" w:cs="Arial"/>
          <w:color w:val="000000"/>
          <w:w w:val="101"/>
        </w:rPr>
        <w:t xml:space="preserve"> in</w:t>
      </w:r>
      <w:r w:rsidR="00B24EAE" w:rsidRPr="00B24EAE">
        <w:rPr>
          <w:rFonts w:ascii="Arial" w:eastAsia="Times New Roman" w:hAnsi="Arial" w:cs="Arial"/>
          <w:color w:val="000000"/>
          <w:w w:val="101"/>
        </w:rPr>
        <w:t xml:space="preserve"> the attached </w:t>
      </w:r>
      <w:r w:rsidR="00BA4B82" w:rsidRPr="003B10E1">
        <w:rPr>
          <w:rFonts w:ascii="Arial" w:eastAsia="Times New Roman" w:hAnsi="Arial" w:cs="Arial"/>
          <w:color w:val="000000"/>
          <w:w w:val="101"/>
        </w:rPr>
        <w:t>V</w:t>
      </w:r>
      <w:r w:rsidR="00B24EAE" w:rsidRPr="003B10E1">
        <w:rPr>
          <w:rFonts w:ascii="Arial" w:eastAsia="Times New Roman" w:hAnsi="Arial" w:cs="Arial"/>
          <w:color w:val="000000"/>
          <w:w w:val="101"/>
        </w:rPr>
        <w:t xml:space="preserve">alve </w:t>
      </w:r>
      <w:r w:rsidR="00BA4B82" w:rsidRPr="003B10E1">
        <w:rPr>
          <w:rFonts w:ascii="Arial" w:eastAsia="Times New Roman" w:hAnsi="Arial" w:cs="Arial"/>
          <w:color w:val="000000"/>
          <w:w w:val="101"/>
        </w:rPr>
        <w:t>L</w:t>
      </w:r>
      <w:r w:rsidR="00B24EAE" w:rsidRPr="003B10E1">
        <w:rPr>
          <w:rFonts w:ascii="Arial" w:eastAsia="Times New Roman" w:hAnsi="Arial" w:cs="Arial"/>
          <w:color w:val="000000"/>
          <w:w w:val="101"/>
        </w:rPr>
        <w:t>ist</w:t>
      </w:r>
      <w:r w:rsidR="00BA4B82" w:rsidRPr="003B10E1">
        <w:rPr>
          <w:rFonts w:ascii="Arial" w:eastAsia="Times New Roman" w:hAnsi="Arial" w:cs="Arial"/>
          <w:color w:val="000000"/>
          <w:w w:val="101"/>
        </w:rPr>
        <w:t xml:space="preserve"> [01]</w:t>
      </w:r>
      <w:r w:rsidR="00885611" w:rsidRPr="003B10E1">
        <w:rPr>
          <w:rFonts w:ascii="Arial" w:eastAsia="Times New Roman" w:hAnsi="Arial" w:cs="Arial"/>
          <w:color w:val="000000"/>
          <w:w w:val="101"/>
        </w:rPr>
        <w:t xml:space="preserve">, with </w:t>
      </w:r>
      <w:r w:rsidR="006B5DA1" w:rsidRPr="003B10E1">
        <w:rPr>
          <w:rFonts w:ascii="Arial" w:eastAsia="Times New Roman" w:hAnsi="Arial" w:cs="Arial"/>
          <w:color w:val="000000"/>
          <w:w w:val="101"/>
        </w:rPr>
        <w:t>P&amp;</w:t>
      </w:r>
      <w:r w:rsidR="003B10E1" w:rsidRPr="003B10E1">
        <w:rPr>
          <w:rFonts w:ascii="Arial" w:eastAsia="Times New Roman" w:hAnsi="Arial" w:cs="Arial"/>
          <w:color w:val="000000"/>
          <w:w w:val="101"/>
        </w:rPr>
        <w:t>ID’s [02-10]</w:t>
      </w:r>
      <w:r w:rsidR="003B10E1">
        <w:rPr>
          <w:rFonts w:ascii="Arial" w:eastAsia="Times New Roman" w:hAnsi="Arial" w:cs="Arial"/>
          <w:color w:val="000000"/>
          <w:w w:val="101"/>
        </w:rPr>
        <w:t>.</w:t>
      </w:r>
    </w:p>
    <w:p w14:paraId="41EA4558" w14:textId="77777777" w:rsidR="001E7F96" w:rsidRPr="002F5C7B" w:rsidRDefault="001E7F96" w:rsidP="00C27953">
      <w:pPr>
        <w:pStyle w:val="ListParagraph"/>
        <w:widowControl w:val="0"/>
        <w:tabs>
          <w:tab w:val="left" w:pos="2268"/>
        </w:tabs>
        <w:autoSpaceDE w:val="0"/>
        <w:autoSpaceDN w:val="0"/>
        <w:adjustRightInd w:val="0"/>
        <w:spacing w:before="240" w:after="240"/>
        <w:jc w:val="both"/>
        <w:rPr>
          <w:rFonts w:ascii="Arial" w:eastAsia="Times New Roman" w:hAnsi="Arial" w:cs="Arial"/>
          <w:color w:val="000000"/>
          <w:w w:val="101"/>
        </w:rPr>
      </w:pPr>
    </w:p>
    <w:p w14:paraId="1C0E7961" w14:textId="3C6B7F9C"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366"/>
        <w:gridCol w:w="2268"/>
      </w:tblGrid>
      <w:tr w:rsidR="005062BF" w:rsidRPr="002F5C7B" w14:paraId="25B4E46F" w14:textId="77777777" w:rsidTr="00837B3F">
        <w:trPr>
          <w:trHeight w:val="567"/>
        </w:trPr>
        <w:tc>
          <w:tcPr>
            <w:tcW w:w="7366" w:type="dxa"/>
            <w:vAlign w:val="center"/>
          </w:tcPr>
          <w:p w14:paraId="7D1CE5D9" w14:textId="77777777" w:rsidR="005062BF" w:rsidRPr="002F5C7B" w:rsidRDefault="005062BF" w:rsidP="00BA4B82">
            <w:pPr>
              <w:jc w:val="center"/>
              <w:rPr>
                <w:rFonts w:ascii="Arial" w:hAnsi="Arial" w:cs="Arial"/>
                <w:b/>
              </w:rPr>
            </w:pPr>
            <w:r w:rsidRPr="002F5C7B">
              <w:rPr>
                <w:rFonts w:ascii="Arial" w:hAnsi="Arial" w:cs="Arial"/>
                <w:b/>
              </w:rPr>
              <w:t>Item Description</w:t>
            </w:r>
          </w:p>
        </w:tc>
        <w:tc>
          <w:tcPr>
            <w:tcW w:w="2268" w:type="dxa"/>
            <w:vAlign w:val="center"/>
          </w:tcPr>
          <w:p w14:paraId="58AAA626" w14:textId="77777777" w:rsidR="005062BF" w:rsidRPr="002F5C7B" w:rsidRDefault="005062BF" w:rsidP="00BA4B82">
            <w:pPr>
              <w:jc w:val="center"/>
              <w:rPr>
                <w:rFonts w:ascii="Arial" w:hAnsi="Arial" w:cs="Arial"/>
                <w:b/>
              </w:rPr>
            </w:pPr>
            <w:r w:rsidRPr="002F5C7B">
              <w:rPr>
                <w:rFonts w:ascii="Arial" w:hAnsi="Arial" w:cs="Arial"/>
                <w:b/>
              </w:rPr>
              <w:t>Quantity</w:t>
            </w:r>
          </w:p>
        </w:tc>
      </w:tr>
      <w:tr w:rsidR="005062BF" w:rsidRPr="002F5C7B" w14:paraId="6624868A" w14:textId="77777777" w:rsidTr="00837B3F">
        <w:trPr>
          <w:trHeight w:val="567"/>
        </w:trPr>
        <w:tc>
          <w:tcPr>
            <w:tcW w:w="7366" w:type="dxa"/>
            <w:vAlign w:val="center"/>
          </w:tcPr>
          <w:p w14:paraId="3CD3FF70" w14:textId="1DF29E0C" w:rsidR="00685D21" w:rsidRDefault="0099203D" w:rsidP="00C671D2">
            <w:pPr>
              <w:autoSpaceDE w:val="0"/>
              <w:autoSpaceDN w:val="0"/>
              <w:adjustRightInd w:val="0"/>
              <w:spacing w:before="120" w:after="120"/>
              <w:rPr>
                <w:rFonts w:ascii="Arial" w:hAnsi="Arial" w:cs="Arial"/>
              </w:rPr>
            </w:pPr>
            <w:r w:rsidRPr="002F5C7B">
              <w:rPr>
                <w:rFonts w:ascii="Arial" w:hAnsi="Arial" w:cs="Arial"/>
              </w:rPr>
              <w:t xml:space="preserve">To </w:t>
            </w:r>
            <w:r w:rsidR="00BA4B82">
              <w:rPr>
                <w:rFonts w:ascii="Arial" w:hAnsi="Arial" w:cs="Arial"/>
              </w:rPr>
              <w:t>s</w:t>
            </w:r>
            <w:r w:rsidRPr="0099203D">
              <w:rPr>
                <w:rFonts w:ascii="Arial" w:hAnsi="Arial" w:cs="Arial"/>
              </w:rPr>
              <w:t xml:space="preserve">upply </w:t>
            </w:r>
            <w:r w:rsidR="00BA4B82">
              <w:rPr>
                <w:rFonts w:ascii="Arial" w:hAnsi="Arial" w:cs="Arial"/>
              </w:rPr>
              <w:t>s</w:t>
            </w:r>
            <w:r w:rsidRPr="0099203D">
              <w:rPr>
                <w:rFonts w:ascii="Arial" w:hAnsi="Arial" w:cs="Arial"/>
              </w:rPr>
              <w:t xml:space="preserve">ystem </w:t>
            </w:r>
            <w:r w:rsidR="002D0B6B">
              <w:rPr>
                <w:rFonts w:ascii="Arial" w:hAnsi="Arial" w:cs="Arial"/>
              </w:rPr>
              <w:t>Actuated</w:t>
            </w:r>
            <w:r w:rsidR="003B10E1">
              <w:rPr>
                <w:rFonts w:ascii="Arial" w:hAnsi="Arial" w:cs="Arial"/>
              </w:rPr>
              <w:t xml:space="preserve"> V</w:t>
            </w:r>
            <w:r w:rsidRPr="0099203D">
              <w:rPr>
                <w:rFonts w:ascii="Arial" w:hAnsi="Arial" w:cs="Arial"/>
              </w:rPr>
              <w:t>alves</w:t>
            </w:r>
            <w:r w:rsidR="00387073">
              <w:rPr>
                <w:rFonts w:ascii="Arial" w:hAnsi="Arial" w:cs="Arial"/>
              </w:rPr>
              <w:t xml:space="preserve"> </w:t>
            </w:r>
            <w:r w:rsidRPr="0099203D">
              <w:rPr>
                <w:rFonts w:ascii="Arial" w:hAnsi="Arial" w:cs="Arial"/>
              </w:rPr>
              <w:t xml:space="preserve">for </w:t>
            </w:r>
            <w:r w:rsidR="006B5DA1">
              <w:rPr>
                <w:rFonts w:ascii="Arial" w:hAnsi="Arial" w:cs="Arial"/>
              </w:rPr>
              <w:t xml:space="preserve">Low-Level Waste Plasma </w:t>
            </w:r>
            <w:r w:rsidR="006B5DA1" w:rsidRPr="006B5DA1">
              <w:rPr>
                <w:rFonts w:ascii="Arial" w:hAnsi="Arial" w:cs="Arial"/>
              </w:rPr>
              <w:t>Gasification (NW Plas</w:t>
            </w:r>
            <w:r w:rsidR="006B5DA1">
              <w:rPr>
                <w:rFonts w:ascii="Arial" w:hAnsi="Arial" w:cs="Arial"/>
              </w:rPr>
              <w:t xml:space="preserve">ma </w:t>
            </w:r>
            <w:r w:rsidR="006B5DA1" w:rsidRPr="006B5DA1">
              <w:rPr>
                <w:rFonts w:ascii="Arial" w:hAnsi="Arial" w:cs="Arial"/>
              </w:rPr>
              <w:t>Gas) Demonstration Project</w:t>
            </w:r>
            <w:r w:rsidR="00BA4B82">
              <w:rPr>
                <w:rFonts w:ascii="Arial" w:hAnsi="Arial" w:cs="Arial"/>
              </w:rPr>
              <w:t xml:space="preserve">, as per the attached </w:t>
            </w:r>
            <w:r w:rsidR="002D0B6B">
              <w:rPr>
                <w:rFonts w:ascii="Arial" w:hAnsi="Arial" w:cs="Arial"/>
              </w:rPr>
              <w:t>Actuated</w:t>
            </w:r>
            <w:r w:rsidR="00CE7D22">
              <w:rPr>
                <w:rFonts w:ascii="Arial" w:hAnsi="Arial" w:cs="Arial"/>
              </w:rPr>
              <w:t xml:space="preserve"> </w:t>
            </w:r>
            <w:r w:rsidR="00BA4B82">
              <w:rPr>
                <w:rFonts w:ascii="Arial" w:hAnsi="Arial" w:cs="Arial"/>
              </w:rPr>
              <w:t xml:space="preserve">Valve </w:t>
            </w:r>
            <w:r w:rsidR="00BA4B82" w:rsidRPr="003B10E1">
              <w:rPr>
                <w:rFonts w:ascii="Arial" w:hAnsi="Arial" w:cs="Arial"/>
              </w:rPr>
              <w:t>List [01]</w:t>
            </w:r>
            <w:r w:rsidR="00885611" w:rsidRPr="003B10E1">
              <w:rPr>
                <w:rFonts w:ascii="Arial" w:eastAsia="Times New Roman" w:hAnsi="Arial" w:cs="Arial"/>
                <w:color w:val="000000"/>
                <w:w w:val="101"/>
              </w:rPr>
              <w:t xml:space="preserve"> and </w:t>
            </w:r>
            <w:r w:rsidR="006B5DA1" w:rsidRPr="003B10E1">
              <w:rPr>
                <w:rFonts w:ascii="Arial" w:eastAsia="Times New Roman" w:hAnsi="Arial" w:cs="Arial"/>
                <w:color w:val="000000"/>
                <w:w w:val="101"/>
              </w:rPr>
              <w:t>P&amp;ID’s</w:t>
            </w:r>
            <w:r w:rsidR="00CE7D22">
              <w:rPr>
                <w:rFonts w:ascii="Arial" w:eastAsia="Times New Roman" w:hAnsi="Arial" w:cs="Arial"/>
                <w:color w:val="000000"/>
                <w:w w:val="101"/>
              </w:rPr>
              <w:t xml:space="preserve"> [02-10]</w:t>
            </w:r>
            <w:r w:rsidR="006B5DA1">
              <w:rPr>
                <w:rFonts w:ascii="Arial" w:eastAsia="Times New Roman" w:hAnsi="Arial" w:cs="Arial"/>
                <w:color w:val="000000"/>
                <w:w w:val="101"/>
              </w:rPr>
              <w:t xml:space="preserve">. </w:t>
            </w:r>
          </w:p>
          <w:p w14:paraId="21DCC66B" w14:textId="77777777" w:rsidR="0090569F" w:rsidRPr="00C27953" w:rsidRDefault="0090569F" w:rsidP="00C27953">
            <w:pPr>
              <w:autoSpaceDE w:val="0"/>
              <w:autoSpaceDN w:val="0"/>
              <w:adjustRightInd w:val="0"/>
              <w:spacing w:before="240" w:after="120"/>
              <w:rPr>
                <w:rFonts w:ascii="Arial" w:hAnsi="Arial" w:cs="Arial"/>
                <w:b/>
                <w:u w:val="single"/>
              </w:rPr>
            </w:pPr>
            <w:r w:rsidRPr="00C27953">
              <w:rPr>
                <w:rFonts w:ascii="Arial" w:hAnsi="Arial" w:cs="Arial"/>
                <w:b/>
                <w:u w:val="single"/>
              </w:rPr>
              <w:t>NOTES:</w:t>
            </w:r>
          </w:p>
          <w:p w14:paraId="0C40190A" w14:textId="3ED4394B" w:rsidR="00237DDE" w:rsidRDefault="002D0B6B" w:rsidP="00837B3F">
            <w:pPr>
              <w:pStyle w:val="ListParagraph"/>
              <w:numPr>
                <w:ilvl w:val="0"/>
                <w:numId w:val="10"/>
              </w:numPr>
              <w:autoSpaceDE w:val="0"/>
              <w:autoSpaceDN w:val="0"/>
              <w:adjustRightInd w:val="0"/>
              <w:spacing w:before="120" w:after="120"/>
              <w:ind w:left="714" w:hanging="357"/>
              <w:contextualSpacing w:val="0"/>
              <w:rPr>
                <w:rFonts w:ascii="Arial" w:hAnsi="Arial" w:cs="Arial"/>
              </w:rPr>
            </w:pPr>
            <w:r w:rsidRPr="002D0B6B">
              <w:rPr>
                <w:rFonts w:ascii="Arial" w:hAnsi="Arial" w:cs="Arial"/>
              </w:rPr>
              <w:t>XV1410D</w:t>
            </w:r>
            <w:r w:rsidR="003B10E1">
              <w:rPr>
                <w:rFonts w:ascii="Arial" w:hAnsi="Arial" w:cs="Arial"/>
              </w:rPr>
              <w:t xml:space="preserve">- </w:t>
            </w:r>
            <w:r w:rsidR="003B10E1" w:rsidRPr="003B10E1">
              <w:rPr>
                <w:rFonts w:ascii="Arial" w:hAnsi="Arial" w:cs="Arial"/>
              </w:rPr>
              <w:t>Valve size to be determined and valve to be specified during design of HVAC System</w:t>
            </w:r>
            <w:r w:rsidR="003B10E1">
              <w:rPr>
                <w:rFonts w:ascii="Arial" w:hAnsi="Arial" w:cs="Arial"/>
              </w:rPr>
              <w:t xml:space="preserve">. </w:t>
            </w:r>
          </w:p>
          <w:p w14:paraId="320F94C6" w14:textId="65CEB787" w:rsidR="002D0B6B" w:rsidRDefault="002D0B6B" w:rsidP="002D0B6B">
            <w:pPr>
              <w:pStyle w:val="ListParagraph"/>
              <w:autoSpaceDE w:val="0"/>
              <w:autoSpaceDN w:val="0"/>
              <w:adjustRightInd w:val="0"/>
              <w:spacing w:before="120" w:after="120"/>
              <w:ind w:left="714"/>
              <w:contextualSpacing w:val="0"/>
              <w:rPr>
                <w:rFonts w:ascii="Arial" w:hAnsi="Arial" w:cs="Arial"/>
              </w:rPr>
            </w:pPr>
          </w:p>
          <w:p w14:paraId="27AC4DFE" w14:textId="1ACB444D" w:rsidR="003B10E1" w:rsidRPr="0090569F" w:rsidRDefault="003B10E1" w:rsidP="002D0B6B">
            <w:pPr>
              <w:pStyle w:val="ListParagraph"/>
              <w:autoSpaceDE w:val="0"/>
              <w:autoSpaceDN w:val="0"/>
              <w:adjustRightInd w:val="0"/>
              <w:spacing w:before="120" w:after="120"/>
              <w:ind w:left="714"/>
              <w:contextualSpacing w:val="0"/>
              <w:rPr>
                <w:rFonts w:ascii="Arial" w:hAnsi="Arial" w:cs="Arial"/>
              </w:rPr>
            </w:pPr>
          </w:p>
        </w:tc>
        <w:tc>
          <w:tcPr>
            <w:tcW w:w="2268" w:type="dxa"/>
            <w:vAlign w:val="center"/>
          </w:tcPr>
          <w:p w14:paraId="56AA8105" w14:textId="1E154A63" w:rsidR="005062BF" w:rsidRPr="002F5C7B" w:rsidRDefault="003B10E1" w:rsidP="00C27953">
            <w:pPr>
              <w:spacing w:before="120" w:after="120"/>
              <w:jc w:val="center"/>
              <w:rPr>
                <w:rFonts w:ascii="Arial" w:hAnsi="Arial" w:cs="Arial"/>
              </w:rPr>
            </w:pPr>
            <w:r>
              <w:rPr>
                <w:rFonts w:ascii="Arial" w:hAnsi="Arial" w:cs="Arial"/>
              </w:rPr>
              <w:t>1</w:t>
            </w:r>
            <w:r w:rsidR="002D0B6B">
              <w:rPr>
                <w:rFonts w:ascii="Arial" w:hAnsi="Arial" w:cs="Arial"/>
              </w:rPr>
              <w:t>4</w:t>
            </w:r>
          </w:p>
        </w:tc>
      </w:tr>
    </w:tbl>
    <w:p w14:paraId="0358A6C5" w14:textId="5373170F"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Pr="002F5C7B"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685D21">
      <w:pPr>
        <w:pStyle w:val="Heading1"/>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993"/>
        <w:gridCol w:w="3402"/>
        <w:gridCol w:w="5244"/>
      </w:tblGrid>
      <w:tr w:rsidR="006434D7" w:rsidRPr="00BA4B82" w14:paraId="38423F66" w14:textId="77777777" w:rsidTr="0090569F">
        <w:trPr>
          <w:trHeight w:val="567"/>
        </w:trPr>
        <w:tc>
          <w:tcPr>
            <w:tcW w:w="993" w:type="dxa"/>
            <w:vAlign w:val="center"/>
          </w:tcPr>
          <w:p w14:paraId="394137DE"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Ref #</w:t>
            </w:r>
          </w:p>
        </w:tc>
        <w:tc>
          <w:tcPr>
            <w:tcW w:w="3402" w:type="dxa"/>
            <w:vAlign w:val="center"/>
          </w:tcPr>
          <w:p w14:paraId="16092016"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DOCUMENT NAME</w:t>
            </w:r>
          </w:p>
        </w:tc>
        <w:tc>
          <w:tcPr>
            <w:tcW w:w="5244" w:type="dxa"/>
            <w:vAlign w:val="center"/>
          </w:tcPr>
          <w:p w14:paraId="772096B3"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DESCRIPTION</w:t>
            </w:r>
          </w:p>
        </w:tc>
      </w:tr>
      <w:tr w:rsidR="006434D7" w:rsidRPr="002F5C7B" w14:paraId="63CB733F" w14:textId="77777777" w:rsidTr="0090569F">
        <w:trPr>
          <w:trHeight w:val="567"/>
        </w:trPr>
        <w:tc>
          <w:tcPr>
            <w:tcW w:w="993" w:type="dxa"/>
            <w:vAlign w:val="center"/>
          </w:tcPr>
          <w:p w14:paraId="6086F4F5" w14:textId="77777777" w:rsidR="006434D7" w:rsidRPr="002F5C7B" w:rsidRDefault="006434D7" w:rsidP="00BA4B82">
            <w:pPr>
              <w:pStyle w:val="Heading1"/>
              <w:spacing w:line="276" w:lineRule="auto"/>
              <w:ind w:left="0" w:firstLine="0"/>
              <w:jc w:val="center"/>
              <w:outlineLvl w:val="0"/>
              <w:rPr>
                <w:rStyle w:val="Hyperlink"/>
                <w:b w:val="0"/>
                <w:color w:val="000000" w:themeColor="text1"/>
                <w:sz w:val="22"/>
                <w:u w:val="none"/>
              </w:rPr>
            </w:pPr>
            <w:r w:rsidRPr="002F5C7B">
              <w:rPr>
                <w:rStyle w:val="Hyperlink"/>
                <w:b w:val="0"/>
                <w:color w:val="000000" w:themeColor="text1"/>
                <w:sz w:val="22"/>
                <w:u w:val="none"/>
              </w:rPr>
              <w:t>01</w:t>
            </w:r>
          </w:p>
        </w:tc>
        <w:tc>
          <w:tcPr>
            <w:tcW w:w="3402" w:type="dxa"/>
            <w:vAlign w:val="center"/>
          </w:tcPr>
          <w:p w14:paraId="34705118" w14:textId="2757F971" w:rsidR="006434D7" w:rsidRPr="002F5C7B" w:rsidRDefault="00EE1C56" w:rsidP="00BA4B82">
            <w:pPr>
              <w:pStyle w:val="Heading1"/>
              <w:spacing w:line="276" w:lineRule="auto"/>
              <w:ind w:left="0" w:firstLine="0"/>
              <w:jc w:val="left"/>
              <w:outlineLvl w:val="0"/>
              <w:rPr>
                <w:rStyle w:val="Hyperlink"/>
                <w:b w:val="0"/>
                <w:color w:val="000000" w:themeColor="text1"/>
                <w:sz w:val="22"/>
                <w:u w:val="none"/>
              </w:rPr>
            </w:pPr>
            <w:r w:rsidRPr="00EE1C56">
              <w:rPr>
                <w:b w:val="0"/>
                <w:sz w:val="22"/>
              </w:rPr>
              <w:t>ENS-NWPVR-LST-24002</w:t>
            </w:r>
            <w:r>
              <w:rPr>
                <w:b w:val="0"/>
                <w:sz w:val="22"/>
              </w:rPr>
              <w:t>, Rev.5</w:t>
            </w:r>
          </w:p>
        </w:tc>
        <w:tc>
          <w:tcPr>
            <w:tcW w:w="5244" w:type="dxa"/>
            <w:vAlign w:val="center"/>
          </w:tcPr>
          <w:p w14:paraId="53E3C362" w14:textId="7626B007" w:rsidR="006434D7" w:rsidRPr="002F5C7B" w:rsidRDefault="00CE7D22" w:rsidP="00BA4B82">
            <w:pPr>
              <w:autoSpaceDE w:val="0"/>
              <w:autoSpaceDN w:val="0"/>
              <w:adjustRightInd w:val="0"/>
              <w:spacing w:line="276" w:lineRule="auto"/>
              <w:rPr>
                <w:rStyle w:val="Hyperlink"/>
                <w:rFonts w:ascii="Arial" w:hAnsi="Arial" w:cs="Arial"/>
                <w:color w:val="auto"/>
                <w:u w:val="none"/>
              </w:rPr>
            </w:pPr>
            <w:r w:rsidRPr="00CE7D22">
              <w:rPr>
                <w:rFonts w:ascii="Arial" w:hAnsi="Arial" w:cs="Arial"/>
              </w:rPr>
              <w:t>Low-Level Waste Plasma Gasification (NW PlasGas) Demonstration Project – Valve List</w:t>
            </w:r>
          </w:p>
        </w:tc>
      </w:tr>
      <w:tr w:rsidR="00885611" w:rsidRPr="002F5C7B" w14:paraId="08F7CAE1" w14:textId="77777777" w:rsidTr="0090569F">
        <w:trPr>
          <w:trHeight w:val="567"/>
        </w:trPr>
        <w:tc>
          <w:tcPr>
            <w:tcW w:w="993" w:type="dxa"/>
            <w:vAlign w:val="center"/>
          </w:tcPr>
          <w:p w14:paraId="566F7B69" w14:textId="0EBA51B5" w:rsidR="00885611" w:rsidRPr="002F5C7B" w:rsidRDefault="00885611" w:rsidP="00BA4B82">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02</w:t>
            </w:r>
          </w:p>
        </w:tc>
        <w:tc>
          <w:tcPr>
            <w:tcW w:w="3402" w:type="dxa"/>
            <w:vAlign w:val="center"/>
          </w:tcPr>
          <w:p w14:paraId="0DDE4643" w14:textId="39ADFEA3" w:rsidR="00885611" w:rsidRPr="00B86006" w:rsidRDefault="00AD7573" w:rsidP="00BA4B82">
            <w:pPr>
              <w:pStyle w:val="Heading1"/>
              <w:spacing w:line="276" w:lineRule="auto"/>
              <w:ind w:left="0" w:firstLine="0"/>
              <w:jc w:val="left"/>
              <w:outlineLvl w:val="0"/>
              <w:rPr>
                <w:b w:val="0"/>
                <w:sz w:val="22"/>
              </w:rPr>
            </w:pPr>
            <w:r w:rsidRPr="00AD7573">
              <w:rPr>
                <w:b w:val="0"/>
                <w:sz w:val="22"/>
              </w:rPr>
              <w:t>ENS-NWPVR-PID-24002</w:t>
            </w:r>
          </w:p>
        </w:tc>
        <w:tc>
          <w:tcPr>
            <w:tcW w:w="5244" w:type="dxa"/>
            <w:vAlign w:val="center"/>
          </w:tcPr>
          <w:p w14:paraId="233A2706" w14:textId="3230258C" w:rsidR="00885611" w:rsidRPr="00B86006" w:rsidRDefault="001D52FF" w:rsidP="00BA4B82">
            <w:pPr>
              <w:autoSpaceDE w:val="0"/>
              <w:autoSpaceDN w:val="0"/>
              <w:adjustRightInd w:val="0"/>
              <w:rPr>
                <w:rFonts w:ascii="Arial" w:hAnsi="Arial" w:cs="Arial"/>
              </w:rPr>
            </w:pPr>
            <w:r>
              <w:rPr>
                <w:rFonts w:ascii="Arial" w:hAnsi="Arial" w:cs="Arial"/>
              </w:rPr>
              <w:t>P&amp;ID Diagram – NW PlasGas Demonstration Plant Subsystem 15</w:t>
            </w:r>
          </w:p>
        </w:tc>
      </w:tr>
      <w:tr w:rsidR="00885611" w:rsidRPr="002F5C7B" w14:paraId="69AF299D" w14:textId="77777777" w:rsidTr="0090569F">
        <w:trPr>
          <w:trHeight w:val="567"/>
        </w:trPr>
        <w:tc>
          <w:tcPr>
            <w:tcW w:w="993" w:type="dxa"/>
            <w:vAlign w:val="center"/>
          </w:tcPr>
          <w:p w14:paraId="18C088B8" w14:textId="454B3C2E" w:rsidR="00885611" w:rsidRDefault="00885611" w:rsidP="00885611">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03</w:t>
            </w:r>
          </w:p>
        </w:tc>
        <w:tc>
          <w:tcPr>
            <w:tcW w:w="3402" w:type="dxa"/>
            <w:vAlign w:val="center"/>
          </w:tcPr>
          <w:p w14:paraId="2D49AF72" w14:textId="3BE27AC9" w:rsidR="00885611" w:rsidRDefault="00AD7573" w:rsidP="00885611">
            <w:pPr>
              <w:pStyle w:val="Heading1"/>
              <w:spacing w:line="276" w:lineRule="auto"/>
              <w:ind w:left="0" w:firstLine="0"/>
              <w:jc w:val="left"/>
              <w:outlineLvl w:val="0"/>
              <w:rPr>
                <w:b w:val="0"/>
                <w:sz w:val="22"/>
              </w:rPr>
            </w:pPr>
            <w:r w:rsidRPr="00AD7573">
              <w:rPr>
                <w:b w:val="0"/>
                <w:sz w:val="22"/>
              </w:rPr>
              <w:t>ENS-NWPVR-PID-24003</w:t>
            </w:r>
          </w:p>
        </w:tc>
        <w:tc>
          <w:tcPr>
            <w:tcW w:w="5244" w:type="dxa"/>
            <w:vAlign w:val="center"/>
          </w:tcPr>
          <w:p w14:paraId="7EDC6F84" w14:textId="794B7D8D" w:rsidR="00885611" w:rsidRPr="00B86006" w:rsidRDefault="001D52FF" w:rsidP="00885611">
            <w:pPr>
              <w:autoSpaceDE w:val="0"/>
              <w:autoSpaceDN w:val="0"/>
              <w:adjustRightInd w:val="0"/>
              <w:rPr>
                <w:rFonts w:ascii="Arial" w:hAnsi="Arial" w:cs="Arial"/>
              </w:rPr>
            </w:pPr>
            <w:r>
              <w:rPr>
                <w:rFonts w:ascii="Arial" w:hAnsi="Arial" w:cs="Arial"/>
              </w:rPr>
              <w:t>P&amp;ID Diagram – NW PlasGas Demonstration Plant Subsystem 16</w:t>
            </w:r>
          </w:p>
        </w:tc>
      </w:tr>
      <w:tr w:rsidR="00C27953" w:rsidRPr="002F5C7B" w14:paraId="409C5384" w14:textId="77777777" w:rsidTr="0090569F">
        <w:trPr>
          <w:trHeight w:val="567"/>
        </w:trPr>
        <w:tc>
          <w:tcPr>
            <w:tcW w:w="993" w:type="dxa"/>
            <w:vAlign w:val="center"/>
          </w:tcPr>
          <w:p w14:paraId="4A49E012" w14:textId="3943FB92" w:rsidR="00C27953" w:rsidRDefault="00C27953"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07</w:t>
            </w:r>
          </w:p>
        </w:tc>
        <w:tc>
          <w:tcPr>
            <w:tcW w:w="3402" w:type="dxa"/>
            <w:vAlign w:val="center"/>
          </w:tcPr>
          <w:p w14:paraId="0F25E484" w14:textId="25DD705C" w:rsidR="00C27953" w:rsidRDefault="00AD7573" w:rsidP="00C27953">
            <w:pPr>
              <w:pStyle w:val="Heading1"/>
              <w:spacing w:line="276" w:lineRule="auto"/>
              <w:ind w:left="0" w:firstLine="0"/>
              <w:jc w:val="left"/>
              <w:outlineLvl w:val="0"/>
              <w:rPr>
                <w:b w:val="0"/>
                <w:sz w:val="22"/>
              </w:rPr>
            </w:pPr>
            <w:r w:rsidRPr="00AD7573">
              <w:rPr>
                <w:b w:val="0"/>
                <w:sz w:val="22"/>
              </w:rPr>
              <w:t>ENS-NWPVR-PID-24004</w:t>
            </w:r>
          </w:p>
        </w:tc>
        <w:tc>
          <w:tcPr>
            <w:tcW w:w="5244" w:type="dxa"/>
            <w:vAlign w:val="center"/>
          </w:tcPr>
          <w:p w14:paraId="3BBC447D" w14:textId="079FCC3D" w:rsidR="00C27953" w:rsidRDefault="00BE3822" w:rsidP="00C27953">
            <w:pPr>
              <w:autoSpaceDE w:val="0"/>
              <w:autoSpaceDN w:val="0"/>
              <w:adjustRightInd w:val="0"/>
              <w:rPr>
                <w:rFonts w:ascii="Arial" w:hAnsi="Arial" w:cs="Arial"/>
              </w:rPr>
            </w:pPr>
            <w:r>
              <w:rPr>
                <w:rFonts w:ascii="Arial" w:hAnsi="Arial" w:cs="Arial"/>
              </w:rPr>
              <w:t>P&amp;ID Diagram – NW PlasGas Demonstration Plant Subsystem 13</w:t>
            </w:r>
          </w:p>
        </w:tc>
      </w:tr>
      <w:tr w:rsidR="008F309B" w:rsidRPr="002F5C7B" w14:paraId="224DE9ED" w14:textId="77777777" w:rsidTr="0090569F">
        <w:trPr>
          <w:trHeight w:val="567"/>
        </w:trPr>
        <w:tc>
          <w:tcPr>
            <w:tcW w:w="993" w:type="dxa"/>
            <w:vAlign w:val="center"/>
          </w:tcPr>
          <w:p w14:paraId="03429481" w14:textId="71B0C62A" w:rsidR="008F309B" w:rsidRDefault="008F309B"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04</w:t>
            </w:r>
          </w:p>
        </w:tc>
        <w:tc>
          <w:tcPr>
            <w:tcW w:w="3402" w:type="dxa"/>
            <w:vAlign w:val="center"/>
          </w:tcPr>
          <w:p w14:paraId="2C47D40F" w14:textId="68122C80" w:rsidR="008F309B" w:rsidRDefault="00AD7573" w:rsidP="008F309B">
            <w:pPr>
              <w:pStyle w:val="Heading1"/>
              <w:spacing w:line="276" w:lineRule="auto"/>
              <w:ind w:left="0" w:firstLine="0"/>
              <w:jc w:val="left"/>
              <w:outlineLvl w:val="0"/>
              <w:rPr>
                <w:b w:val="0"/>
                <w:sz w:val="22"/>
              </w:rPr>
            </w:pPr>
            <w:r w:rsidRPr="00AD7573">
              <w:rPr>
                <w:b w:val="0"/>
                <w:sz w:val="22"/>
              </w:rPr>
              <w:t>ENS-NWPVR-PID-24005</w:t>
            </w:r>
          </w:p>
        </w:tc>
        <w:tc>
          <w:tcPr>
            <w:tcW w:w="5244" w:type="dxa"/>
            <w:vAlign w:val="center"/>
          </w:tcPr>
          <w:p w14:paraId="5A9F09F5" w14:textId="36F7DBAD" w:rsidR="008F309B" w:rsidRDefault="0072307E" w:rsidP="008F309B">
            <w:pPr>
              <w:autoSpaceDE w:val="0"/>
              <w:autoSpaceDN w:val="0"/>
              <w:adjustRightInd w:val="0"/>
              <w:rPr>
                <w:rFonts w:ascii="Arial" w:hAnsi="Arial" w:cs="Arial"/>
              </w:rPr>
            </w:pPr>
            <w:r>
              <w:rPr>
                <w:rFonts w:ascii="Arial" w:hAnsi="Arial" w:cs="Arial"/>
              </w:rPr>
              <w:t xml:space="preserve">P&amp;ID Diagram – NW PlasGas </w:t>
            </w:r>
            <w:r w:rsidR="004B5D18">
              <w:rPr>
                <w:rFonts w:ascii="Arial" w:hAnsi="Arial" w:cs="Arial"/>
              </w:rPr>
              <w:t>Demonstration</w:t>
            </w:r>
            <w:r>
              <w:rPr>
                <w:rFonts w:ascii="Arial" w:hAnsi="Arial" w:cs="Arial"/>
              </w:rPr>
              <w:t xml:space="preserve"> Plant Subsystem 14</w:t>
            </w:r>
          </w:p>
        </w:tc>
      </w:tr>
      <w:tr w:rsidR="008F309B" w:rsidRPr="002F5C7B" w14:paraId="0DBFE566" w14:textId="77777777" w:rsidTr="0090569F">
        <w:trPr>
          <w:trHeight w:val="567"/>
        </w:trPr>
        <w:tc>
          <w:tcPr>
            <w:tcW w:w="993" w:type="dxa"/>
            <w:vAlign w:val="center"/>
          </w:tcPr>
          <w:p w14:paraId="28FB6F9E" w14:textId="6D501902" w:rsidR="008F309B" w:rsidRDefault="008F309B"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05</w:t>
            </w:r>
          </w:p>
        </w:tc>
        <w:tc>
          <w:tcPr>
            <w:tcW w:w="3402" w:type="dxa"/>
            <w:vAlign w:val="center"/>
          </w:tcPr>
          <w:p w14:paraId="50F5BC57" w14:textId="4B4F811E" w:rsidR="008F309B" w:rsidRDefault="00676650" w:rsidP="008F309B">
            <w:pPr>
              <w:pStyle w:val="Heading1"/>
              <w:spacing w:line="276" w:lineRule="auto"/>
              <w:ind w:left="0" w:firstLine="0"/>
              <w:jc w:val="left"/>
              <w:outlineLvl w:val="0"/>
              <w:rPr>
                <w:b w:val="0"/>
                <w:sz w:val="22"/>
              </w:rPr>
            </w:pPr>
            <w:r w:rsidRPr="00676650">
              <w:rPr>
                <w:b w:val="0"/>
                <w:sz w:val="22"/>
              </w:rPr>
              <w:t>ENS-NWPVR-PID-24006</w:t>
            </w:r>
          </w:p>
        </w:tc>
        <w:tc>
          <w:tcPr>
            <w:tcW w:w="5244" w:type="dxa"/>
            <w:vAlign w:val="center"/>
          </w:tcPr>
          <w:p w14:paraId="7E473B6E" w14:textId="08E7C628" w:rsidR="008F309B" w:rsidRDefault="004D22C5" w:rsidP="008F309B">
            <w:pPr>
              <w:autoSpaceDE w:val="0"/>
              <w:autoSpaceDN w:val="0"/>
              <w:adjustRightInd w:val="0"/>
              <w:rPr>
                <w:rFonts w:ascii="Arial" w:hAnsi="Arial" w:cs="Arial"/>
              </w:rPr>
            </w:pPr>
            <w:r>
              <w:rPr>
                <w:rFonts w:ascii="Arial" w:hAnsi="Arial" w:cs="Arial"/>
              </w:rPr>
              <w:t>P&amp;ID Diagram – NW PlasGas Demonstration Plant Subsystem 12</w:t>
            </w:r>
          </w:p>
        </w:tc>
      </w:tr>
      <w:tr w:rsidR="00C27953" w:rsidRPr="002F5C7B" w14:paraId="1BC729C3" w14:textId="77777777" w:rsidTr="0090569F">
        <w:trPr>
          <w:trHeight w:val="567"/>
        </w:trPr>
        <w:tc>
          <w:tcPr>
            <w:tcW w:w="993" w:type="dxa"/>
            <w:vAlign w:val="center"/>
          </w:tcPr>
          <w:p w14:paraId="3EBCF58C" w14:textId="770D59EE" w:rsidR="00C27953" w:rsidRDefault="00C27953"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lastRenderedPageBreak/>
              <w:t>08</w:t>
            </w:r>
          </w:p>
        </w:tc>
        <w:tc>
          <w:tcPr>
            <w:tcW w:w="3402" w:type="dxa"/>
            <w:vAlign w:val="center"/>
          </w:tcPr>
          <w:p w14:paraId="7224DDCA" w14:textId="6AECFA23" w:rsidR="00C27953" w:rsidRDefault="00676650" w:rsidP="00C27953">
            <w:pPr>
              <w:pStyle w:val="Heading1"/>
              <w:spacing w:line="276" w:lineRule="auto"/>
              <w:ind w:left="0" w:firstLine="0"/>
              <w:jc w:val="left"/>
              <w:outlineLvl w:val="0"/>
              <w:rPr>
                <w:b w:val="0"/>
                <w:sz w:val="22"/>
              </w:rPr>
            </w:pPr>
            <w:r w:rsidRPr="00676650">
              <w:rPr>
                <w:b w:val="0"/>
                <w:sz w:val="22"/>
              </w:rPr>
              <w:t>ENS-NWPVR-PID-24012</w:t>
            </w:r>
          </w:p>
        </w:tc>
        <w:tc>
          <w:tcPr>
            <w:tcW w:w="5244" w:type="dxa"/>
            <w:vAlign w:val="center"/>
          </w:tcPr>
          <w:p w14:paraId="0B5D77BC" w14:textId="48922039" w:rsidR="00C27953" w:rsidRDefault="0086213B" w:rsidP="00C27953">
            <w:pPr>
              <w:autoSpaceDE w:val="0"/>
              <w:autoSpaceDN w:val="0"/>
              <w:adjustRightInd w:val="0"/>
              <w:rPr>
                <w:rFonts w:ascii="Arial" w:hAnsi="Arial" w:cs="Arial"/>
              </w:rPr>
            </w:pPr>
            <w:r>
              <w:rPr>
                <w:rFonts w:ascii="Arial" w:hAnsi="Arial" w:cs="Arial"/>
              </w:rPr>
              <w:t>P&amp;ID Diagram – NW PlasGas Demonstration Plant Subsystem 11 Glove Box</w:t>
            </w:r>
          </w:p>
        </w:tc>
      </w:tr>
      <w:tr w:rsidR="00676650" w:rsidRPr="002F5C7B" w14:paraId="1E60BB2E" w14:textId="77777777" w:rsidTr="0090569F">
        <w:trPr>
          <w:trHeight w:val="567"/>
        </w:trPr>
        <w:tc>
          <w:tcPr>
            <w:tcW w:w="993" w:type="dxa"/>
            <w:vAlign w:val="center"/>
          </w:tcPr>
          <w:p w14:paraId="11969EFD" w14:textId="26112817" w:rsidR="00676650" w:rsidRDefault="00676650"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09</w:t>
            </w:r>
          </w:p>
        </w:tc>
        <w:tc>
          <w:tcPr>
            <w:tcW w:w="3402" w:type="dxa"/>
            <w:vAlign w:val="center"/>
          </w:tcPr>
          <w:p w14:paraId="5A5DFAC5" w14:textId="1727A3A4" w:rsidR="00676650" w:rsidRPr="00676650" w:rsidRDefault="00676650" w:rsidP="00C27953">
            <w:pPr>
              <w:pStyle w:val="Heading1"/>
              <w:spacing w:line="276" w:lineRule="auto"/>
              <w:ind w:left="0" w:firstLine="0"/>
              <w:jc w:val="left"/>
              <w:outlineLvl w:val="0"/>
              <w:rPr>
                <w:b w:val="0"/>
                <w:sz w:val="22"/>
              </w:rPr>
            </w:pPr>
            <w:r w:rsidRPr="00676650">
              <w:rPr>
                <w:b w:val="0"/>
                <w:sz w:val="22"/>
              </w:rPr>
              <w:t>ENS-NWPVR-PID-24014</w:t>
            </w:r>
          </w:p>
        </w:tc>
        <w:tc>
          <w:tcPr>
            <w:tcW w:w="5244" w:type="dxa"/>
            <w:vAlign w:val="center"/>
          </w:tcPr>
          <w:p w14:paraId="626A2D82" w14:textId="2BEAB3DC" w:rsidR="00676650" w:rsidRDefault="007F3911" w:rsidP="00C27953">
            <w:pPr>
              <w:autoSpaceDE w:val="0"/>
              <w:autoSpaceDN w:val="0"/>
              <w:adjustRightInd w:val="0"/>
              <w:rPr>
                <w:rFonts w:ascii="Arial" w:hAnsi="Arial" w:cs="Arial"/>
              </w:rPr>
            </w:pPr>
            <w:r>
              <w:rPr>
                <w:rFonts w:ascii="Arial" w:hAnsi="Arial" w:cs="Arial"/>
              </w:rPr>
              <w:t>P&amp;ID Diagram – Compressed Air Supply To LAB 150 &amp; LAB 131</w:t>
            </w:r>
          </w:p>
        </w:tc>
      </w:tr>
      <w:tr w:rsidR="008F309B" w:rsidRPr="002F5C7B" w14:paraId="5CC6A614" w14:textId="77777777" w:rsidTr="0090569F">
        <w:trPr>
          <w:trHeight w:val="567"/>
        </w:trPr>
        <w:tc>
          <w:tcPr>
            <w:tcW w:w="993" w:type="dxa"/>
            <w:vAlign w:val="center"/>
          </w:tcPr>
          <w:p w14:paraId="114A4329" w14:textId="274A2771" w:rsidR="008F309B" w:rsidRDefault="00676650"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10</w:t>
            </w:r>
          </w:p>
        </w:tc>
        <w:tc>
          <w:tcPr>
            <w:tcW w:w="3402" w:type="dxa"/>
            <w:vAlign w:val="center"/>
          </w:tcPr>
          <w:p w14:paraId="68FF3B48" w14:textId="7EB19345" w:rsidR="008F309B" w:rsidRDefault="00676650" w:rsidP="008F309B">
            <w:pPr>
              <w:pStyle w:val="Heading1"/>
              <w:spacing w:line="276" w:lineRule="auto"/>
              <w:ind w:left="0" w:firstLine="0"/>
              <w:jc w:val="left"/>
              <w:outlineLvl w:val="0"/>
              <w:rPr>
                <w:b w:val="0"/>
                <w:sz w:val="22"/>
              </w:rPr>
            </w:pPr>
            <w:r w:rsidRPr="00676650">
              <w:rPr>
                <w:b w:val="0"/>
                <w:sz w:val="22"/>
              </w:rPr>
              <w:t>ENS-NWPVR-PID-24015</w:t>
            </w:r>
          </w:p>
        </w:tc>
        <w:tc>
          <w:tcPr>
            <w:tcW w:w="5244" w:type="dxa"/>
            <w:vAlign w:val="center"/>
          </w:tcPr>
          <w:p w14:paraId="22922C9F" w14:textId="57C5EDA4" w:rsidR="008F309B" w:rsidRDefault="00676650" w:rsidP="008F309B">
            <w:pPr>
              <w:autoSpaceDE w:val="0"/>
              <w:autoSpaceDN w:val="0"/>
              <w:adjustRightInd w:val="0"/>
              <w:rPr>
                <w:rFonts w:ascii="Arial" w:hAnsi="Arial" w:cs="Arial"/>
              </w:rPr>
            </w:pPr>
            <w:r>
              <w:rPr>
                <w:rFonts w:ascii="Arial" w:hAnsi="Arial" w:cs="Arial"/>
              </w:rPr>
              <w:t>P&amp;ID Diagram – Gas Sampling System Subsystem 18</w:t>
            </w:r>
          </w:p>
        </w:tc>
      </w:tr>
    </w:tbl>
    <w:p w14:paraId="2596AF52" w14:textId="484F5D10" w:rsidR="003B5BB2"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7B20FC6" w14:textId="77777777" w:rsidR="002F5C7B" w:rsidRPr="002F5C7B" w:rsidRDefault="002F5C7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1E7F96"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2F5C7B" w:rsidRDefault="00F9542C" w:rsidP="00837B3F">
      <w:pPr>
        <w:pStyle w:val="ListParagraph"/>
        <w:keepNext/>
        <w:numPr>
          <w:ilvl w:val="0"/>
          <w:numId w:val="3"/>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837B3F">
      <w:pPr>
        <w:keepNext/>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p>
    <w:p w14:paraId="6E9DF9D4"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should include additional cost elements such as freight, 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432E4963"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61C22FEF" w14:textId="7851F741" w:rsidR="0090510D" w:rsidRPr="002F5C7B" w:rsidRDefault="0090510D"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No pre-payment allowed</w:t>
      </w:r>
    </w:p>
    <w:p w14:paraId="3B4B1655" w14:textId="57EA7AB5" w:rsidR="00725B31" w:rsidRDefault="00725B31" w:rsidP="001A799E">
      <w:pPr>
        <w:widowControl w:val="0"/>
        <w:tabs>
          <w:tab w:val="left" w:pos="2552"/>
        </w:tabs>
        <w:autoSpaceDE w:val="0"/>
        <w:autoSpaceDN w:val="0"/>
        <w:adjustRightInd w:val="0"/>
        <w:spacing w:after="0"/>
        <w:jc w:val="both"/>
        <w:rPr>
          <w:rFonts w:eastAsia="Times New Roman" w:cstheme="minorHAnsi"/>
          <w:color w:val="000000"/>
          <w:w w:val="105"/>
        </w:rPr>
      </w:pPr>
    </w:p>
    <w:p w14:paraId="51757034" w14:textId="77777777" w:rsidR="004F3022" w:rsidRPr="00A44540" w:rsidRDefault="004F3022"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C27953">
      <w:pPr>
        <w:pStyle w:val="ListParagraph"/>
        <w:keepNext/>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C27953">
      <w:pPr>
        <w:pStyle w:val="ListParagraph"/>
        <w:keepNext/>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9E3142">
      <w:pPr>
        <w:pStyle w:val="ListParagraph"/>
        <w:numPr>
          <w:ilvl w:val="1"/>
          <w:numId w:val="3"/>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358E0ADB" w14:textId="77777777" w:rsidR="00BE3C26" w:rsidRPr="00BE3C26" w:rsidRDefault="00BE3C26" w:rsidP="00BE3C26">
      <w:pPr>
        <w:spacing w:before="240"/>
        <w:jc w:val="both"/>
        <w:rPr>
          <w:rFonts w:ascii="Arial" w:hAnsi="Arial" w:cs="Arial"/>
          <w:color w:val="000000"/>
        </w:rPr>
      </w:pPr>
      <w:r w:rsidRPr="00BE3C26">
        <w:rPr>
          <w:rFonts w:ascii="Arial" w:hAnsi="Arial" w:cs="Arial"/>
          <w:color w:val="000000"/>
        </w:rPr>
        <w:t>Where functional or technical evaluation criterion is applicable, assessment will be performed in terms of the criterion listed below and the criterion may include Technical, Performance, Quality and Risk.</w:t>
      </w:r>
    </w:p>
    <w:p w14:paraId="25434FA6" w14:textId="77777777" w:rsidR="00BE3C26" w:rsidRPr="00BE3C26" w:rsidRDefault="00BE3C26" w:rsidP="00BE3C26">
      <w:pPr>
        <w:spacing w:before="240"/>
        <w:jc w:val="both"/>
        <w:rPr>
          <w:rFonts w:ascii="Arial" w:hAnsi="Arial" w:cs="Arial"/>
          <w:color w:val="000000"/>
        </w:rPr>
      </w:pPr>
      <w:r w:rsidRPr="00BE3C26">
        <w:rPr>
          <w:rFonts w:ascii="Arial" w:hAnsi="Arial" w:cs="Arial"/>
          <w:color w:val="000000"/>
        </w:rPr>
        <w:t>If the Bidder’s response to the Technical templates does not indicate that the Bidder can support an acceptable technical solution, the Bidder’s response will be rejected and not evaluated further.</w:t>
      </w:r>
    </w:p>
    <w:p w14:paraId="46C6AFFF" w14:textId="22534FD9" w:rsidR="00AB42EC" w:rsidRPr="0028213E" w:rsidRDefault="00BE3C26" w:rsidP="00BE3C26">
      <w:pPr>
        <w:spacing w:before="240"/>
        <w:jc w:val="both"/>
        <w:rPr>
          <w:rFonts w:ascii="Arial" w:hAnsi="Arial" w:cs="Arial"/>
        </w:rPr>
      </w:pPr>
      <w:r w:rsidRPr="00BE3C26">
        <w:rPr>
          <w:rFonts w:ascii="Arial" w:hAnsi="Arial" w:cs="Arial"/>
          <w:color w:val="000000"/>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r w:rsidR="002F70F7" w:rsidRPr="0028213E">
        <w:rPr>
          <w:rFonts w:ascii="Arial" w:hAnsi="Arial" w:cs="Arial"/>
        </w:rPr>
        <w:t>.</w:t>
      </w:r>
    </w:p>
    <w:p w14:paraId="33B7D626" w14:textId="48D8763C" w:rsidR="003B35B2" w:rsidRDefault="006434D7" w:rsidP="00D40FB7">
      <w:pPr>
        <w:spacing w:before="240" w:line="240" w:lineRule="auto"/>
        <w:jc w:val="both"/>
        <w:rPr>
          <w:rFonts w:ascii="Arial" w:hAnsi="Arial" w:cs="Arial"/>
        </w:rPr>
      </w:pPr>
      <w:r w:rsidRPr="0028213E">
        <w:rPr>
          <w:rFonts w:ascii="Arial" w:hAnsi="Arial" w:cs="Arial"/>
        </w:rPr>
        <w:t>The quotations will be evaluated according to the following selection criteria (based on information requested above):</w:t>
      </w:r>
    </w:p>
    <w:p w14:paraId="333CAE72" w14:textId="640B7FB0" w:rsidR="0090569F" w:rsidRDefault="0090569F" w:rsidP="00837B3F">
      <w:pPr>
        <w:keepNext/>
        <w:spacing w:before="360" w:after="360" w:line="240" w:lineRule="auto"/>
        <w:jc w:val="both"/>
        <w:rPr>
          <w:rFonts w:ascii="Arial" w:hAnsi="Arial" w:cs="Arial"/>
        </w:rPr>
      </w:pPr>
      <w:r w:rsidRPr="00D7771C">
        <w:rPr>
          <w:rFonts w:ascii="Arial" w:hAnsi="Arial" w:cs="Arial"/>
          <w:b/>
          <w:bCs/>
          <w:u w:val="single"/>
        </w:rPr>
        <w:lastRenderedPageBreak/>
        <w:t>NOTE</w:t>
      </w:r>
      <w:r w:rsidRPr="00D7771C">
        <w:rPr>
          <w:rFonts w:ascii="Arial" w:hAnsi="Arial" w:cs="Arial"/>
          <w:b/>
          <w:bCs/>
        </w:rPr>
        <w:t xml:space="preserve">: ONLY INFORMATION PROVIDED BY THE SUPPLIER RELATING TO THE </w:t>
      </w:r>
      <w:r>
        <w:rPr>
          <w:rFonts w:ascii="Arial" w:hAnsi="Arial" w:cs="Arial"/>
          <w:b/>
          <w:bCs/>
        </w:rPr>
        <w:t>SUPPLY</w:t>
      </w:r>
      <w:r w:rsidRPr="00D7771C">
        <w:rPr>
          <w:rFonts w:ascii="Arial" w:hAnsi="Arial" w:cs="Arial"/>
          <w:b/>
          <w:bCs/>
        </w:rPr>
        <w:t xml:space="preserve"> OF </w:t>
      </w:r>
      <w:r w:rsidR="005723E1">
        <w:rPr>
          <w:rFonts w:ascii="Arial" w:hAnsi="Arial" w:cs="Arial"/>
          <w:b/>
          <w:bCs/>
        </w:rPr>
        <w:t xml:space="preserve">CONTROL </w:t>
      </w:r>
      <w:r>
        <w:rPr>
          <w:rFonts w:ascii="Arial" w:hAnsi="Arial" w:cs="Arial"/>
          <w:b/>
          <w:bCs/>
        </w:rPr>
        <w:t>VALVES OR RELATED COMPONENTS</w:t>
      </w:r>
      <w:r w:rsidRPr="00D7771C">
        <w:rPr>
          <w:rFonts w:ascii="Arial" w:hAnsi="Arial" w:cs="Arial"/>
          <w:b/>
          <w:bCs/>
        </w:rPr>
        <w:t xml:space="preserve"> WILL BE CONSIDERED IN THIS EVALUATION.</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D6192D" w14:paraId="17C038F2" w14:textId="77777777" w:rsidTr="0057344B">
        <w:trPr>
          <w:cantSplit/>
          <w:tblHeader/>
        </w:trPr>
        <w:tc>
          <w:tcPr>
            <w:tcW w:w="345" w:type="pct"/>
            <w:shd w:val="clear" w:color="auto" w:fill="DDD9C3" w:themeFill="background2" w:themeFillShade="E6"/>
          </w:tcPr>
          <w:p w14:paraId="5FCD5EEB"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Item</w:t>
            </w:r>
          </w:p>
        </w:tc>
        <w:tc>
          <w:tcPr>
            <w:tcW w:w="1857" w:type="pct"/>
            <w:shd w:val="clear" w:color="auto" w:fill="DDD9C3" w:themeFill="background2" w:themeFillShade="E6"/>
          </w:tcPr>
          <w:p w14:paraId="64BF44D8"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Requirement</w:t>
            </w:r>
          </w:p>
        </w:tc>
        <w:tc>
          <w:tcPr>
            <w:tcW w:w="500" w:type="pct"/>
            <w:shd w:val="clear" w:color="auto" w:fill="DDD9C3" w:themeFill="background2" w:themeFillShade="E6"/>
          </w:tcPr>
          <w:p w14:paraId="18C10CC1"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Weight</w:t>
            </w:r>
          </w:p>
        </w:tc>
        <w:tc>
          <w:tcPr>
            <w:tcW w:w="453" w:type="pct"/>
            <w:shd w:val="clear" w:color="auto" w:fill="DDD9C3" w:themeFill="background2" w:themeFillShade="E6"/>
          </w:tcPr>
          <w:p w14:paraId="41130C60"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Points</w:t>
            </w:r>
          </w:p>
        </w:tc>
        <w:tc>
          <w:tcPr>
            <w:tcW w:w="1845" w:type="pct"/>
            <w:shd w:val="clear" w:color="auto" w:fill="DDD9C3" w:themeFill="background2" w:themeFillShade="E6"/>
          </w:tcPr>
          <w:p w14:paraId="12CE8490"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Criteria</w:t>
            </w:r>
          </w:p>
        </w:tc>
      </w:tr>
      <w:tr w:rsidR="00052534" w:rsidRPr="00D6192D" w14:paraId="7B0EDBFB" w14:textId="77777777" w:rsidTr="00BA4B82">
        <w:trPr>
          <w:cantSplit/>
          <w:trHeight w:val="180"/>
        </w:trPr>
        <w:tc>
          <w:tcPr>
            <w:tcW w:w="345" w:type="pct"/>
            <w:vAlign w:val="center"/>
          </w:tcPr>
          <w:p w14:paraId="44554AF8" w14:textId="77777777" w:rsidR="00052534" w:rsidRPr="00D6192D" w:rsidRDefault="00052534" w:rsidP="00BA4B82">
            <w:pPr>
              <w:pStyle w:val="aDSPara"/>
              <w:spacing w:before="60" w:after="60"/>
              <w:ind w:left="0"/>
              <w:jc w:val="center"/>
              <w:rPr>
                <w:rFonts w:eastAsia="MS Mincho" w:cs="Arial"/>
                <w:sz w:val="20"/>
                <w:szCs w:val="20"/>
              </w:rPr>
            </w:pPr>
            <w:r w:rsidRPr="00D6192D">
              <w:rPr>
                <w:rFonts w:eastAsia="MS Mincho" w:cs="Arial"/>
                <w:sz w:val="20"/>
                <w:szCs w:val="20"/>
              </w:rPr>
              <w:t>1</w:t>
            </w:r>
          </w:p>
        </w:tc>
        <w:tc>
          <w:tcPr>
            <w:tcW w:w="1857" w:type="pct"/>
            <w:vAlign w:val="center"/>
          </w:tcPr>
          <w:p w14:paraId="1A9DB1BC" w14:textId="77777777" w:rsidR="00BA4B82" w:rsidRPr="00D6192D" w:rsidRDefault="00BA4B82" w:rsidP="00BA4B82">
            <w:pPr>
              <w:spacing w:before="240"/>
              <w:rPr>
                <w:rFonts w:ascii="Arial" w:hAnsi="Arial" w:cs="Arial"/>
                <w:b/>
                <w:sz w:val="20"/>
                <w:szCs w:val="20"/>
                <w:lang w:val="en-US"/>
              </w:rPr>
            </w:pPr>
            <w:r w:rsidRPr="00D6192D">
              <w:rPr>
                <w:rFonts w:ascii="Arial" w:hAnsi="Arial" w:cs="Arial"/>
                <w:b/>
                <w:sz w:val="20"/>
                <w:szCs w:val="20"/>
                <w:lang w:val="en-US"/>
              </w:rPr>
              <w:t>Quality of Product</w:t>
            </w:r>
          </w:p>
          <w:p w14:paraId="1729E8A2" w14:textId="19417B44" w:rsidR="00052534" w:rsidRPr="00D6192D" w:rsidRDefault="00052534" w:rsidP="00BA4B82">
            <w:pPr>
              <w:spacing w:before="240"/>
              <w:rPr>
                <w:rFonts w:ascii="Arial" w:hAnsi="Arial" w:cs="Arial"/>
                <w:b/>
                <w:sz w:val="20"/>
                <w:szCs w:val="20"/>
                <w:lang w:val="en-US"/>
              </w:rPr>
            </w:pPr>
            <w:r w:rsidRPr="00D6192D">
              <w:rPr>
                <w:rFonts w:ascii="Arial" w:hAnsi="Arial" w:cs="Arial"/>
                <w:b/>
                <w:sz w:val="20"/>
                <w:szCs w:val="20"/>
                <w:lang w:val="en-US"/>
              </w:rPr>
              <w:t xml:space="preserve">ISO 9001: </w:t>
            </w:r>
            <w:r w:rsidRPr="00D6192D">
              <w:rPr>
                <w:rFonts w:ascii="Arial" w:hAnsi="Arial" w:cs="Arial"/>
                <w:b/>
                <w:sz w:val="20"/>
                <w:szCs w:val="20"/>
              </w:rPr>
              <w:t xml:space="preserve">2015 (or latest) </w:t>
            </w:r>
            <w:r w:rsidRPr="00D6192D">
              <w:rPr>
                <w:rFonts w:ascii="Arial" w:hAnsi="Arial" w:cs="Arial"/>
                <w:b/>
                <w:sz w:val="20"/>
                <w:szCs w:val="20"/>
                <w:lang w:val="en-US"/>
              </w:rPr>
              <w:t>accredit</w:t>
            </w:r>
            <w:r w:rsidR="00BA4B82" w:rsidRPr="00D6192D">
              <w:rPr>
                <w:rFonts w:ascii="Arial" w:hAnsi="Arial" w:cs="Arial"/>
                <w:b/>
                <w:sz w:val="20"/>
                <w:szCs w:val="20"/>
                <w:lang w:val="en-US"/>
              </w:rPr>
              <w:t>ation</w:t>
            </w:r>
          </w:p>
          <w:p w14:paraId="3DCE4ED7" w14:textId="3C58C2FB" w:rsidR="00052534" w:rsidRPr="00D6192D" w:rsidRDefault="00052534" w:rsidP="00BA4B82">
            <w:pPr>
              <w:spacing w:before="240"/>
              <w:rPr>
                <w:rFonts w:ascii="Arial" w:hAnsi="Arial" w:cs="Arial"/>
                <w:sz w:val="20"/>
                <w:szCs w:val="20"/>
              </w:rPr>
            </w:pPr>
            <w:r w:rsidRPr="00D6192D">
              <w:rPr>
                <w:rFonts w:ascii="Arial" w:hAnsi="Arial" w:cs="Arial"/>
                <w:sz w:val="20"/>
                <w:szCs w:val="20"/>
                <w:lang w:val="en-US"/>
              </w:rPr>
              <w:t>Supplier must provide evidence (ISO</w:t>
            </w:r>
            <w:r w:rsidR="00BA4B82" w:rsidRPr="00D6192D">
              <w:rPr>
                <w:rFonts w:ascii="Arial" w:hAnsi="Arial" w:cs="Arial"/>
                <w:sz w:val="20"/>
                <w:szCs w:val="20"/>
                <w:lang w:val="en-US"/>
              </w:rPr>
              <w:t> </w:t>
            </w:r>
            <w:r w:rsidRPr="00D6192D">
              <w:rPr>
                <w:rFonts w:ascii="Arial" w:hAnsi="Arial" w:cs="Arial"/>
                <w:sz w:val="20"/>
                <w:szCs w:val="20"/>
                <w:lang w:val="en-US"/>
              </w:rPr>
              <w:t xml:space="preserve">9001 certificate) </w:t>
            </w:r>
          </w:p>
        </w:tc>
        <w:tc>
          <w:tcPr>
            <w:tcW w:w="500" w:type="pct"/>
            <w:vAlign w:val="center"/>
          </w:tcPr>
          <w:p w14:paraId="2EB36C97" w14:textId="4B9837CE" w:rsidR="00052534" w:rsidRPr="00D6192D" w:rsidRDefault="00B24EAE" w:rsidP="0057344B">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4</w:t>
            </w:r>
            <w:r w:rsidR="00052534" w:rsidRPr="00D6192D">
              <w:rPr>
                <w:rFonts w:eastAsia="MS Mincho" w:cs="Arial"/>
                <w:bCs/>
                <w:color w:val="000000"/>
                <w:sz w:val="20"/>
                <w:szCs w:val="20"/>
              </w:rPr>
              <w:t>0</w:t>
            </w:r>
          </w:p>
        </w:tc>
        <w:tc>
          <w:tcPr>
            <w:tcW w:w="453" w:type="pct"/>
            <w:vAlign w:val="center"/>
          </w:tcPr>
          <w:p w14:paraId="3459B892" w14:textId="29A1AF7B" w:rsidR="00052534" w:rsidRPr="00D6192D" w:rsidRDefault="00B24EAE" w:rsidP="0057344B">
            <w:pPr>
              <w:pStyle w:val="aDSPara"/>
              <w:spacing w:before="60" w:after="60"/>
              <w:ind w:left="0"/>
              <w:jc w:val="center"/>
              <w:rPr>
                <w:rFonts w:eastAsia="MS Mincho" w:cs="Arial"/>
                <w:sz w:val="20"/>
                <w:szCs w:val="20"/>
              </w:rPr>
            </w:pPr>
            <w:r w:rsidRPr="00D6192D">
              <w:rPr>
                <w:rFonts w:eastAsia="MS Mincho" w:cs="Arial"/>
                <w:sz w:val="20"/>
                <w:szCs w:val="20"/>
              </w:rPr>
              <w:t>4</w:t>
            </w:r>
            <w:r w:rsidR="00052534" w:rsidRPr="00D6192D">
              <w:rPr>
                <w:rFonts w:eastAsia="MS Mincho" w:cs="Arial"/>
                <w:sz w:val="20"/>
                <w:szCs w:val="20"/>
              </w:rPr>
              <w:t>0</w:t>
            </w:r>
          </w:p>
        </w:tc>
        <w:tc>
          <w:tcPr>
            <w:tcW w:w="1845" w:type="pct"/>
            <w:vAlign w:val="center"/>
          </w:tcPr>
          <w:p w14:paraId="710A791A" w14:textId="00228DB7" w:rsidR="00052534" w:rsidRPr="00D6192D" w:rsidRDefault="00052534" w:rsidP="00BA4B82">
            <w:pPr>
              <w:pStyle w:val="aDSPara"/>
              <w:spacing w:before="60" w:after="60"/>
              <w:ind w:left="0"/>
              <w:jc w:val="left"/>
              <w:rPr>
                <w:rFonts w:cs="Arial"/>
                <w:b/>
                <w:bCs/>
                <w:sz w:val="20"/>
                <w:szCs w:val="20"/>
              </w:rPr>
            </w:pPr>
            <w:r w:rsidRPr="00D6192D">
              <w:rPr>
                <w:rFonts w:cs="Arial"/>
                <w:sz w:val="20"/>
                <w:szCs w:val="20"/>
              </w:rPr>
              <w:t xml:space="preserve">ISO 9001 accreditation </w:t>
            </w:r>
            <w:r w:rsidR="00BA4B82" w:rsidRPr="00D6192D">
              <w:rPr>
                <w:rFonts w:cs="Arial"/>
                <w:sz w:val="20"/>
                <w:szCs w:val="20"/>
              </w:rPr>
              <w:t>as a</w:t>
            </w:r>
            <w:r w:rsidRPr="00D6192D">
              <w:rPr>
                <w:rFonts w:cs="Arial"/>
                <w:bCs/>
                <w:sz w:val="20"/>
                <w:szCs w:val="20"/>
              </w:rPr>
              <w:t xml:space="preserve"> supplier of the required products.</w:t>
            </w:r>
            <w:r w:rsidRPr="00D6192D">
              <w:rPr>
                <w:rFonts w:cs="Arial"/>
                <w:b/>
                <w:bCs/>
                <w:sz w:val="20"/>
                <w:szCs w:val="20"/>
              </w:rPr>
              <w:t xml:space="preserve"> </w:t>
            </w:r>
          </w:p>
          <w:p w14:paraId="39D4BFE6" w14:textId="77777777" w:rsidR="00052534" w:rsidRPr="00D6192D" w:rsidRDefault="00052534" w:rsidP="00BA4B82">
            <w:pPr>
              <w:pStyle w:val="aDSPara"/>
              <w:spacing w:before="60" w:after="60"/>
              <w:ind w:left="0"/>
              <w:jc w:val="left"/>
              <w:rPr>
                <w:rFonts w:cs="Arial"/>
                <w:b/>
                <w:bCs/>
                <w:sz w:val="20"/>
                <w:szCs w:val="20"/>
              </w:rPr>
            </w:pPr>
            <w:r w:rsidRPr="00D6192D">
              <w:rPr>
                <w:rFonts w:cs="Arial"/>
                <w:b/>
                <w:bCs/>
                <w:sz w:val="20"/>
                <w:szCs w:val="20"/>
              </w:rPr>
              <w:t>OR</w:t>
            </w:r>
          </w:p>
          <w:p w14:paraId="31D2B24C" w14:textId="1983C146" w:rsidR="00052534" w:rsidRPr="00D6192D" w:rsidRDefault="00052534" w:rsidP="0015481C">
            <w:pPr>
              <w:pStyle w:val="aDSPara"/>
              <w:spacing w:before="60" w:after="60"/>
              <w:ind w:left="0"/>
              <w:jc w:val="left"/>
              <w:rPr>
                <w:rFonts w:cs="Arial"/>
                <w:bCs/>
                <w:color w:val="FF0000"/>
                <w:sz w:val="20"/>
                <w:szCs w:val="20"/>
              </w:rPr>
            </w:pPr>
            <w:r w:rsidRPr="00D6192D">
              <w:rPr>
                <w:rFonts w:cs="Arial"/>
                <w:bCs/>
                <w:sz w:val="20"/>
                <w:szCs w:val="20"/>
              </w:rPr>
              <w:t xml:space="preserve">ISO 9001 accreditation of OEM </w:t>
            </w:r>
          </w:p>
        </w:tc>
      </w:tr>
      <w:tr w:rsidR="00052534" w:rsidRPr="00D6192D" w14:paraId="3E37456F" w14:textId="77777777" w:rsidTr="00BA4B82">
        <w:trPr>
          <w:cantSplit/>
          <w:trHeight w:val="702"/>
        </w:trPr>
        <w:tc>
          <w:tcPr>
            <w:tcW w:w="345" w:type="pct"/>
            <w:vMerge w:val="restart"/>
            <w:vAlign w:val="center"/>
          </w:tcPr>
          <w:p w14:paraId="01AF9734" w14:textId="48A346D3"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2 </w:t>
            </w:r>
          </w:p>
        </w:tc>
        <w:tc>
          <w:tcPr>
            <w:tcW w:w="1857" w:type="pct"/>
            <w:vMerge w:val="restart"/>
            <w:vAlign w:val="center"/>
          </w:tcPr>
          <w:p w14:paraId="4848673A" w14:textId="77777777" w:rsidR="00052534" w:rsidRPr="00D6192D" w:rsidRDefault="00052534" w:rsidP="00BA4B82">
            <w:pPr>
              <w:spacing w:before="240"/>
              <w:rPr>
                <w:rFonts w:ascii="Arial" w:hAnsi="Arial" w:cs="Arial"/>
                <w:b/>
                <w:sz w:val="20"/>
                <w:szCs w:val="20"/>
                <w:lang w:val="en-US"/>
              </w:rPr>
            </w:pPr>
            <w:r w:rsidRPr="00D6192D">
              <w:rPr>
                <w:rFonts w:ascii="Arial" w:hAnsi="Arial" w:cs="Arial"/>
                <w:b/>
                <w:sz w:val="20"/>
                <w:szCs w:val="20"/>
                <w:lang w:val="en-US"/>
              </w:rPr>
              <w:t>Supplier lead-time</w:t>
            </w:r>
          </w:p>
          <w:p w14:paraId="34A1BA75" w14:textId="343CDD05" w:rsidR="00052534" w:rsidRPr="00D6192D" w:rsidRDefault="00052534" w:rsidP="00BA4B82">
            <w:pPr>
              <w:spacing w:before="240"/>
              <w:rPr>
                <w:rFonts w:ascii="Arial" w:hAnsi="Arial" w:cs="Arial"/>
                <w:sz w:val="20"/>
                <w:szCs w:val="20"/>
                <w:lang w:val="en-US"/>
              </w:rPr>
            </w:pPr>
            <w:r w:rsidRPr="00D6192D">
              <w:rPr>
                <w:rFonts w:ascii="Arial" w:hAnsi="Arial" w:cs="Arial"/>
                <w:sz w:val="20"/>
                <w:szCs w:val="20"/>
                <w:lang w:val="en-US"/>
              </w:rPr>
              <w:t>Supplier must specify lead-time</w:t>
            </w:r>
          </w:p>
        </w:tc>
        <w:tc>
          <w:tcPr>
            <w:tcW w:w="500" w:type="pct"/>
            <w:vMerge w:val="restart"/>
            <w:vAlign w:val="center"/>
          </w:tcPr>
          <w:p w14:paraId="3B7AD83F" w14:textId="5FFD3B15" w:rsidR="00052534" w:rsidRPr="00D6192D" w:rsidRDefault="00BA4B82" w:rsidP="00BA4B82">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 xml:space="preserve">30 </w:t>
            </w:r>
          </w:p>
        </w:tc>
        <w:tc>
          <w:tcPr>
            <w:tcW w:w="453" w:type="pct"/>
            <w:vAlign w:val="center"/>
          </w:tcPr>
          <w:p w14:paraId="72C6B623" w14:textId="285E556E"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30 </w:t>
            </w:r>
          </w:p>
        </w:tc>
        <w:tc>
          <w:tcPr>
            <w:tcW w:w="1845" w:type="pct"/>
          </w:tcPr>
          <w:p w14:paraId="4C4640F8"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4 weeks of issue of Purchase Order</w:t>
            </w:r>
          </w:p>
        </w:tc>
      </w:tr>
      <w:tr w:rsidR="00052534" w:rsidRPr="00D6192D" w14:paraId="0334DDAE" w14:textId="77777777" w:rsidTr="0057344B">
        <w:trPr>
          <w:cantSplit/>
          <w:trHeight w:val="180"/>
        </w:trPr>
        <w:tc>
          <w:tcPr>
            <w:tcW w:w="345" w:type="pct"/>
            <w:vMerge/>
            <w:vAlign w:val="center"/>
          </w:tcPr>
          <w:p w14:paraId="696F76E8" w14:textId="77777777" w:rsidR="00052534" w:rsidRPr="00D6192D" w:rsidRDefault="00052534" w:rsidP="0057344B">
            <w:pPr>
              <w:pStyle w:val="aDSPara"/>
              <w:spacing w:before="60" w:after="60"/>
              <w:ind w:left="0"/>
              <w:jc w:val="center"/>
              <w:rPr>
                <w:rFonts w:eastAsia="MS Mincho" w:cs="Arial"/>
                <w:sz w:val="20"/>
                <w:szCs w:val="20"/>
              </w:rPr>
            </w:pPr>
          </w:p>
        </w:tc>
        <w:tc>
          <w:tcPr>
            <w:tcW w:w="1857" w:type="pct"/>
            <w:vMerge/>
          </w:tcPr>
          <w:p w14:paraId="74319C56" w14:textId="77777777" w:rsidR="00052534" w:rsidRPr="00D6192D" w:rsidRDefault="00052534" w:rsidP="0057344B">
            <w:pPr>
              <w:spacing w:before="240"/>
              <w:rPr>
                <w:rFonts w:ascii="Arial" w:hAnsi="Arial" w:cs="Arial"/>
                <w:sz w:val="20"/>
                <w:szCs w:val="20"/>
                <w:lang w:val="en-US"/>
              </w:rPr>
            </w:pPr>
          </w:p>
        </w:tc>
        <w:tc>
          <w:tcPr>
            <w:tcW w:w="500" w:type="pct"/>
            <w:vMerge/>
            <w:vAlign w:val="center"/>
          </w:tcPr>
          <w:p w14:paraId="2E478B53" w14:textId="77777777" w:rsidR="00052534" w:rsidRPr="00D6192D"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09B8C134" w14:textId="3D937D46" w:rsidR="00052534" w:rsidRPr="00D6192D" w:rsidRDefault="00B24EAE" w:rsidP="00B24EAE">
            <w:pPr>
              <w:pStyle w:val="aDSPara"/>
              <w:spacing w:before="60" w:after="60"/>
              <w:ind w:left="0"/>
              <w:jc w:val="center"/>
              <w:rPr>
                <w:rFonts w:eastAsia="MS Mincho" w:cs="Arial"/>
                <w:sz w:val="20"/>
                <w:szCs w:val="20"/>
              </w:rPr>
            </w:pPr>
            <w:r w:rsidRPr="00D6192D">
              <w:rPr>
                <w:rFonts w:eastAsia="MS Mincho" w:cs="Arial"/>
                <w:sz w:val="20"/>
                <w:szCs w:val="20"/>
              </w:rPr>
              <w:t>20</w:t>
            </w:r>
          </w:p>
        </w:tc>
        <w:tc>
          <w:tcPr>
            <w:tcW w:w="1845" w:type="pct"/>
          </w:tcPr>
          <w:p w14:paraId="0FD89766"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6 weeks of issue of Purchase Order</w:t>
            </w:r>
          </w:p>
        </w:tc>
      </w:tr>
      <w:tr w:rsidR="00052534" w:rsidRPr="00D6192D" w14:paraId="25EC4F72" w14:textId="77777777" w:rsidTr="0057344B">
        <w:trPr>
          <w:cantSplit/>
          <w:trHeight w:val="180"/>
        </w:trPr>
        <w:tc>
          <w:tcPr>
            <w:tcW w:w="345" w:type="pct"/>
            <w:vMerge/>
            <w:vAlign w:val="center"/>
          </w:tcPr>
          <w:p w14:paraId="1E29037A" w14:textId="77777777" w:rsidR="00052534" w:rsidRPr="00D6192D" w:rsidRDefault="00052534" w:rsidP="0057344B">
            <w:pPr>
              <w:pStyle w:val="aDSPara"/>
              <w:spacing w:before="60" w:after="60"/>
              <w:ind w:left="0"/>
              <w:jc w:val="center"/>
              <w:rPr>
                <w:rFonts w:eastAsia="MS Mincho" w:cs="Arial"/>
                <w:sz w:val="20"/>
                <w:szCs w:val="20"/>
              </w:rPr>
            </w:pPr>
          </w:p>
        </w:tc>
        <w:tc>
          <w:tcPr>
            <w:tcW w:w="1857" w:type="pct"/>
            <w:vMerge/>
          </w:tcPr>
          <w:p w14:paraId="267719B2" w14:textId="77777777" w:rsidR="00052534" w:rsidRPr="00D6192D" w:rsidRDefault="00052534" w:rsidP="0057344B">
            <w:pPr>
              <w:spacing w:before="240"/>
              <w:rPr>
                <w:rFonts w:ascii="Arial" w:hAnsi="Arial" w:cs="Arial"/>
                <w:sz w:val="20"/>
                <w:szCs w:val="20"/>
                <w:lang w:val="en-US"/>
              </w:rPr>
            </w:pPr>
          </w:p>
        </w:tc>
        <w:tc>
          <w:tcPr>
            <w:tcW w:w="500" w:type="pct"/>
            <w:vMerge/>
            <w:vAlign w:val="center"/>
          </w:tcPr>
          <w:p w14:paraId="422178E3" w14:textId="77777777" w:rsidR="00052534" w:rsidRPr="00D6192D"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19277149" w14:textId="5E39B57A" w:rsidR="00052534" w:rsidRPr="00D6192D" w:rsidRDefault="00B24EAE" w:rsidP="0057344B">
            <w:pPr>
              <w:pStyle w:val="aDSPara"/>
              <w:spacing w:before="60" w:after="60"/>
              <w:ind w:left="0"/>
              <w:jc w:val="center"/>
              <w:rPr>
                <w:rFonts w:eastAsia="MS Mincho" w:cs="Arial"/>
                <w:sz w:val="20"/>
                <w:szCs w:val="20"/>
              </w:rPr>
            </w:pPr>
            <w:r w:rsidRPr="00D6192D">
              <w:rPr>
                <w:rFonts w:eastAsia="MS Mincho" w:cs="Arial"/>
                <w:sz w:val="20"/>
                <w:szCs w:val="20"/>
              </w:rPr>
              <w:t>10</w:t>
            </w:r>
          </w:p>
        </w:tc>
        <w:tc>
          <w:tcPr>
            <w:tcW w:w="1845" w:type="pct"/>
          </w:tcPr>
          <w:p w14:paraId="1931C8AD"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8 weeks of issue of Purchase Order</w:t>
            </w:r>
          </w:p>
        </w:tc>
      </w:tr>
      <w:tr w:rsidR="00052534" w:rsidRPr="00D6192D" w14:paraId="3E7BD706" w14:textId="77777777" w:rsidTr="0057344B">
        <w:trPr>
          <w:cantSplit/>
          <w:trHeight w:val="1738"/>
        </w:trPr>
        <w:tc>
          <w:tcPr>
            <w:tcW w:w="345" w:type="pct"/>
            <w:vAlign w:val="center"/>
          </w:tcPr>
          <w:p w14:paraId="75B07D89" w14:textId="46002365"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 </w:t>
            </w:r>
          </w:p>
        </w:tc>
        <w:tc>
          <w:tcPr>
            <w:tcW w:w="1857" w:type="pct"/>
            <w:vAlign w:val="center"/>
          </w:tcPr>
          <w:p w14:paraId="0DA618F3" w14:textId="77777777" w:rsidR="00052534" w:rsidRPr="00D6192D" w:rsidRDefault="00052534" w:rsidP="0057344B">
            <w:pPr>
              <w:spacing w:before="240"/>
              <w:rPr>
                <w:rFonts w:ascii="Arial" w:hAnsi="Arial" w:cs="Arial"/>
                <w:b/>
                <w:sz w:val="20"/>
                <w:szCs w:val="20"/>
                <w:lang w:val="en-US"/>
              </w:rPr>
            </w:pPr>
            <w:r w:rsidRPr="00D6192D">
              <w:rPr>
                <w:rFonts w:ascii="Arial" w:hAnsi="Arial" w:cs="Arial"/>
                <w:b/>
                <w:sz w:val="20"/>
                <w:szCs w:val="20"/>
                <w:lang w:val="en-US"/>
              </w:rPr>
              <w:t>Suitability of Product</w:t>
            </w:r>
          </w:p>
          <w:p w14:paraId="0ECCE8A8" w14:textId="6B150897" w:rsidR="00700E5B" w:rsidRPr="00D6192D" w:rsidRDefault="00700E5B" w:rsidP="0057344B">
            <w:pPr>
              <w:spacing w:before="240"/>
              <w:rPr>
                <w:rFonts w:ascii="Arial" w:hAnsi="Arial" w:cs="Arial"/>
                <w:sz w:val="20"/>
                <w:szCs w:val="20"/>
                <w:lang w:val="en-US"/>
              </w:rPr>
            </w:pPr>
            <w:r w:rsidRPr="00D6192D">
              <w:rPr>
                <w:rFonts w:ascii="Arial" w:hAnsi="Arial" w:cs="Arial"/>
                <w:sz w:val="20"/>
                <w:szCs w:val="20"/>
                <w:lang w:val="en-US"/>
              </w:rPr>
              <w:t xml:space="preserve">Supplier must provide details of the </w:t>
            </w:r>
            <w:r w:rsidR="00BA4B82" w:rsidRPr="00D6192D">
              <w:rPr>
                <w:rFonts w:ascii="Arial" w:hAnsi="Arial" w:cs="Arial"/>
                <w:sz w:val="20"/>
                <w:szCs w:val="20"/>
                <w:lang w:val="en-US"/>
              </w:rPr>
              <w:t xml:space="preserve">valve </w:t>
            </w:r>
            <w:r w:rsidRPr="00D6192D">
              <w:rPr>
                <w:rFonts w:ascii="Arial" w:hAnsi="Arial" w:cs="Arial"/>
                <w:sz w:val="20"/>
                <w:szCs w:val="20"/>
                <w:lang w:val="en-US"/>
              </w:rPr>
              <w:t>make and model, as well as data sheets</w:t>
            </w:r>
          </w:p>
        </w:tc>
        <w:tc>
          <w:tcPr>
            <w:tcW w:w="500" w:type="pct"/>
            <w:vAlign w:val="center"/>
          </w:tcPr>
          <w:p w14:paraId="6606407B" w14:textId="0E5AA9A5" w:rsidR="00052534" w:rsidRPr="00D6192D" w:rsidRDefault="00BA4B82" w:rsidP="00BA4B82">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 xml:space="preserve">30 </w:t>
            </w:r>
          </w:p>
        </w:tc>
        <w:tc>
          <w:tcPr>
            <w:tcW w:w="453" w:type="pct"/>
            <w:vAlign w:val="center"/>
          </w:tcPr>
          <w:p w14:paraId="18E4AB84" w14:textId="472ACB26"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30 </w:t>
            </w:r>
          </w:p>
        </w:tc>
        <w:tc>
          <w:tcPr>
            <w:tcW w:w="1845" w:type="pct"/>
            <w:vAlign w:val="center"/>
          </w:tcPr>
          <w:p w14:paraId="1794B1F6"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lang w:val="en-US"/>
              </w:rPr>
              <w:t>Supplier adequately demonstrates how the recommended product meets the user’s requirements or specifications</w:t>
            </w:r>
          </w:p>
        </w:tc>
      </w:tr>
      <w:tr w:rsidR="00052534" w:rsidRPr="00D6192D" w14:paraId="11692D7E" w14:textId="77777777" w:rsidTr="0057344B">
        <w:trPr>
          <w:cantSplit/>
          <w:trHeight w:val="180"/>
        </w:trPr>
        <w:tc>
          <w:tcPr>
            <w:tcW w:w="2202" w:type="pct"/>
            <w:gridSpan w:val="2"/>
          </w:tcPr>
          <w:p w14:paraId="2FF4E4E9" w14:textId="77777777" w:rsidR="00052534" w:rsidRPr="00D6192D" w:rsidRDefault="00052534" w:rsidP="0057344B">
            <w:pPr>
              <w:pStyle w:val="aDSPara"/>
              <w:spacing w:before="60" w:after="60"/>
              <w:ind w:left="0"/>
              <w:jc w:val="left"/>
              <w:rPr>
                <w:rFonts w:eastAsia="MS Mincho" w:cs="Arial"/>
                <w:b/>
                <w:sz w:val="20"/>
                <w:szCs w:val="20"/>
              </w:rPr>
            </w:pPr>
            <w:r w:rsidRPr="00D6192D">
              <w:rPr>
                <w:rFonts w:eastAsia="MS Mincho" w:cs="Arial"/>
                <w:b/>
                <w:sz w:val="20"/>
                <w:szCs w:val="20"/>
              </w:rPr>
              <w:t>Total</w:t>
            </w:r>
          </w:p>
        </w:tc>
        <w:tc>
          <w:tcPr>
            <w:tcW w:w="500" w:type="pct"/>
          </w:tcPr>
          <w:p w14:paraId="60FE8F6A"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100</w:t>
            </w:r>
          </w:p>
        </w:tc>
        <w:tc>
          <w:tcPr>
            <w:tcW w:w="453" w:type="pct"/>
          </w:tcPr>
          <w:p w14:paraId="20D0CE5F" w14:textId="77777777" w:rsidR="00052534" w:rsidRPr="00D6192D" w:rsidRDefault="00052534" w:rsidP="0057344B">
            <w:pPr>
              <w:pStyle w:val="aDSPara"/>
              <w:spacing w:before="60" w:after="60"/>
              <w:ind w:left="0"/>
              <w:jc w:val="center"/>
              <w:rPr>
                <w:rFonts w:eastAsia="MS Mincho" w:cs="Arial"/>
                <w:b/>
                <w:sz w:val="20"/>
                <w:szCs w:val="20"/>
              </w:rPr>
            </w:pPr>
          </w:p>
        </w:tc>
        <w:tc>
          <w:tcPr>
            <w:tcW w:w="1845" w:type="pct"/>
          </w:tcPr>
          <w:p w14:paraId="0589C578" w14:textId="77777777" w:rsidR="00052534" w:rsidRPr="00D6192D" w:rsidRDefault="00052534" w:rsidP="0057344B">
            <w:pPr>
              <w:pStyle w:val="aDSPara"/>
              <w:spacing w:before="60" w:after="60"/>
              <w:ind w:left="0"/>
              <w:jc w:val="left"/>
              <w:rPr>
                <w:rFonts w:eastAsia="MS Mincho" w:cs="Arial"/>
                <w:b/>
                <w:sz w:val="20"/>
                <w:szCs w:val="20"/>
              </w:rPr>
            </w:pPr>
          </w:p>
        </w:tc>
      </w:tr>
    </w:tbl>
    <w:p w14:paraId="7B7CBE3E" w14:textId="67A4665D" w:rsidR="00657272" w:rsidRDefault="00335E24" w:rsidP="00A77FB4">
      <w:pPr>
        <w:spacing w:before="240"/>
        <w:jc w:val="both"/>
        <w:rPr>
          <w:rFonts w:ascii="Arial" w:hAnsi="Arial" w:cs="Arial"/>
        </w:rPr>
      </w:pPr>
      <w:r w:rsidRPr="00C27953">
        <w:rPr>
          <w:rFonts w:ascii="Arial" w:hAnsi="Arial" w:cs="Arial"/>
          <w:b/>
          <w:bCs/>
        </w:rPr>
        <w:t>Note: Bidders that score &lt;80 out of 100 in respect of Technical/Functional evaluation criteria will be regarded as submitting a non-responsive bid and will not be evaluated further.</w:t>
      </w:r>
      <w:bookmarkStart w:id="1" w:name="_GoBack"/>
      <w:bookmarkEnd w:id="1"/>
    </w:p>
    <w:p w14:paraId="6209A42B" w14:textId="51698302" w:rsidR="000D69F9" w:rsidRDefault="001F169B" w:rsidP="009E3142">
      <w:pPr>
        <w:pStyle w:val="ListParagraph"/>
        <w:numPr>
          <w:ilvl w:val="1"/>
          <w:numId w:val="3"/>
        </w:numPr>
        <w:spacing w:after="0"/>
        <w:jc w:val="both"/>
        <w:rPr>
          <w:rFonts w:ascii="Arial" w:hAnsi="Arial" w:cs="Arial"/>
          <w:b/>
          <w:u w:val="single"/>
        </w:rPr>
      </w:pPr>
      <w:r w:rsidRPr="0028213E">
        <w:rPr>
          <w:rFonts w:ascii="Arial" w:hAnsi="Arial" w:cs="Arial"/>
          <w:b/>
          <w:u w:val="single"/>
        </w:rPr>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 Tax pin issued by SARS)</w:t>
      </w:r>
    </w:p>
    <w:p w14:paraId="487040E0" w14:textId="77777777" w:rsidR="00AB1010" w:rsidRPr="001E7F96" w:rsidRDefault="00AB1010" w:rsidP="0096640D">
      <w:pPr>
        <w:pStyle w:val="ListParagraph"/>
        <w:numPr>
          <w:ilvl w:val="0"/>
          <w:numId w:val="1"/>
        </w:numPr>
        <w:spacing w:after="0"/>
        <w:jc w:val="both"/>
        <w:rPr>
          <w:rFonts w:ascii="Arial" w:hAnsi="Arial" w:cs="Arial"/>
        </w:rPr>
      </w:pPr>
      <w:r w:rsidRPr="001E7F96">
        <w:rPr>
          <w:rFonts w:ascii="Arial" w:hAnsi="Arial" w:cs="Arial"/>
        </w:rPr>
        <w:t>Declaration of interest ( SBD 4)</w:t>
      </w:r>
    </w:p>
    <w:p w14:paraId="15759C88"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Letter of Good Standing (COID) only if Applicable due to the nature of work required</w:t>
      </w:r>
    </w:p>
    <w:p w14:paraId="71BF837C" w14:textId="224FA7BA" w:rsidR="0096640D" w:rsidRDefault="0096640D" w:rsidP="0096640D">
      <w:pPr>
        <w:pStyle w:val="ListParagraph"/>
        <w:numPr>
          <w:ilvl w:val="0"/>
          <w:numId w:val="1"/>
        </w:numPr>
        <w:spacing w:after="0"/>
        <w:jc w:val="both"/>
        <w:rPr>
          <w:rFonts w:ascii="Arial" w:hAnsi="Arial" w:cs="Arial"/>
        </w:rPr>
      </w:pPr>
      <w:r w:rsidRPr="001E7F96">
        <w:rPr>
          <w:rFonts w:ascii="Arial" w:hAnsi="Arial" w:cs="Arial"/>
        </w:rPr>
        <w:t>Any other document or certification that might have been requested on this RFQ</w:t>
      </w:r>
    </w:p>
    <w:p w14:paraId="64E2478F" w14:textId="73A82200" w:rsidR="00F65E39" w:rsidRDefault="00F65E39" w:rsidP="0096640D">
      <w:pPr>
        <w:pStyle w:val="ListParagraph"/>
        <w:numPr>
          <w:ilvl w:val="0"/>
          <w:numId w:val="1"/>
        </w:numPr>
        <w:spacing w:after="0"/>
        <w:jc w:val="both"/>
        <w:rPr>
          <w:rFonts w:ascii="Arial" w:hAnsi="Arial" w:cs="Arial"/>
        </w:rPr>
      </w:pPr>
      <w:r>
        <w:rPr>
          <w:rFonts w:ascii="Arial" w:hAnsi="Arial" w:cs="Arial"/>
        </w:rPr>
        <w:t>Supply pump data sheet and curves documents.</w:t>
      </w:r>
    </w:p>
    <w:p w14:paraId="5B2423EE" w14:textId="26E76562" w:rsidR="0096640D" w:rsidRPr="0096640D" w:rsidRDefault="0096640D" w:rsidP="0096640D">
      <w:pPr>
        <w:pStyle w:val="ListParagraph"/>
        <w:spacing w:after="0"/>
        <w:jc w:val="both"/>
        <w:rPr>
          <w:rFonts w:cstheme="minorHAnsi"/>
          <w:b/>
        </w:rPr>
      </w:pPr>
    </w:p>
    <w:p w14:paraId="14835348" w14:textId="77777777" w:rsidR="00302A0A" w:rsidRPr="001E7F96" w:rsidRDefault="00A44540"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8F1551">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77777777" w:rsidR="008F1551" w:rsidRPr="001E7F96" w:rsidRDefault="008F1551"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xml:space="preserve">, the General Conditions of Contract (GCC) and, if applicable, any other legislation or special conditions of contract </w:t>
      </w:r>
    </w:p>
    <w:p w14:paraId="51C39431"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lastRenderedPageBreak/>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 xml:space="preserve">vices should be delivered to </w:t>
      </w:r>
      <w:proofErr w:type="spellStart"/>
      <w:r w:rsidR="00703016" w:rsidRPr="001E7F96">
        <w:rPr>
          <w:rFonts w:ascii="Arial" w:hAnsi="Arial" w:cs="Arial"/>
          <w:color w:val="000000"/>
          <w:szCs w:val="20"/>
        </w:rPr>
        <w:t>Necsa</w:t>
      </w:r>
      <w:proofErr w:type="spellEnd"/>
      <w:r w:rsidR="00703016" w:rsidRPr="001E7F96">
        <w:rPr>
          <w:rFonts w:ascii="Arial" w:hAnsi="Arial" w:cs="Arial"/>
          <w:color w:val="000000"/>
          <w:szCs w:val="20"/>
        </w:rPr>
        <w:t xml:space="preserve"> without an official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Purchase order.</w:t>
      </w:r>
    </w:p>
    <w:p w14:paraId="18A7F689" w14:textId="77777777" w:rsidR="00491C47"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w:t>
      </w:r>
      <w:proofErr w:type="spellStart"/>
      <w:r w:rsidR="00703016" w:rsidRPr="001E7F96">
        <w:rPr>
          <w:rFonts w:ascii="Arial" w:hAnsi="Arial" w:cs="Arial"/>
          <w:color w:val="000000"/>
          <w:szCs w:val="20"/>
        </w:rPr>
        <w:t>Necsa</w:t>
      </w:r>
      <w:proofErr w:type="spellEnd"/>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 xml:space="preserve">ch of the Agreement and the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shall be entitled to terminate the Agreement forthwith, without prejudice to any of its rights</w:t>
      </w:r>
    </w:p>
    <w:p w14:paraId="4F14CD45" w14:textId="77777777" w:rsidR="00707CE7" w:rsidRPr="001E7F96" w:rsidRDefault="008F1551" w:rsidP="00707CE7">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A80F" w14:textId="77777777" w:rsidR="007D24E8" w:rsidRDefault="007D24E8" w:rsidP="00990BD1">
      <w:pPr>
        <w:spacing w:after="0" w:line="240" w:lineRule="auto"/>
      </w:pPr>
      <w:r>
        <w:separator/>
      </w:r>
    </w:p>
  </w:endnote>
  <w:endnote w:type="continuationSeparator" w:id="0">
    <w:p w14:paraId="06B1AEAB" w14:textId="77777777" w:rsidR="007D24E8" w:rsidRDefault="007D24E8"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58F04" w14:textId="77777777" w:rsidR="007D24E8" w:rsidRDefault="007D24E8" w:rsidP="00990BD1">
      <w:pPr>
        <w:spacing w:after="0" w:line="240" w:lineRule="auto"/>
      </w:pPr>
      <w:r>
        <w:separator/>
      </w:r>
    </w:p>
  </w:footnote>
  <w:footnote w:type="continuationSeparator" w:id="0">
    <w:p w14:paraId="2078A28E" w14:textId="77777777" w:rsidR="007D24E8" w:rsidRDefault="007D24E8"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8pt">
                <v:imagedata r:id="rId1" o:title=""/>
              </v:shape>
              <o:OLEObject Type="Embed" ProgID="MSPhotoEd.3" ShapeID="_x0000_i1025" DrawAspect="Content" ObjectID="_1833043037"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135D55C9" w:rsidR="008E0775" w:rsidRDefault="00DA6F66" w:rsidP="008E0775">
          <w:pPr>
            <w:rPr>
              <w:rFonts w:ascii="Arial" w:hAnsi="Arial" w:cs="Arial"/>
              <w:color w:val="696969"/>
              <w:sz w:val="17"/>
              <w:szCs w:val="17"/>
            </w:rPr>
          </w:pPr>
          <w:r>
            <w:rPr>
              <w:rFonts w:ascii="Arial" w:hAnsi="Arial" w:cs="Arial"/>
              <w:color w:val="696969"/>
              <w:sz w:val="17"/>
              <w:szCs w:val="17"/>
            </w:rPr>
            <w:br/>
          </w:r>
          <w:r w:rsidR="0090510D" w:rsidRPr="0090510D">
            <w:rPr>
              <w:rFonts w:ascii="Arial" w:hAnsi="Arial" w:cs="Arial"/>
              <w:color w:val="696969"/>
              <w:sz w:val="17"/>
              <w:szCs w:val="17"/>
            </w:rPr>
            <w:t>NLM-QUO-26/040</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77777777" w:rsidR="00707CE7" w:rsidRDefault="008E0775" w:rsidP="00707CE7">
          <w:pPr>
            <w:pStyle w:val="TableParagraph"/>
            <w:spacing w:before="23"/>
            <w:ind w:left="98"/>
            <w:rPr>
              <w:sz w:val="20"/>
            </w:rPr>
          </w:pPr>
          <w:r>
            <w:rPr>
              <w:sz w:val="20"/>
            </w:rPr>
            <w:t>3</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3E8D060F" w:rsidR="00707CE7" w:rsidRDefault="0090510D"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681E34"/>
    <w:multiLevelType w:val="hybridMultilevel"/>
    <w:tmpl w:val="F18E6A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B40AA6"/>
    <w:multiLevelType w:val="hybridMultilevel"/>
    <w:tmpl w:val="10526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DB01302"/>
    <w:multiLevelType w:val="hybridMultilevel"/>
    <w:tmpl w:val="D12E6D48"/>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03181"/>
    <w:multiLevelType w:val="hybridMultilevel"/>
    <w:tmpl w:val="A77E0680"/>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2F1FD0"/>
    <w:multiLevelType w:val="hybridMultilevel"/>
    <w:tmpl w:val="26F885B8"/>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7"/>
  </w:num>
  <w:num w:numId="2">
    <w:abstractNumId w:val="10"/>
  </w:num>
  <w:num w:numId="3">
    <w:abstractNumId w:val="6"/>
  </w:num>
  <w:num w:numId="4">
    <w:abstractNumId w:val="13"/>
  </w:num>
  <w:num w:numId="5">
    <w:abstractNumId w:val="0"/>
  </w:num>
  <w:num w:numId="6">
    <w:abstractNumId w:val="12"/>
  </w:num>
  <w:num w:numId="7">
    <w:abstractNumId w:val="4"/>
  </w:num>
  <w:num w:numId="8">
    <w:abstractNumId w:val="5"/>
  </w:num>
  <w:num w:numId="9">
    <w:abstractNumId w:val="2"/>
  </w:num>
  <w:num w:numId="10">
    <w:abstractNumId w:val="3"/>
  </w:num>
  <w:num w:numId="11">
    <w:abstractNumId w:val="8"/>
  </w:num>
  <w:num w:numId="12">
    <w:abstractNumId w:val="11"/>
  </w:num>
  <w:num w:numId="13">
    <w:abstractNumId w:val="9"/>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05072"/>
    <w:rsid w:val="00015673"/>
    <w:rsid w:val="00015AF1"/>
    <w:rsid w:val="00024434"/>
    <w:rsid w:val="0002535F"/>
    <w:rsid w:val="00026653"/>
    <w:rsid w:val="0002678D"/>
    <w:rsid w:val="000308D0"/>
    <w:rsid w:val="00031DA4"/>
    <w:rsid w:val="00033F30"/>
    <w:rsid w:val="0004692D"/>
    <w:rsid w:val="00052534"/>
    <w:rsid w:val="00053995"/>
    <w:rsid w:val="00060268"/>
    <w:rsid w:val="00061754"/>
    <w:rsid w:val="00067040"/>
    <w:rsid w:val="00067F0B"/>
    <w:rsid w:val="00073E6A"/>
    <w:rsid w:val="00092568"/>
    <w:rsid w:val="000975DD"/>
    <w:rsid w:val="000B4C17"/>
    <w:rsid w:val="000B5B8E"/>
    <w:rsid w:val="000B6714"/>
    <w:rsid w:val="000C0511"/>
    <w:rsid w:val="000C5B2D"/>
    <w:rsid w:val="000C6AA4"/>
    <w:rsid w:val="000D25E1"/>
    <w:rsid w:val="000D5F78"/>
    <w:rsid w:val="000D69F9"/>
    <w:rsid w:val="000E07D2"/>
    <w:rsid w:val="000E0A2F"/>
    <w:rsid w:val="000E103F"/>
    <w:rsid w:val="000F51A8"/>
    <w:rsid w:val="000F5818"/>
    <w:rsid w:val="001026F9"/>
    <w:rsid w:val="001036AD"/>
    <w:rsid w:val="0011404B"/>
    <w:rsid w:val="00123663"/>
    <w:rsid w:val="001311EE"/>
    <w:rsid w:val="00140E47"/>
    <w:rsid w:val="0014302D"/>
    <w:rsid w:val="001448BD"/>
    <w:rsid w:val="00150F4D"/>
    <w:rsid w:val="0015481C"/>
    <w:rsid w:val="00155894"/>
    <w:rsid w:val="00166F53"/>
    <w:rsid w:val="0017062B"/>
    <w:rsid w:val="00172242"/>
    <w:rsid w:val="0017570A"/>
    <w:rsid w:val="00176A20"/>
    <w:rsid w:val="00185133"/>
    <w:rsid w:val="001911FD"/>
    <w:rsid w:val="001A061D"/>
    <w:rsid w:val="001A0CA1"/>
    <w:rsid w:val="001A4411"/>
    <w:rsid w:val="001A799E"/>
    <w:rsid w:val="001B1D1B"/>
    <w:rsid w:val="001C316D"/>
    <w:rsid w:val="001C7C35"/>
    <w:rsid w:val="001D0B94"/>
    <w:rsid w:val="001D4A9A"/>
    <w:rsid w:val="001D52FF"/>
    <w:rsid w:val="001D77EE"/>
    <w:rsid w:val="001E7F96"/>
    <w:rsid w:val="001F0EB1"/>
    <w:rsid w:val="001F169B"/>
    <w:rsid w:val="001F2242"/>
    <w:rsid w:val="002010F5"/>
    <w:rsid w:val="00203B76"/>
    <w:rsid w:val="00203E56"/>
    <w:rsid w:val="00204F59"/>
    <w:rsid w:val="00205B57"/>
    <w:rsid w:val="00206ECE"/>
    <w:rsid w:val="00211164"/>
    <w:rsid w:val="00211C7C"/>
    <w:rsid w:val="002121C7"/>
    <w:rsid w:val="00212DB4"/>
    <w:rsid w:val="00212ED8"/>
    <w:rsid w:val="00215381"/>
    <w:rsid w:val="00226D24"/>
    <w:rsid w:val="00230CB3"/>
    <w:rsid w:val="00237DDE"/>
    <w:rsid w:val="002425E9"/>
    <w:rsid w:val="00256FF6"/>
    <w:rsid w:val="002579DE"/>
    <w:rsid w:val="0026043B"/>
    <w:rsid w:val="0026416E"/>
    <w:rsid w:val="00267E19"/>
    <w:rsid w:val="00272605"/>
    <w:rsid w:val="00274FF6"/>
    <w:rsid w:val="00277F77"/>
    <w:rsid w:val="0028213E"/>
    <w:rsid w:val="0028252E"/>
    <w:rsid w:val="00297C2A"/>
    <w:rsid w:val="002A7BBC"/>
    <w:rsid w:val="002B0536"/>
    <w:rsid w:val="002B17CE"/>
    <w:rsid w:val="002B629F"/>
    <w:rsid w:val="002C1C0C"/>
    <w:rsid w:val="002D0B6B"/>
    <w:rsid w:val="002F1447"/>
    <w:rsid w:val="002F5C7B"/>
    <w:rsid w:val="002F70F7"/>
    <w:rsid w:val="00301995"/>
    <w:rsid w:val="00302A0A"/>
    <w:rsid w:val="0031186D"/>
    <w:rsid w:val="00311D93"/>
    <w:rsid w:val="003173B9"/>
    <w:rsid w:val="00320717"/>
    <w:rsid w:val="00320C38"/>
    <w:rsid w:val="00322086"/>
    <w:rsid w:val="00335E24"/>
    <w:rsid w:val="00351BBE"/>
    <w:rsid w:val="00353BF5"/>
    <w:rsid w:val="003616F8"/>
    <w:rsid w:val="00363DC6"/>
    <w:rsid w:val="00366739"/>
    <w:rsid w:val="00367AA8"/>
    <w:rsid w:val="0038494D"/>
    <w:rsid w:val="0038666F"/>
    <w:rsid w:val="00387073"/>
    <w:rsid w:val="003904E1"/>
    <w:rsid w:val="00393DB5"/>
    <w:rsid w:val="003A014A"/>
    <w:rsid w:val="003A56F0"/>
    <w:rsid w:val="003B0257"/>
    <w:rsid w:val="003B10E1"/>
    <w:rsid w:val="003B35B2"/>
    <w:rsid w:val="003B5BB2"/>
    <w:rsid w:val="003B760D"/>
    <w:rsid w:val="003C4628"/>
    <w:rsid w:val="003C69BF"/>
    <w:rsid w:val="003D16E2"/>
    <w:rsid w:val="003D36A1"/>
    <w:rsid w:val="003E1620"/>
    <w:rsid w:val="003E1B43"/>
    <w:rsid w:val="003E6953"/>
    <w:rsid w:val="003F1E18"/>
    <w:rsid w:val="003F1F4E"/>
    <w:rsid w:val="003F56B1"/>
    <w:rsid w:val="00402EF8"/>
    <w:rsid w:val="00414409"/>
    <w:rsid w:val="00421D7E"/>
    <w:rsid w:val="00425664"/>
    <w:rsid w:val="00426FEC"/>
    <w:rsid w:val="004364B2"/>
    <w:rsid w:val="00452004"/>
    <w:rsid w:val="00457503"/>
    <w:rsid w:val="004602D6"/>
    <w:rsid w:val="00462CDE"/>
    <w:rsid w:val="00485665"/>
    <w:rsid w:val="00491C47"/>
    <w:rsid w:val="00493C71"/>
    <w:rsid w:val="004B5D18"/>
    <w:rsid w:val="004B6078"/>
    <w:rsid w:val="004D0F51"/>
    <w:rsid w:val="004D22C5"/>
    <w:rsid w:val="004D54EE"/>
    <w:rsid w:val="004E19C2"/>
    <w:rsid w:val="004E60F3"/>
    <w:rsid w:val="004F3022"/>
    <w:rsid w:val="005062BF"/>
    <w:rsid w:val="005125D6"/>
    <w:rsid w:val="00514AE5"/>
    <w:rsid w:val="005307F6"/>
    <w:rsid w:val="00530B1C"/>
    <w:rsid w:val="00533645"/>
    <w:rsid w:val="00537523"/>
    <w:rsid w:val="005400AC"/>
    <w:rsid w:val="00547AF9"/>
    <w:rsid w:val="00547EEE"/>
    <w:rsid w:val="005576A0"/>
    <w:rsid w:val="00557828"/>
    <w:rsid w:val="00560B78"/>
    <w:rsid w:val="00560F8F"/>
    <w:rsid w:val="005723E1"/>
    <w:rsid w:val="005921AA"/>
    <w:rsid w:val="005A0161"/>
    <w:rsid w:val="005A0E84"/>
    <w:rsid w:val="005A2D40"/>
    <w:rsid w:val="005A61E7"/>
    <w:rsid w:val="005A7782"/>
    <w:rsid w:val="005B51B7"/>
    <w:rsid w:val="005B71AA"/>
    <w:rsid w:val="005C547A"/>
    <w:rsid w:val="005D251E"/>
    <w:rsid w:val="005D3EA3"/>
    <w:rsid w:val="005D4B22"/>
    <w:rsid w:val="005D6F92"/>
    <w:rsid w:val="006346AD"/>
    <w:rsid w:val="006356B0"/>
    <w:rsid w:val="00636DB1"/>
    <w:rsid w:val="0063737F"/>
    <w:rsid w:val="006434D7"/>
    <w:rsid w:val="00644904"/>
    <w:rsid w:val="00650E63"/>
    <w:rsid w:val="006554AE"/>
    <w:rsid w:val="00657272"/>
    <w:rsid w:val="00657B06"/>
    <w:rsid w:val="0066139F"/>
    <w:rsid w:val="00676650"/>
    <w:rsid w:val="00685D21"/>
    <w:rsid w:val="00693BEA"/>
    <w:rsid w:val="0069514B"/>
    <w:rsid w:val="006969EA"/>
    <w:rsid w:val="006A421D"/>
    <w:rsid w:val="006A5715"/>
    <w:rsid w:val="006A785C"/>
    <w:rsid w:val="006B1B37"/>
    <w:rsid w:val="006B5DA1"/>
    <w:rsid w:val="006B7AC5"/>
    <w:rsid w:val="006C0D15"/>
    <w:rsid w:val="006D11CD"/>
    <w:rsid w:val="006D3A67"/>
    <w:rsid w:val="006D4084"/>
    <w:rsid w:val="006D7113"/>
    <w:rsid w:val="006D7C51"/>
    <w:rsid w:val="006F7A6D"/>
    <w:rsid w:val="00700E5B"/>
    <w:rsid w:val="007013A7"/>
    <w:rsid w:val="00703016"/>
    <w:rsid w:val="007060B1"/>
    <w:rsid w:val="00707CE7"/>
    <w:rsid w:val="00720EDE"/>
    <w:rsid w:val="0072307E"/>
    <w:rsid w:val="007236D2"/>
    <w:rsid w:val="00725378"/>
    <w:rsid w:val="00725B31"/>
    <w:rsid w:val="00731FA5"/>
    <w:rsid w:val="00740E16"/>
    <w:rsid w:val="00745227"/>
    <w:rsid w:val="00745D44"/>
    <w:rsid w:val="007533CE"/>
    <w:rsid w:val="00756381"/>
    <w:rsid w:val="00766C32"/>
    <w:rsid w:val="00774F77"/>
    <w:rsid w:val="00776A67"/>
    <w:rsid w:val="00791492"/>
    <w:rsid w:val="00796CA4"/>
    <w:rsid w:val="007A0DAA"/>
    <w:rsid w:val="007A1178"/>
    <w:rsid w:val="007A7CBD"/>
    <w:rsid w:val="007B0C1A"/>
    <w:rsid w:val="007B11A8"/>
    <w:rsid w:val="007C0669"/>
    <w:rsid w:val="007C0CF5"/>
    <w:rsid w:val="007C281F"/>
    <w:rsid w:val="007C46CB"/>
    <w:rsid w:val="007C4B50"/>
    <w:rsid w:val="007C5409"/>
    <w:rsid w:val="007D24E8"/>
    <w:rsid w:val="007D649C"/>
    <w:rsid w:val="007E3B7A"/>
    <w:rsid w:val="007F3911"/>
    <w:rsid w:val="007F5F07"/>
    <w:rsid w:val="008058DC"/>
    <w:rsid w:val="0080596B"/>
    <w:rsid w:val="00807E6D"/>
    <w:rsid w:val="00816D90"/>
    <w:rsid w:val="0081790D"/>
    <w:rsid w:val="008248F8"/>
    <w:rsid w:val="00833B45"/>
    <w:rsid w:val="00836FA9"/>
    <w:rsid w:val="00837B3F"/>
    <w:rsid w:val="00842345"/>
    <w:rsid w:val="00845426"/>
    <w:rsid w:val="008526EC"/>
    <w:rsid w:val="00855D62"/>
    <w:rsid w:val="0086213B"/>
    <w:rsid w:val="00874B07"/>
    <w:rsid w:val="00883ADB"/>
    <w:rsid w:val="00883C4E"/>
    <w:rsid w:val="00885611"/>
    <w:rsid w:val="008947FB"/>
    <w:rsid w:val="0089720E"/>
    <w:rsid w:val="008C5A9B"/>
    <w:rsid w:val="008E0775"/>
    <w:rsid w:val="008E1E9C"/>
    <w:rsid w:val="008E2BB3"/>
    <w:rsid w:val="008E3E00"/>
    <w:rsid w:val="008E4B98"/>
    <w:rsid w:val="008F1551"/>
    <w:rsid w:val="008F2A30"/>
    <w:rsid w:val="008F309B"/>
    <w:rsid w:val="008F5611"/>
    <w:rsid w:val="009033BD"/>
    <w:rsid w:val="0090510D"/>
    <w:rsid w:val="0090569F"/>
    <w:rsid w:val="00916503"/>
    <w:rsid w:val="00920D27"/>
    <w:rsid w:val="00923C36"/>
    <w:rsid w:val="00925738"/>
    <w:rsid w:val="0093123C"/>
    <w:rsid w:val="00946ACA"/>
    <w:rsid w:val="00957BB2"/>
    <w:rsid w:val="00961FA1"/>
    <w:rsid w:val="0096640D"/>
    <w:rsid w:val="00975603"/>
    <w:rsid w:val="0098099A"/>
    <w:rsid w:val="00990BD1"/>
    <w:rsid w:val="0099203D"/>
    <w:rsid w:val="0099245F"/>
    <w:rsid w:val="0099630E"/>
    <w:rsid w:val="009A1B1F"/>
    <w:rsid w:val="009A3F2F"/>
    <w:rsid w:val="009B1A76"/>
    <w:rsid w:val="009B2E6B"/>
    <w:rsid w:val="009B5BA1"/>
    <w:rsid w:val="009B5E41"/>
    <w:rsid w:val="009B6299"/>
    <w:rsid w:val="009C5499"/>
    <w:rsid w:val="009D27CC"/>
    <w:rsid w:val="009D6BF6"/>
    <w:rsid w:val="009E3142"/>
    <w:rsid w:val="009F581E"/>
    <w:rsid w:val="009F5863"/>
    <w:rsid w:val="00A01998"/>
    <w:rsid w:val="00A12161"/>
    <w:rsid w:val="00A1229A"/>
    <w:rsid w:val="00A21272"/>
    <w:rsid w:val="00A221D7"/>
    <w:rsid w:val="00A41113"/>
    <w:rsid w:val="00A44540"/>
    <w:rsid w:val="00A65209"/>
    <w:rsid w:val="00A66B8F"/>
    <w:rsid w:val="00A708D2"/>
    <w:rsid w:val="00A77706"/>
    <w:rsid w:val="00A77FB4"/>
    <w:rsid w:val="00A8180F"/>
    <w:rsid w:val="00A93278"/>
    <w:rsid w:val="00A97702"/>
    <w:rsid w:val="00AA02CB"/>
    <w:rsid w:val="00AA2335"/>
    <w:rsid w:val="00AB1010"/>
    <w:rsid w:val="00AB1029"/>
    <w:rsid w:val="00AB1545"/>
    <w:rsid w:val="00AB42EC"/>
    <w:rsid w:val="00AB6E44"/>
    <w:rsid w:val="00AC34A9"/>
    <w:rsid w:val="00AD0FB2"/>
    <w:rsid w:val="00AD2401"/>
    <w:rsid w:val="00AD7573"/>
    <w:rsid w:val="00AE44A6"/>
    <w:rsid w:val="00AE5BAE"/>
    <w:rsid w:val="00AF7ECE"/>
    <w:rsid w:val="00B10B85"/>
    <w:rsid w:val="00B20A80"/>
    <w:rsid w:val="00B247BB"/>
    <w:rsid w:val="00B24EAE"/>
    <w:rsid w:val="00B30CDC"/>
    <w:rsid w:val="00B43465"/>
    <w:rsid w:val="00B54B8A"/>
    <w:rsid w:val="00B704B1"/>
    <w:rsid w:val="00B70805"/>
    <w:rsid w:val="00B84D00"/>
    <w:rsid w:val="00B86006"/>
    <w:rsid w:val="00B90012"/>
    <w:rsid w:val="00B92E63"/>
    <w:rsid w:val="00B9410C"/>
    <w:rsid w:val="00B9607D"/>
    <w:rsid w:val="00B96826"/>
    <w:rsid w:val="00BA2FE9"/>
    <w:rsid w:val="00BA4051"/>
    <w:rsid w:val="00BA4B82"/>
    <w:rsid w:val="00BB2F0D"/>
    <w:rsid w:val="00BB4DF3"/>
    <w:rsid w:val="00BD22E5"/>
    <w:rsid w:val="00BD69FE"/>
    <w:rsid w:val="00BE10D6"/>
    <w:rsid w:val="00BE29E0"/>
    <w:rsid w:val="00BE3822"/>
    <w:rsid w:val="00BE3C26"/>
    <w:rsid w:val="00BE7BDB"/>
    <w:rsid w:val="00C03258"/>
    <w:rsid w:val="00C03A7C"/>
    <w:rsid w:val="00C14B2C"/>
    <w:rsid w:val="00C26879"/>
    <w:rsid w:val="00C27953"/>
    <w:rsid w:val="00C27ADD"/>
    <w:rsid w:val="00C30258"/>
    <w:rsid w:val="00C40CD0"/>
    <w:rsid w:val="00C52EC9"/>
    <w:rsid w:val="00C56DCF"/>
    <w:rsid w:val="00C57054"/>
    <w:rsid w:val="00C60920"/>
    <w:rsid w:val="00C6118E"/>
    <w:rsid w:val="00C671D2"/>
    <w:rsid w:val="00C72450"/>
    <w:rsid w:val="00C75561"/>
    <w:rsid w:val="00CA70B4"/>
    <w:rsid w:val="00CB3519"/>
    <w:rsid w:val="00CB52FA"/>
    <w:rsid w:val="00CC5CA3"/>
    <w:rsid w:val="00CD046C"/>
    <w:rsid w:val="00CD0B19"/>
    <w:rsid w:val="00CD623A"/>
    <w:rsid w:val="00CE5158"/>
    <w:rsid w:val="00CE7D22"/>
    <w:rsid w:val="00CF3A11"/>
    <w:rsid w:val="00CF6BC3"/>
    <w:rsid w:val="00D02017"/>
    <w:rsid w:val="00D02998"/>
    <w:rsid w:val="00D11878"/>
    <w:rsid w:val="00D14D6A"/>
    <w:rsid w:val="00D1798F"/>
    <w:rsid w:val="00D2386A"/>
    <w:rsid w:val="00D40FB7"/>
    <w:rsid w:val="00D51675"/>
    <w:rsid w:val="00D6192D"/>
    <w:rsid w:val="00D70936"/>
    <w:rsid w:val="00D86CE9"/>
    <w:rsid w:val="00DA2400"/>
    <w:rsid w:val="00DA6F66"/>
    <w:rsid w:val="00DC1244"/>
    <w:rsid w:val="00DC12C6"/>
    <w:rsid w:val="00DD468D"/>
    <w:rsid w:val="00DE114A"/>
    <w:rsid w:val="00DE1794"/>
    <w:rsid w:val="00DE2C2E"/>
    <w:rsid w:val="00DF6EEF"/>
    <w:rsid w:val="00E024B7"/>
    <w:rsid w:val="00E31E56"/>
    <w:rsid w:val="00E34419"/>
    <w:rsid w:val="00E37641"/>
    <w:rsid w:val="00E4190B"/>
    <w:rsid w:val="00E45BA0"/>
    <w:rsid w:val="00E47C9A"/>
    <w:rsid w:val="00E5291C"/>
    <w:rsid w:val="00E52A7E"/>
    <w:rsid w:val="00E5408B"/>
    <w:rsid w:val="00E55591"/>
    <w:rsid w:val="00E57686"/>
    <w:rsid w:val="00E66CBE"/>
    <w:rsid w:val="00E73129"/>
    <w:rsid w:val="00E75686"/>
    <w:rsid w:val="00E81AE6"/>
    <w:rsid w:val="00E85C21"/>
    <w:rsid w:val="00E90D07"/>
    <w:rsid w:val="00EA1CA2"/>
    <w:rsid w:val="00EB19C1"/>
    <w:rsid w:val="00EB5516"/>
    <w:rsid w:val="00EB5670"/>
    <w:rsid w:val="00EC1E7D"/>
    <w:rsid w:val="00EC23A7"/>
    <w:rsid w:val="00ED0194"/>
    <w:rsid w:val="00ED5424"/>
    <w:rsid w:val="00ED6867"/>
    <w:rsid w:val="00EE1C56"/>
    <w:rsid w:val="00F224EF"/>
    <w:rsid w:val="00F22FC7"/>
    <w:rsid w:val="00F27238"/>
    <w:rsid w:val="00F27709"/>
    <w:rsid w:val="00F3484A"/>
    <w:rsid w:val="00F354EB"/>
    <w:rsid w:val="00F4205E"/>
    <w:rsid w:val="00F42EDE"/>
    <w:rsid w:val="00F64CD1"/>
    <w:rsid w:val="00F65E39"/>
    <w:rsid w:val="00F925BC"/>
    <w:rsid w:val="00F939C5"/>
    <w:rsid w:val="00F9542C"/>
    <w:rsid w:val="00FA6CB2"/>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4B6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1BB0-885B-484F-8B17-0A100AF8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Matome Ramotlou</cp:lastModifiedBy>
  <cp:revision>34</cp:revision>
  <cp:lastPrinted>2025-07-11T09:05:00Z</cp:lastPrinted>
  <dcterms:created xsi:type="dcterms:W3CDTF">2026-02-18T12:44:00Z</dcterms:created>
  <dcterms:modified xsi:type="dcterms:W3CDTF">2026-02-19T19:51:00Z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