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36154" w:rsidRDefault="00DA05F7">
      <w:r>
        <w:rPr>
          <w:noProof/>
          <w:lang w:eastAsia="en-ZA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177800</wp:posOffset>
            </wp:positionV>
            <wp:extent cx="1193800" cy="845185"/>
            <wp:effectExtent l="0" t="0" r="6350" b="0"/>
            <wp:wrapTight wrapText="bothSides">
              <wp:wrapPolygon edited="0">
                <wp:start x="0" y="0"/>
                <wp:lineTo x="0" y="20935"/>
                <wp:lineTo x="21370" y="20935"/>
                <wp:lineTo x="21370" y="0"/>
                <wp:lineTo x="0" y="0"/>
              </wp:wrapPolygon>
            </wp:wrapTight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ARC LOGO .pn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193800" cy="84518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p w:rsidR="00DA05F7" w:rsidRDefault="00DA05F7" w:rsidP="002F52BF">
      <w:pPr>
        <w:jc w:val="center"/>
        <w:rPr>
          <w:sz w:val="28"/>
        </w:rPr>
      </w:pPr>
    </w:p>
    <w:p w:rsidR="00DA05F7" w:rsidRDefault="00DA05F7" w:rsidP="002F52BF">
      <w:pPr>
        <w:jc w:val="center"/>
        <w:rPr>
          <w:sz w:val="28"/>
        </w:rPr>
      </w:pPr>
    </w:p>
    <w:p w:rsidR="00DA05F7" w:rsidRDefault="00DA05F7" w:rsidP="002F52BF">
      <w:pPr>
        <w:jc w:val="center"/>
        <w:rPr>
          <w:sz w:val="28"/>
        </w:rPr>
      </w:pPr>
    </w:p>
    <w:p w:rsidR="002F52BF" w:rsidRPr="002F52BF" w:rsidRDefault="002F52BF" w:rsidP="002F52BF">
      <w:pPr>
        <w:jc w:val="center"/>
        <w:rPr>
          <w:sz w:val="28"/>
        </w:rPr>
      </w:pPr>
      <w:r w:rsidRPr="002F52BF">
        <w:rPr>
          <w:sz w:val="28"/>
        </w:rPr>
        <w:t>ARC-</w:t>
      </w:r>
      <w:r w:rsidR="009D11D7">
        <w:rPr>
          <w:sz w:val="28"/>
        </w:rPr>
        <w:t>PHP-</w:t>
      </w:r>
      <w:r w:rsidRPr="002F52BF">
        <w:rPr>
          <w:sz w:val="28"/>
        </w:rPr>
        <w:t>OHSE- ROODEPLAAT</w:t>
      </w:r>
      <w:r w:rsidR="00997497">
        <w:rPr>
          <w:sz w:val="28"/>
        </w:rPr>
        <w:t xml:space="preserve"> CAMPUSES</w:t>
      </w:r>
    </w:p>
    <w:p w:rsidR="002F52BF" w:rsidRPr="002F52BF" w:rsidRDefault="002F52BF" w:rsidP="002F52BF">
      <w:pPr>
        <w:jc w:val="center"/>
        <w:rPr>
          <w:sz w:val="28"/>
        </w:rPr>
      </w:pPr>
    </w:p>
    <w:p w:rsidR="002F52BF" w:rsidRPr="002F52BF" w:rsidRDefault="002F52BF" w:rsidP="002F52BF">
      <w:pPr>
        <w:jc w:val="center"/>
        <w:rPr>
          <w:b/>
          <w:sz w:val="28"/>
        </w:rPr>
      </w:pPr>
      <w:r w:rsidRPr="002F52BF">
        <w:rPr>
          <w:b/>
          <w:sz w:val="28"/>
        </w:rPr>
        <w:t>SPECIFICATIONS FOR FIRE FIGHTING EQUIPMENT SERVICING AND INSPECTION:</w:t>
      </w:r>
    </w:p>
    <w:p w:rsidR="002F52BF" w:rsidRPr="002F52BF" w:rsidRDefault="002F52BF" w:rsidP="002F52BF">
      <w:pPr>
        <w:jc w:val="center"/>
        <w:rPr>
          <w:b/>
          <w:sz w:val="28"/>
        </w:rPr>
      </w:pPr>
      <w:r w:rsidRPr="002F52BF">
        <w:rPr>
          <w:b/>
          <w:sz w:val="28"/>
        </w:rPr>
        <w:t>Fire extinguishers</w:t>
      </w:r>
    </w:p>
    <w:p w:rsidR="002F52BF" w:rsidRPr="002F52BF" w:rsidRDefault="002F52BF" w:rsidP="002F52BF">
      <w:pPr>
        <w:jc w:val="center"/>
        <w:rPr>
          <w:b/>
          <w:sz w:val="28"/>
        </w:rPr>
      </w:pPr>
      <w:r w:rsidRPr="002F52BF">
        <w:rPr>
          <w:b/>
          <w:sz w:val="28"/>
        </w:rPr>
        <w:t>Fire hydrants, hoses, reels, couplings, valves etc.</w:t>
      </w:r>
    </w:p>
    <w:p w:rsidR="002F52BF" w:rsidRDefault="002F52BF" w:rsidP="002F52BF">
      <w:pPr>
        <w:jc w:val="center"/>
        <w:rPr>
          <w:sz w:val="28"/>
        </w:rPr>
      </w:pPr>
    </w:p>
    <w:p w:rsidR="007519B3" w:rsidRDefault="007519B3" w:rsidP="007519B3">
      <w:pPr>
        <w:rPr>
          <w:sz w:val="28"/>
        </w:rPr>
      </w:pPr>
      <w:r w:rsidRPr="007519B3">
        <w:rPr>
          <w:b/>
          <w:sz w:val="28"/>
        </w:rPr>
        <w:t>Title</w:t>
      </w:r>
      <w:r>
        <w:rPr>
          <w:sz w:val="28"/>
        </w:rPr>
        <w:t>: S</w:t>
      </w:r>
      <w:r w:rsidRPr="007519B3">
        <w:rPr>
          <w:sz w:val="28"/>
        </w:rPr>
        <w:t>pecifications for firefighting equipment servicing and inspection:</w:t>
      </w:r>
      <w:r>
        <w:rPr>
          <w:sz w:val="28"/>
        </w:rPr>
        <w:t xml:space="preserve"> </w:t>
      </w:r>
      <w:r w:rsidRPr="007519B3">
        <w:rPr>
          <w:sz w:val="28"/>
        </w:rPr>
        <w:t>Fire extinguishers</w:t>
      </w:r>
      <w:r>
        <w:rPr>
          <w:sz w:val="28"/>
        </w:rPr>
        <w:t xml:space="preserve"> </w:t>
      </w:r>
      <w:r w:rsidRPr="007519B3">
        <w:rPr>
          <w:sz w:val="28"/>
        </w:rPr>
        <w:t>Fire hydrants, hoses, reels, couplings, valves etc.</w:t>
      </w:r>
    </w:p>
    <w:p w:rsidR="002F52BF" w:rsidRDefault="002F52BF" w:rsidP="002F52BF">
      <w:pPr>
        <w:rPr>
          <w:sz w:val="24"/>
          <w:szCs w:val="24"/>
        </w:rPr>
      </w:pPr>
      <w:r>
        <w:rPr>
          <w:sz w:val="24"/>
          <w:szCs w:val="24"/>
        </w:rPr>
        <w:t>The following specifications must be close</w:t>
      </w:r>
      <w:r w:rsidR="00997497">
        <w:rPr>
          <w:sz w:val="24"/>
          <w:szCs w:val="24"/>
        </w:rPr>
        <w:t>ly</w:t>
      </w:r>
      <w:r>
        <w:rPr>
          <w:sz w:val="24"/>
          <w:szCs w:val="24"/>
        </w:rPr>
        <w:t xml:space="preserve"> </w:t>
      </w:r>
      <w:r w:rsidR="009D11D7">
        <w:rPr>
          <w:sz w:val="24"/>
          <w:szCs w:val="24"/>
        </w:rPr>
        <w:t>adhered to</w:t>
      </w:r>
      <w:r>
        <w:rPr>
          <w:sz w:val="24"/>
          <w:szCs w:val="24"/>
        </w:rPr>
        <w:t xml:space="preserve"> by the accredited service provider:</w:t>
      </w:r>
    </w:p>
    <w:p w:rsidR="002F52BF" w:rsidRPr="008427C1" w:rsidRDefault="002F52BF" w:rsidP="002F52B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Fire protection equipment must be serviced by a duly accredited service provider and accredited service technicians as stipulated in the OHSE Act: The </w:t>
      </w:r>
      <w:r>
        <w:rPr>
          <w:rStyle w:val="Emphasis"/>
          <w:rFonts w:ascii="Arial" w:hAnsi="Arial" w:cs="Arial"/>
          <w:b/>
          <w:bCs/>
          <w:i w:val="0"/>
          <w:iCs w:val="0"/>
          <w:color w:val="5F6368"/>
          <w:sz w:val="21"/>
          <w:szCs w:val="21"/>
          <w:shd w:val="clear" w:color="auto" w:fill="FFFFFF"/>
        </w:rPr>
        <w:t>Occupational Health and Safety Act</w:t>
      </w:r>
      <w:r>
        <w:rPr>
          <w:rFonts w:ascii="Arial" w:hAnsi="Arial" w:cs="Arial"/>
          <w:color w:val="4D5156"/>
          <w:sz w:val="21"/>
          <w:szCs w:val="21"/>
          <w:shd w:val="clear" w:color="auto" w:fill="FFFFFF"/>
        </w:rPr>
        <w:t xml:space="preserve"> no 85 of 1993, </w:t>
      </w:r>
    </w:p>
    <w:p w:rsidR="008427C1" w:rsidRPr="008427C1" w:rsidRDefault="008427C1" w:rsidP="008427C1">
      <w:pPr>
        <w:pStyle w:val="ListParagraph"/>
        <w:numPr>
          <w:ilvl w:val="1"/>
          <w:numId w:val="6"/>
        </w:numPr>
        <w:rPr>
          <w:sz w:val="24"/>
          <w:szCs w:val="24"/>
        </w:rPr>
      </w:pPr>
      <w:r w:rsidRPr="008427C1">
        <w:rPr>
          <w:sz w:val="24"/>
          <w:szCs w:val="24"/>
        </w:rPr>
        <w:t xml:space="preserve">The Occupational Health and Safety Act 1993 (Act 85 of 1993) and Vessels under Pressure Regulation 11(1) </w:t>
      </w:r>
      <w:r>
        <w:rPr>
          <w:sz w:val="24"/>
          <w:szCs w:val="24"/>
        </w:rPr>
        <w:t>stipulates</w:t>
      </w:r>
      <w:r w:rsidRPr="008427C1">
        <w:rPr>
          <w:sz w:val="24"/>
          <w:szCs w:val="24"/>
        </w:rPr>
        <w:t xml:space="preserve"> ‘’No person shall fill, recharge, recondition, modify, repair, inspect or test any handheld fire extinguisher unless a holder of a permit issued by the South African Bureau of Standards in terms of SABS 1475’’.</w:t>
      </w:r>
      <w:r w:rsidRPr="008427C1">
        <w:rPr>
          <w:sz w:val="24"/>
          <w:szCs w:val="24"/>
        </w:rPr>
        <w:cr/>
      </w:r>
    </w:p>
    <w:p w:rsidR="002F52BF" w:rsidRDefault="002F52BF" w:rsidP="002F52BF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  </w:t>
      </w:r>
      <w:r w:rsidRPr="002F52BF">
        <w:rPr>
          <w:sz w:val="24"/>
          <w:szCs w:val="24"/>
        </w:rPr>
        <w:t>(1) No user shall use, require or permit the use of a fire extinguisher unless designed, constructed, filled, recharged, reconditioned, modified, repaired, inspected or tested in accordance with the relevant safety standard incorporated into these Regulations under section 44 of the Act</w:t>
      </w:r>
      <w:r>
        <w:rPr>
          <w:sz w:val="24"/>
          <w:szCs w:val="24"/>
        </w:rPr>
        <w:t>.</w:t>
      </w:r>
    </w:p>
    <w:p w:rsidR="002F52BF" w:rsidRDefault="002F52BF" w:rsidP="002F52BF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Comply with </w:t>
      </w:r>
      <w:r w:rsidRPr="002F52BF">
        <w:rPr>
          <w:sz w:val="24"/>
          <w:szCs w:val="24"/>
        </w:rPr>
        <w:t>SANS 1475-1:2010 &amp; SANS 1475-2:2010</w:t>
      </w:r>
      <w:r>
        <w:rPr>
          <w:sz w:val="24"/>
          <w:szCs w:val="24"/>
        </w:rPr>
        <w:t xml:space="preserve"> codes and </w:t>
      </w:r>
      <w:proofErr w:type="spellStart"/>
      <w:r w:rsidRPr="002F52BF">
        <w:rPr>
          <w:sz w:val="24"/>
          <w:szCs w:val="24"/>
        </w:rPr>
        <w:t>SAQCC</w:t>
      </w:r>
      <w:proofErr w:type="spellEnd"/>
      <w:r w:rsidRPr="002F52BF">
        <w:rPr>
          <w:sz w:val="24"/>
          <w:szCs w:val="24"/>
        </w:rPr>
        <w:t xml:space="preserve"> </w:t>
      </w:r>
      <w:r>
        <w:rPr>
          <w:sz w:val="24"/>
          <w:szCs w:val="24"/>
        </w:rPr>
        <w:t>accredited</w:t>
      </w:r>
      <w:r w:rsidRPr="002F52BF">
        <w:rPr>
          <w:sz w:val="24"/>
          <w:szCs w:val="24"/>
        </w:rPr>
        <w:t xml:space="preserve"> Technicians</w:t>
      </w:r>
      <w:r>
        <w:rPr>
          <w:sz w:val="24"/>
          <w:szCs w:val="24"/>
        </w:rPr>
        <w:t>.</w:t>
      </w:r>
    </w:p>
    <w:p w:rsidR="002F52BF" w:rsidRPr="002F52BF" w:rsidRDefault="002F52BF" w:rsidP="009974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F52BF">
        <w:rPr>
          <w:sz w:val="24"/>
          <w:szCs w:val="24"/>
        </w:rPr>
        <w:t xml:space="preserve">SANS 0400-1990: </w:t>
      </w:r>
      <w:proofErr w:type="spellStart"/>
      <w:r w:rsidRPr="002F52BF">
        <w:rPr>
          <w:sz w:val="24"/>
          <w:szCs w:val="24"/>
        </w:rPr>
        <w:t>TT37</w:t>
      </w:r>
      <w:proofErr w:type="spellEnd"/>
      <w:r w:rsidRPr="002F52BF">
        <w:rPr>
          <w:sz w:val="24"/>
          <w:szCs w:val="24"/>
        </w:rPr>
        <w:t xml:space="preserve"> amount, size and type of fire extinguishers</w:t>
      </w:r>
    </w:p>
    <w:p w:rsidR="002F52BF" w:rsidRPr="002F52BF" w:rsidRDefault="00997497" w:rsidP="00997497">
      <w:pPr>
        <w:pStyle w:val="ListParagraph"/>
        <w:rPr>
          <w:sz w:val="24"/>
          <w:szCs w:val="24"/>
        </w:rPr>
      </w:pPr>
      <w:r>
        <w:rPr>
          <w:sz w:val="24"/>
          <w:szCs w:val="24"/>
        </w:rPr>
        <w:t xml:space="preserve">SANS 1475-1:2006 – regulation:  </w:t>
      </w:r>
      <w:r w:rsidR="002F52BF" w:rsidRPr="002F52BF">
        <w:rPr>
          <w:sz w:val="24"/>
          <w:szCs w:val="24"/>
        </w:rPr>
        <w:t xml:space="preserve">production of reconditioned fire-fighting equipment </w:t>
      </w:r>
      <w:r w:rsidR="009D11D7" w:rsidRPr="002F52BF">
        <w:rPr>
          <w:sz w:val="24"/>
          <w:szCs w:val="24"/>
        </w:rPr>
        <w:t>fire extinguishers servic</w:t>
      </w:r>
      <w:r w:rsidR="009D11D7">
        <w:rPr>
          <w:sz w:val="24"/>
          <w:szCs w:val="24"/>
        </w:rPr>
        <w:t>ing</w:t>
      </w:r>
      <w:r w:rsidR="009D11D7" w:rsidRPr="002F52BF">
        <w:rPr>
          <w:sz w:val="24"/>
          <w:szCs w:val="24"/>
        </w:rPr>
        <w:t xml:space="preserve"> </w:t>
      </w:r>
      <w:r w:rsidR="009D11D7">
        <w:rPr>
          <w:sz w:val="24"/>
          <w:szCs w:val="24"/>
        </w:rPr>
        <w:t>intervals.</w:t>
      </w:r>
    </w:p>
    <w:p w:rsidR="002F52BF" w:rsidRPr="00997497" w:rsidRDefault="002F52BF" w:rsidP="009974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F52BF">
        <w:rPr>
          <w:sz w:val="24"/>
          <w:szCs w:val="24"/>
        </w:rPr>
        <w:t>SANS 10105-1:2005 - use and control of firefighting equipment - Part 1: Portable</w:t>
      </w:r>
      <w:r w:rsidR="00997497">
        <w:rPr>
          <w:sz w:val="24"/>
          <w:szCs w:val="24"/>
        </w:rPr>
        <w:t xml:space="preserve"> </w:t>
      </w:r>
      <w:r w:rsidRPr="00997497">
        <w:rPr>
          <w:sz w:val="24"/>
          <w:szCs w:val="24"/>
        </w:rPr>
        <w:t>and wheeled (mobile) fire extinguishers</w:t>
      </w:r>
    </w:p>
    <w:p w:rsidR="002F52BF" w:rsidRDefault="002F52BF" w:rsidP="00997497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2F52BF">
        <w:rPr>
          <w:sz w:val="24"/>
          <w:szCs w:val="24"/>
        </w:rPr>
        <w:t>SANS 1186-1:2008 –symbolic signs (Part 1: Standard signs and general</w:t>
      </w:r>
      <w:r w:rsidR="00997497">
        <w:rPr>
          <w:sz w:val="24"/>
          <w:szCs w:val="24"/>
        </w:rPr>
        <w:t xml:space="preserve"> </w:t>
      </w:r>
      <w:r w:rsidRPr="00997497">
        <w:rPr>
          <w:sz w:val="24"/>
          <w:szCs w:val="24"/>
        </w:rPr>
        <w:t>requirements)</w:t>
      </w:r>
    </w:p>
    <w:p w:rsidR="00997497" w:rsidRDefault="00997497" w:rsidP="008427C1">
      <w:pPr>
        <w:pStyle w:val="ListParagraph"/>
        <w:numPr>
          <w:ilvl w:val="0"/>
          <w:numId w:val="6"/>
        </w:numPr>
        <w:rPr>
          <w:sz w:val="24"/>
          <w:szCs w:val="24"/>
        </w:rPr>
      </w:pPr>
      <w:proofErr w:type="spellStart"/>
      <w:r w:rsidRPr="00997497">
        <w:rPr>
          <w:sz w:val="24"/>
          <w:szCs w:val="24"/>
        </w:rPr>
        <w:t>NFPA</w:t>
      </w:r>
      <w:proofErr w:type="spellEnd"/>
      <w:r w:rsidRPr="00997497">
        <w:rPr>
          <w:sz w:val="24"/>
          <w:szCs w:val="24"/>
        </w:rPr>
        <w:t xml:space="preserve"> 10 - National Fire Protection Association (</w:t>
      </w:r>
      <w:proofErr w:type="spellStart"/>
      <w:r w:rsidRPr="00997497">
        <w:rPr>
          <w:sz w:val="24"/>
          <w:szCs w:val="24"/>
        </w:rPr>
        <w:t>NFPA</w:t>
      </w:r>
      <w:proofErr w:type="spellEnd"/>
      <w:r w:rsidRPr="00997497">
        <w:rPr>
          <w:sz w:val="24"/>
          <w:szCs w:val="24"/>
        </w:rPr>
        <w:t xml:space="preserve">) </w:t>
      </w:r>
      <w:r>
        <w:rPr>
          <w:sz w:val="24"/>
          <w:szCs w:val="24"/>
        </w:rPr>
        <w:t>regulations</w:t>
      </w:r>
    </w:p>
    <w:p w:rsidR="00997497" w:rsidRDefault="00997497" w:rsidP="008427C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Valid </w:t>
      </w:r>
      <w:r w:rsidR="009D11D7">
        <w:rPr>
          <w:sz w:val="24"/>
          <w:szCs w:val="24"/>
        </w:rPr>
        <w:t xml:space="preserve">proof of all </w:t>
      </w:r>
      <w:r>
        <w:rPr>
          <w:sz w:val="24"/>
          <w:szCs w:val="24"/>
        </w:rPr>
        <w:t>relevant certifications and accreditations must accompany all applications</w:t>
      </w:r>
      <w:r w:rsidR="009D11D7">
        <w:rPr>
          <w:sz w:val="24"/>
          <w:szCs w:val="24"/>
        </w:rPr>
        <w:t>.</w:t>
      </w:r>
    </w:p>
    <w:p w:rsidR="008427C1" w:rsidRPr="008427C1" w:rsidRDefault="008427C1" w:rsidP="008427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427C1">
        <w:rPr>
          <w:sz w:val="24"/>
          <w:szCs w:val="24"/>
        </w:rPr>
        <w:t>Valid Registration Certificate issued by the South African Qualification &amp; Certification Committee –Fire.</w:t>
      </w:r>
    </w:p>
    <w:p w:rsidR="008427C1" w:rsidRPr="008427C1" w:rsidRDefault="008427C1" w:rsidP="008427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427C1">
        <w:rPr>
          <w:sz w:val="24"/>
          <w:szCs w:val="24"/>
        </w:rPr>
        <w:t xml:space="preserve">Valid </w:t>
      </w:r>
      <w:proofErr w:type="spellStart"/>
      <w:r w:rsidRPr="008427C1">
        <w:rPr>
          <w:sz w:val="24"/>
          <w:szCs w:val="24"/>
        </w:rPr>
        <w:t>SAQCC</w:t>
      </w:r>
      <w:proofErr w:type="spellEnd"/>
      <w:r w:rsidRPr="008427C1">
        <w:rPr>
          <w:sz w:val="24"/>
          <w:szCs w:val="24"/>
        </w:rPr>
        <w:t xml:space="preserve"> Fire identification cards for fire technicians.</w:t>
      </w:r>
    </w:p>
    <w:p w:rsidR="008427C1" w:rsidRPr="008427C1" w:rsidRDefault="008427C1" w:rsidP="008427C1">
      <w:pPr>
        <w:pStyle w:val="ListParagraph"/>
        <w:numPr>
          <w:ilvl w:val="0"/>
          <w:numId w:val="6"/>
        </w:numPr>
        <w:rPr>
          <w:sz w:val="24"/>
          <w:szCs w:val="24"/>
        </w:rPr>
      </w:pPr>
      <w:r w:rsidRPr="008427C1">
        <w:rPr>
          <w:sz w:val="24"/>
          <w:szCs w:val="24"/>
        </w:rPr>
        <w:t xml:space="preserve">The </w:t>
      </w:r>
      <w:proofErr w:type="spellStart"/>
      <w:r w:rsidRPr="008427C1">
        <w:rPr>
          <w:sz w:val="24"/>
          <w:szCs w:val="24"/>
        </w:rPr>
        <w:t>SAQCC</w:t>
      </w:r>
      <w:proofErr w:type="spellEnd"/>
      <w:r w:rsidRPr="008427C1">
        <w:rPr>
          <w:sz w:val="24"/>
          <w:szCs w:val="24"/>
        </w:rPr>
        <w:t xml:space="preserve"> fire technician must be associated to the same company as is recorded on the identification card as it illegal to use different company name to that on the card.</w:t>
      </w:r>
    </w:p>
    <w:p w:rsidR="00997497" w:rsidRDefault="00997497" w:rsidP="008427C1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SPECIFIC REQUIREMENTS</w:t>
      </w:r>
    </w:p>
    <w:p w:rsidR="007519B3" w:rsidRDefault="007519B3" w:rsidP="0099749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All facilities, buildings, offices, stores</w:t>
      </w:r>
      <w:r w:rsidR="00BE2F8E">
        <w:rPr>
          <w:sz w:val="24"/>
          <w:szCs w:val="24"/>
        </w:rPr>
        <w:t>, glasshouses</w:t>
      </w:r>
      <w:r>
        <w:rPr>
          <w:sz w:val="24"/>
          <w:szCs w:val="24"/>
        </w:rPr>
        <w:t xml:space="preserve"> at ARC Roodeplaat campuses must be inspected in terms of firefighting equipment and apparatus.</w:t>
      </w:r>
    </w:p>
    <w:p w:rsidR="00FF4549" w:rsidRDefault="00997497" w:rsidP="0099749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 </w:t>
      </w:r>
      <w:r w:rsidRPr="006314BC">
        <w:rPr>
          <w:sz w:val="24"/>
          <w:szCs w:val="24"/>
          <w:u w:val="single"/>
        </w:rPr>
        <w:t>DETAILED Register</w:t>
      </w:r>
      <w:r>
        <w:rPr>
          <w:sz w:val="24"/>
          <w:szCs w:val="24"/>
        </w:rPr>
        <w:t xml:space="preserve"> </w:t>
      </w:r>
      <w:r w:rsidR="00943A32">
        <w:rPr>
          <w:sz w:val="24"/>
          <w:szCs w:val="24"/>
        </w:rPr>
        <w:t>(</w:t>
      </w:r>
      <w:r w:rsidR="004C1E8A">
        <w:rPr>
          <w:sz w:val="24"/>
          <w:szCs w:val="24"/>
        </w:rPr>
        <w:t xml:space="preserve">copy supplied, </w:t>
      </w:r>
      <w:r w:rsidR="00943A32">
        <w:rPr>
          <w:sz w:val="24"/>
          <w:szCs w:val="24"/>
        </w:rPr>
        <w:t xml:space="preserve">both electronic </w:t>
      </w:r>
      <w:r w:rsidR="009D11D7">
        <w:rPr>
          <w:sz w:val="24"/>
          <w:szCs w:val="24"/>
        </w:rPr>
        <w:t xml:space="preserve">Excel, </w:t>
      </w:r>
      <w:r w:rsidR="00943A32">
        <w:rPr>
          <w:sz w:val="24"/>
          <w:szCs w:val="24"/>
        </w:rPr>
        <w:t xml:space="preserve">and hard copy) </w:t>
      </w:r>
      <w:r w:rsidR="00DA05F7">
        <w:rPr>
          <w:sz w:val="24"/>
          <w:szCs w:val="24"/>
        </w:rPr>
        <w:t>listing amongst other information the following</w:t>
      </w:r>
    </w:p>
    <w:p w:rsidR="00F441B3" w:rsidRDefault="00F441B3" w:rsidP="00997497">
      <w:pPr>
        <w:pStyle w:val="ListParagraph"/>
        <w:numPr>
          <w:ilvl w:val="1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ARC-PHP Campuses.</w:t>
      </w:r>
    </w:p>
    <w:p w:rsidR="00F441B3" w:rsidRPr="00F441B3" w:rsidRDefault="00F441B3" w:rsidP="00F441B3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F441B3">
        <w:rPr>
          <w:sz w:val="24"/>
          <w:szCs w:val="24"/>
        </w:rPr>
        <w:t>ARC-PHP Main Campus Roodeplaat East</w:t>
      </w:r>
      <w:r w:rsidR="00C94CBE">
        <w:rPr>
          <w:sz w:val="24"/>
          <w:szCs w:val="24"/>
        </w:rPr>
        <w:t xml:space="preserve"> (and all associated Buildings, outer buildings, glasshouses, quarantine facilities etc.)</w:t>
      </w:r>
      <w:r w:rsidRPr="00F441B3">
        <w:rPr>
          <w:sz w:val="24"/>
          <w:szCs w:val="24"/>
        </w:rPr>
        <w:t>.</w:t>
      </w:r>
    </w:p>
    <w:p w:rsidR="00F441B3" w:rsidRDefault="00F441B3" w:rsidP="00F441B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ARC-PHP Biosystematics</w:t>
      </w:r>
      <w:r w:rsidR="00C94CBE">
        <w:rPr>
          <w:sz w:val="24"/>
          <w:szCs w:val="24"/>
        </w:rPr>
        <w:t xml:space="preserve"> and associated facilities (outer buildings)</w:t>
      </w:r>
      <w:r>
        <w:rPr>
          <w:sz w:val="24"/>
          <w:szCs w:val="24"/>
        </w:rPr>
        <w:t>: ARC- VIMP campus.</w:t>
      </w:r>
    </w:p>
    <w:p w:rsidR="00F441B3" w:rsidRDefault="00F441B3" w:rsidP="00F441B3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ARC-Insect Ecology</w:t>
      </w:r>
      <w:r w:rsidR="00C94CBE">
        <w:rPr>
          <w:sz w:val="24"/>
          <w:szCs w:val="24"/>
        </w:rPr>
        <w:t xml:space="preserve"> and associated facilities (glasshouses </w:t>
      </w:r>
      <w:proofErr w:type="spellStart"/>
      <w:r w:rsidR="00C94CBE">
        <w:rPr>
          <w:sz w:val="24"/>
          <w:szCs w:val="24"/>
        </w:rPr>
        <w:t>netc</w:t>
      </w:r>
      <w:proofErr w:type="spellEnd"/>
      <w:r w:rsidR="00C94CBE">
        <w:rPr>
          <w:sz w:val="24"/>
          <w:szCs w:val="24"/>
        </w:rPr>
        <w:t>)</w:t>
      </w:r>
      <w:r>
        <w:rPr>
          <w:sz w:val="24"/>
          <w:szCs w:val="24"/>
        </w:rPr>
        <w:t>: ARC-VIMP Campus.</w:t>
      </w:r>
    </w:p>
    <w:p w:rsidR="00997497" w:rsidRPr="00C26058" w:rsidRDefault="00997497" w:rsidP="00580465">
      <w:pPr>
        <w:pStyle w:val="ListParagraph"/>
        <w:numPr>
          <w:ilvl w:val="2"/>
          <w:numId w:val="6"/>
        </w:numPr>
        <w:rPr>
          <w:sz w:val="24"/>
          <w:szCs w:val="24"/>
        </w:rPr>
      </w:pPr>
      <w:r w:rsidRPr="00C26058">
        <w:rPr>
          <w:sz w:val="24"/>
          <w:szCs w:val="24"/>
        </w:rPr>
        <w:t xml:space="preserve">all fire extinguishers and fire hydrants </w:t>
      </w:r>
      <w:r w:rsidR="00943A32" w:rsidRPr="00C26058">
        <w:rPr>
          <w:sz w:val="24"/>
          <w:szCs w:val="24"/>
        </w:rPr>
        <w:t xml:space="preserve">items </w:t>
      </w:r>
      <w:r w:rsidRPr="00C26058">
        <w:rPr>
          <w:sz w:val="24"/>
          <w:szCs w:val="24"/>
        </w:rPr>
        <w:t xml:space="preserve">must be </w:t>
      </w:r>
      <w:r w:rsidR="00C26058">
        <w:rPr>
          <w:sz w:val="24"/>
          <w:szCs w:val="24"/>
        </w:rPr>
        <w:t>listed</w:t>
      </w:r>
      <w:r w:rsidRPr="00C26058">
        <w:rPr>
          <w:sz w:val="24"/>
          <w:szCs w:val="24"/>
        </w:rPr>
        <w:t xml:space="preserve"> for each </w:t>
      </w:r>
      <w:r w:rsidR="00943A32" w:rsidRPr="00C26058">
        <w:rPr>
          <w:sz w:val="24"/>
          <w:szCs w:val="24"/>
        </w:rPr>
        <w:t xml:space="preserve">and every </w:t>
      </w:r>
      <w:r w:rsidR="008427C1" w:rsidRPr="00C26058">
        <w:rPr>
          <w:sz w:val="24"/>
          <w:szCs w:val="24"/>
        </w:rPr>
        <w:t xml:space="preserve">inspected and serviced </w:t>
      </w:r>
      <w:r w:rsidR="00C26058">
        <w:rPr>
          <w:sz w:val="24"/>
          <w:szCs w:val="24"/>
        </w:rPr>
        <w:t xml:space="preserve">fire protection equipment </w:t>
      </w:r>
      <w:r w:rsidR="00943A32" w:rsidRPr="00C26058">
        <w:rPr>
          <w:sz w:val="24"/>
          <w:szCs w:val="24"/>
        </w:rPr>
        <w:t>and</w:t>
      </w:r>
      <w:r w:rsidR="00C26058">
        <w:rPr>
          <w:sz w:val="24"/>
          <w:szCs w:val="24"/>
        </w:rPr>
        <w:t>,</w:t>
      </w:r>
      <w:r w:rsidR="00943A32" w:rsidRPr="00C26058">
        <w:rPr>
          <w:sz w:val="24"/>
          <w:szCs w:val="24"/>
        </w:rPr>
        <w:t xml:space="preserve"> must include </w:t>
      </w:r>
      <w:r w:rsidR="009D11D7" w:rsidRPr="00C26058">
        <w:rPr>
          <w:sz w:val="24"/>
          <w:szCs w:val="24"/>
        </w:rPr>
        <w:t>amongst other</w:t>
      </w:r>
      <w:r w:rsidR="00C26058">
        <w:rPr>
          <w:sz w:val="24"/>
          <w:szCs w:val="24"/>
        </w:rPr>
        <w:t xml:space="preserve"> details</w:t>
      </w:r>
      <w:r w:rsidR="009D11D7" w:rsidRPr="00C26058">
        <w:rPr>
          <w:sz w:val="24"/>
          <w:szCs w:val="24"/>
        </w:rPr>
        <w:t xml:space="preserve">, </w:t>
      </w:r>
      <w:r w:rsidR="00C26058">
        <w:rPr>
          <w:sz w:val="24"/>
          <w:szCs w:val="24"/>
        </w:rPr>
        <w:t>the following in</w:t>
      </w:r>
      <w:r w:rsidR="00943A32" w:rsidRPr="00C26058">
        <w:rPr>
          <w:sz w:val="24"/>
          <w:szCs w:val="24"/>
        </w:rPr>
        <w:t>formation for each item:</w:t>
      </w:r>
    </w:p>
    <w:p w:rsidR="00943A32" w:rsidRDefault="00943A32" w:rsidP="00FF454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Serial </w:t>
      </w:r>
      <w:r w:rsidR="008427C1">
        <w:rPr>
          <w:sz w:val="24"/>
          <w:szCs w:val="24"/>
        </w:rPr>
        <w:t>/ identification</w:t>
      </w:r>
      <w:r w:rsidR="008427C1" w:rsidRPr="008427C1">
        <w:rPr>
          <w:sz w:val="24"/>
          <w:szCs w:val="24"/>
        </w:rPr>
        <w:t xml:space="preserve"> </w:t>
      </w:r>
      <w:r w:rsidR="008427C1">
        <w:rPr>
          <w:sz w:val="24"/>
          <w:szCs w:val="24"/>
        </w:rPr>
        <w:t>number</w:t>
      </w:r>
    </w:p>
    <w:p w:rsidR="00943A32" w:rsidRDefault="00943A32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Location</w:t>
      </w:r>
      <w:r w:rsidR="009D11D7">
        <w:rPr>
          <w:sz w:val="24"/>
          <w:szCs w:val="24"/>
        </w:rPr>
        <w:t xml:space="preserve"> (e.g. Building Name/number </w:t>
      </w:r>
      <w:r w:rsidR="00BE2F8E">
        <w:rPr>
          <w:sz w:val="24"/>
          <w:szCs w:val="24"/>
        </w:rPr>
        <w:t>etc.</w:t>
      </w:r>
      <w:r w:rsidR="009D11D7">
        <w:rPr>
          <w:sz w:val="24"/>
          <w:szCs w:val="24"/>
        </w:rPr>
        <w:t>).</w:t>
      </w:r>
    </w:p>
    <w:p w:rsidR="009D11D7" w:rsidRDefault="009D11D7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Type of fire extinguisher</w:t>
      </w:r>
    </w:p>
    <w:p w:rsidR="009D11D7" w:rsidRDefault="009D11D7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Capacity</w:t>
      </w:r>
    </w:p>
    <w:p w:rsidR="009D11D7" w:rsidRDefault="009D11D7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Mass (weight)</w:t>
      </w:r>
    </w:p>
    <w:p w:rsidR="00943A32" w:rsidRDefault="00943A32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Date of last inspection, </w:t>
      </w:r>
    </w:p>
    <w:p w:rsidR="00FF4549" w:rsidRPr="00FF4549" w:rsidRDefault="00943A32" w:rsidP="00FF4549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Date of last pressure test</w:t>
      </w:r>
      <w:r w:rsidR="009D11D7">
        <w:rPr>
          <w:sz w:val="24"/>
          <w:szCs w:val="24"/>
        </w:rPr>
        <w:t xml:space="preserve"> </w:t>
      </w:r>
    </w:p>
    <w:p w:rsidR="009D11D7" w:rsidRDefault="009D11D7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Pressure test conducted Y/N and result </w:t>
      </w:r>
    </w:p>
    <w:p w:rsidR="009D11D7" w:rsidRDefault="009D11D7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Date of next pressure test (5</w:t>
      </w:r>
      <w:r w:rsidR="00FF4549">
        <w:rPr>
          <w:sz w:val="24"/>
          <w:szCs w:val="24"/>
        </w:rPr>
        <w:t xml:space="preserve"> year / 12</w:t>
      </w:r>
      <w:r>
        <w:rPr>
          <w:sz w:val="24"/>
          <w:szCs w:val="24"/>
        </w:rPr>
        <w:t xml:space="preserve"> year interval)</w:t>
      </w:r>
    </w:p>
    <w:p w:rsidR="00943A32" w:rsidRDefault="00943A32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All ARC-identification </w:t>
      </w:r>
      <w:r w:rsidR="009D11D7">
        <w:rPr>
          <w:sz w:val="24"/>
          <w:szCs w:val="24"/>
        </w:rPr>
        <w:t xml:space="preserve">asset </w:t>
      </w:r>
      <w:r>
        <w:rPr>
          <w:sz w:val="24"/>
          <w:szCs w:val="24"/>
        </w:rPr>
        <w:t xml:space="preserve">numbers / </w:t>
      </w:r>
      <w:r w:rsidR="009D11D7">
        <w:rPr>
          <w:sz w:val="24"/>
          <w:szCs w:val="24"/>
        </w:rPr>
        <w:t>markings</w:t>
      </w:r>
    </w:p>
    <w:p w:rsidR="00943A32" w:rsidRDefault="00943A32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Fire extinguisher bracket number</w:t>
      </w:r>
    </w:p>
    <w:p w:rsidR="00943A32" w:rsidRDefault="00943A32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Inspection </w:t>
      </w:r>
      <w:r w:rsidR="009D11D7">
        <w:rPr>
          <w:sz w:val="24"/>
          <w:szCs w:val="24"/>
        </w:rPr>
        <w:t>result</w:t>
      </w:r>
    </w:p>
    <w:p w:rsidR="00943A32" w:rsidRDefault="009D11D7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Date of next service</w:t>
      </w:r>
    </w:p>
    <w:p w:rsidR="00FF4549" w:rsidRDefault="00FF4549" w:rsidP="00943A32">
      <w:pPr>
        <w:pStyle w:val="ListParagraph"/>
        <w:numPr>
          <w:ilvl w:val="2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Pressure test certificate affixed</w:t>
      </w:r>
    </w:p>
    <w:p w:rsidR="00943A32" w:rsidRDefault="00FF4549" w:rsidP="00FF4549">
      <w:pPr>
        <w:pStyle w:val="ListParagraph"/>
        <w:numPr>
          <w:ilvl w:val="2"/>
          <w:numId w:val="6"/>
        </w:numPr>
        <w:ind w:left="2127"/>
        <w:rPr>
          <w:sz w:val="24"/>
          <w:szCs w:val="24"/>
        </w:rPr>
      </w:pPr>
      <w:r w:rsidRPr="00FF4549">
        <w:rPr>
          <w:sz w:val="24"/>
          <w:szCs w:val="24"/>
        </w:rPr>
        <w:t>Service / inspection certificate affixed</w:t>
      </w:r>
    </w:p>
    <w:p w:rsidR="0096044E" w:rsidRPr="0096044E" w:rsidRDefault="0096044E" w:rsidP="0096044E">
      <w:pPr>
        <w:rPr>
          <w:sz w:val="24"/>
          <w:szCs w:val="24"/>
        </w:rPr>
      </w:pPr>
    </w:p>
    <w:p w:rsidR="00C94CBE" w:rsidRDefault="00C94CBE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QUOTATION PER UNIT REQUIRED (Inclusive of traveling, call out fees)</w:t>
      </w:r>
    </w:p>
    <w:tbl>
      <w:tblPr>
        <w:tblStyle w:val="TableGrid"/>
        <w:tblW w:w="0" w:type="auto"/>
        <w:tblInd w:w="1440" w:type="dxa"/>
        <w:tblLook w:val="04A0" w:firstRow="1" w:lastRow="0" w:firstColumn="1" w:lastColumn="0" w:noHBand="0" w:noVBand="1"/>
      </w:tblPr>
      <w:tblGrid>
        <w:gridCol w:w="4127"/>
        <w:gridCol w:w="3449"/>
      </w:tblGrid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pPr>
              <w:jc w:val="center"/>
            </w:pPr>
            <w:r>
              <w:t>DESCRIPTION</w:t>
            </w:r>
          </w:p>
        </w:tc>
        <w:tc>
          <w:tcPr>
            <w:tcW w:w="3449" w:type="dxa"/>
          </w:tcPr>
          <w:p w:rsidR="0096044E" w:rsidRPr="0096044E" w:rsidRDefault="0096044E" w:rsidP="0096044E">
            <w:pPr>
              <w:jc w:val="center"/>
            </w:pPr>
            <w:r>
              <w:t>COST / FIRE EXTINGUISHER</w:t>
            </w:r>
          </w:p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>Servicing cost / fire extinguisher / per fire hydrant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lastRenderedPageBreak/>
              <w:t xml:space="preserve">Pressure test cost per fire extinguisher as </w:t>
            </w:r>
            <w:r>
              <w:t xml:space="preserve">and when </w:t>
            </w:r>
            <w:r w:rsidRPr="0096044E">
              <w:t>required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>Replacement cost of Dry Chemical Powder Fire extinguisher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>Replacement cost of CO2 Fire extinguisher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 xml:space="preserve">Replacement cost of </w:t>
            </w:r>
            <w:proofErr w:type="spellStart"/>
            <w:r w:rsidRPr="0096044E">
              <w:t>STP</w:t>
            </w:r>
            <w:proofErr w:type="spellEnd"/>
            <w:r w:rsidRPr="0096044E">
              <w:t xml:space="preserve"> type Fire extinguisher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>Refilling cost per CO2 Fire extinguisher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 xml:space="preserve">Refilling cost per </w:t>
            </w:r>
            <w:proofErr w:type="spellStart"/>
            <w:r w:rsidRPr="0096044E">
              <w:t>DCP</w:t>
            </w:r>
            <w:proofErr w:type="spellEnd"/>
            <w:r w:rsidRPr="0096044E">
              <w:t xml:space="preserve"> Fire extinguisher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>Refilling cost per described type Fire extinguisher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  <w:tr w:rsidR="0096044E" w:rsidRPr="0096044E" w:rsidTr="0096044E">
        <w:tc>
          <w:tcPr>
            <w:tcW w:w="4127" w:type="dxa"/>
          </w:tcPr>
          <w:p w:rsidR="0096044E" w:rsidRPr="0096044E" w:rsidRDefault="0096044E" w:rsidP="0096044E">
            <w:r w:rsidRPr="0096044E">
              <w:t xml:space="preserve">Charge / cost for detailed and certified fire extinguisher register (hard and soft copy – Excel and PDF, see register specifications above section </w:t>
            </w:r>
            <w:proofErr w:type="spellStart"/>
            <w:r w:rsidRPr="0096044E">
              <w:t>11.C</w:t>
            </w:r>
            <w:proofErr w:type="spellEnd"/>
            <w:r w:rsidRPr="0096044E">
              <w:t>. v - xix )</w:t>
            </w:r>
          </w:p>
        </w:tc>
        <w:tc>
          <w:tcPr>
            <w:tcW w:w="3449" w:type="dxa"/>
          </w:tcPr>
          <w:p w:rsidR="0096044E" w:rsidRPr="0096044E" w:rsidRDefault="0096044E" w:rsidP="0096044E"/>
        </w:tc>
      </w:tr>
    </w:tbl>
    <w:p w:rsidR="0096044E" w:rsidRDefault="0096044E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fire extinguisher register supplied by the ARC-PHP must contain fully updated and accurate information.  Refer: Fire extinguishers register table.  </w:t>
      </w:r>
    </w:p>
    <w:p w:rsidR="0096044E" w:rsidRDefault="0096044E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All condemned and or unrepairable fire extinguishers must be replaced.   Al condemned and or replaced fire extinguishers must be taken to Block J for internal approval of disposal processing and arrangements.  </w:t>
      </w:r>
    </w:p>
    <w:p w:rsidR="00DA05F7" w:rsidRDefault="0096044E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An additional s</w:t>
      </w:r>
      <w:r w:rsidR="00C94CBE">
        <w:rPr>
          <w:sz w:val="24"/>
          <w:szCs w:val="24"/>
        </w:rPr>
        <w:t>eparate l</w:t>
      </w:r>
      <w:r w:rsidR="00DA05F7">
        <w:rPr>
          <w:sz w:val="24"/>
          <w:szCs w:val="24"/>
        </w:rPr>
        <w:t xml:space="preserve">ist </w:t>
      </w:r>
      <w:r w:rsidR="00C94CBE">
        <w:rPr>
          <w:sz w:val="24"/>
          <w:szCs w:val="24"/>
        </w:rPr>
        <w:t xml:space="preserve">confirming </w:t>
      </w:r>
      <w:r w:rsidR="00DA05F7">
        <w:rPr>
          <w:sz w:val="24"/>
          <w:szCs w:val="24"/>
        </w:rPr>
        <w:t>all condemned fire extinguishers replaced.</w:t>
      </w:r>
    </w:p>
    <w:p w:rsidR="00DA05F7" w:rsidRDefault="00DA05F7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The ARC-Roodeplaat OHSE must be contacted if any fire extinguishers </w:t>
      </w:r>
      <w:r w:rsidR="00632C52">
        <w:rPr>
          <w:sz w:val="24"/>
          <w:szCs w:val="24"/>
        </w:rPr>
        <w:t xml:space="preserve">are missing or misplaced. </w:t>
      </w:r>
    </w:p>
    <w:p w:rsidR="00DA05F7" w:rsidRDefault="00DA05F7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List and location where </w:t>
      </w:r>
      <w:r w:rsidR="0045493E">
        <w:rPr>
          <w:sz w:val="24"/>
          <w:szCs w:val="24"/>
        </w:rPr>
        <w:t>N</w:t>
      </w:r>
      <w:bookmarkStart w:id="0" w:name="_GoBack"/>
      <w:bookmarkEnd w:id="0"/>
      <w:r w:rsidR="0045493E">
        <w:rPr>
          <w:sz w:val="24"/>
          <w:szCs w:val="24"/>
        </w:rPr>
        <w:t xml:space="preserve">EW </w:t>
      </w:r>
      <w:r>
        <w:rPr>
          <w:sz w:val="24"/>
          <w:szCs w:val="24"/>
        </w:rPr>
        <w:t>fire extinguishers are required.</w:t>
      </w:r>
    </w:p>
    <w:p w:rsidR="00DA05F7" w:rsidRDefault="00DA05F7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List of repair / replacement requirements for all fire hydrants, hose reels etc.</w:t>
      </w:r>
    </w:p>
    <w:p w:rsidR="00DA05F7" w:rsidRDefault="00DA05F7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 xml:space="preserve">Certificate of inspection </w:t>
      </w:r>
      <w:r w:rsidR="00632C52">
        <w:rPr>
          <w:sz w:val="24"/>
          <w:szCs w:val="24"/>
        </w:rPr>
        <w:t>signage on</w:t>
      </w:r>
      <w:r>
        <w:rPr>
          <w:sz w:val="24"/>
          <w:szCs w:val="24"/>
        </w:rPr>
        <w:t xml:space="preserve"> all fire hydrants, hose reels etc.</w:t>
      </w:r>
    </w:p>
    <w:p w:rsidR="009D11D7" w:rsidRPr="00997497" w:rsidRDefault="00FF4549" w:rsidP="009D11D7">
      <w:pPr>
        <w:pStyle w:val="ListParagraph"/>
        <w:numPr>
          <w:ilvl w:val="0"/>
          <w:numId w:val="6"/>
        </w:numPr>
        <w:rPr>
          <w:sz w:val="24"/>
          <w:szCs w:val="24"/>
        </w:rPr>
      </w:pPr>
      <w:r>
        <w:rPr>
          <w:sz w:val="24"/>
          <w:szCs w:val="24"/>
        </w:rPr>
        <w:t>Service inspection summary report</w:t>
      </w:r>
    </w:p>
    <w:sectPr w:rsidR="009D11D7" w:rsidRPr="00997497">
      <w:footerReference w:type="default" r:id="rId8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B7BD3" w:rsidRDefault="007B7BD3" w:rsidP="00DA05F7">
      <w:pPr>
        <w:spacing w:after="0" w:line="240" w:lineRule="auto"/>
      </w:pPr>
      <w:r>
        <w:separator/>
      </w:r>
    </w:p>
  </w:endnote>
  <w:endnote w:type="continuationSeparator" w:id="0">
    <w:p w:rsidR="007B7BD3" w:rsidRDefault="007B7BD3" w:rsidP="00DA05F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BA0740" w:rsidRDefault="00BA0740">
    <w:pPr>
      <w:pStyle w:val="Footer"/>
      <w:jc w:val="right"/>
    </w:pPr>
    <w:r>
      <w:t xml:space="preserve">    </w:t>
    </w:r>
    <w:r w:rsidRPr="00BA0740">
      <w:rPr>
        <w:b/>
        <w:sz w:val="18"/>
      </w:rPr>
      <w:fldChar w:fldCharType="begin"/>
    </w:r>
    <w:r w:rsidRPr="00BA0740">
      <w:rPr>
        <w:b/>
        <w:sz w:val="18"/>
      </w:rPr>
      <w:instrText xml:space="preserve"> FILENAME \* MERGEFORMAT </w:instrText>
    </w:r>
    <w:r w:rsidRPr="00BA0740">
      <w:rPr>
        <w:b/>
        <w:sz w:val="18"/>
      </w:rPr>
      <w:fldChar w:fldCharType="separate"/>
    </w:r>
    <w:r w:rsidRPr="00BA0740">
      <w:rPr>
        <w:b/>
        <w:noProof/>
        <w:sz w:val="18"/>
      </w:rPr>
      <w:t>SPECIFICATIONS FOR FIRE FIGHTING EQUIPMENT SERVICING ARC-PHP Roodeplaat 5 April 2023.docx</w:t>
    </w:r>
    <w:r w:rsidRPr="00BA0740">
      <w:rPr>
        <w:b/>
        <w:sz w:val="18"/>
      </w:rPr>
      <w:fldChar w:fldCharType="end"/>
    </w:r>
    <w:r w:rsidRPr="00BA0740">
      <w:rPr>
        <w:b/>
        <w:sz w:val="18"/>
      </w:rPr>
      <w:t xml:space="preserve"> </w:t>
    </w:r>
    <w:r>
      <w:t xml:space="preserve">       </w:t>
    </w:r>
    <w:sdt>
      <w:sdtPr>
        <w:id w:val="514505147"/>
        <w:docPartObj>
          <w:docPartGallery w:val="Page Numbers (Bottom of Page)"/>
          <w:docPartUnique/>
        </w:docPartObj>
      </w:sdtPr>
      <w:sdtEndPr/>
      <w:sdtContent>
        <w:sdt>
          <w:sdtPr>
            <w:id w:val="-1769616900"/>
            <w:docPartObj>
              <w:docPartGallery w:val="Page Numbers (Top of Page)"/>
              <w:docPartUnique/>
            </w:docPartObj>
          </w:sdtPr>
          <w:sdtEndPr/>
          <w:sdtContent>
            <w:r>
              <w:t xml:space="preserve">Page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PAGE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E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of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 NUMPAGES  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4C1E8A">
              <w:rPr>
                <w:b/>
                <w:bCs/>
                <w:noProof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sdtContent>
        </w:sdt>
      </w:sdtContent>
    </w:sdt>
  </w:p>
  <w:p w:rsidR="00DA05F7" w:rsidRDefault="00DA05F7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B7BD3" w:rsidRDefault="007B7BD3" w:rsidP="00DA05F7">
      <w:pPr>
        <w:spacing w:after="0" w:line="240" w:lineRule="auto"/>
      </w:pPr>
      <w:r>
        <w:separator/>
      </w:r>
    </w:p>
  </w:footnote>
  <w:footnote w:type="continuationSeparator" w:id="0">
    <w:p w:rsidR="007B7BD3" w:rsidRDefault="007B7BD3" w:rsidP="00DA05F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539538E"/>
    <w:multiLevelType w:val="hybridMultilevel"/>
    <w:tmpl w:val="ADECE332"/>
    <w:lvl w:ilvl="0" w:tplc="FD006E54">
      <w:start w:val="1"/>
      <w:numFmt w:val="decimal"/>
      <w:lvlText w:val="%1."/>
      <w:lvlJc w:val="left"/>
      <w:pPr>
        <w:ind w:left="720" w:hanging="360"/>
      </w:pPr>
    </w:lvl>
    <w:lvl w:ilvl="1" w:tplc="1C090019" w:tentative="1">
      <w:start w:val="1"/>
      <w:numFmt w:val="lowerLetter"/>
      <w:lvlText w:val="%2."/>
      <w:lvlJc w:val="left"/>
      <w:pPr>
        <w:ind w:left="1440" w:hanging="360"/>
      </w:pPr>
    </w:lvl>
    <w:lvl w:ilvl="2" w:tplc="1C09001B" w:tentative="1">
      <w:start w:val="1"/>
      <w:numFmt w:val="lowerRoman"/>
      <w:lvlText w:val="%3."/>
      <w:lvlJc w:val="right"/>
      <w:pPr>
        <w:ind w:left="2160" w:hanging="180"/>
      </w:pPr>
    </w:lvl>
    <w:lvl w:ilvl="3" w:tplc="1C09000F" w:tentative="1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3826E69"/>
    <w:multiLevelType w:val="hybridMultilevel"/>
    <w:tmpl w:val="6EECAD62"/>
    <w:lvl w:ilvl="0" w:tplc="07E64E04">
      <w:start w:val="1"/>
      <w:numFmt w:val="decimal"/>
      <w:pStyle w:val="TOC3"/>
      <w:lvlText w:val="%1."/>
      <w:lvlJc w:val="left"/>
      <w:pPr>
        <w:ind w:left="1160" w:hanging="360"/>
      </w:pPr>
    </w:lvl>
    <w:lvl w:ilvl="1" w:tplc="1C090019" w:tentative="1">
      <w:start w:val="1"/>
      <w:numFmt w:val="lowerLetter"/>
      <w:lvlText w:val="%2."/>
      <w:lvlJc w:val="left"/>
      <w:pPr>
        <w:ind w:left="1880" w:hanging="360"/>
      </w:pPr>
    </w:lvl>
    <w:lvl w:ilvl="2" w:tplc="1C09001B" w:tentative="1">
      <w:start w:val="1"/>
      <w:numFmt w:val="lowerRoman"/>
      <w:lvlText w:val="%3."/>
      <w:lvlJc w:val="right"/>
      <w:pPr>
        <w:ind w:left="2600" w:hanging="180"/>
      </w:pPr>
    </w:lvl>
    <w:lvl w:ilvl="3" w:tplc="1C09000F" w:tentative="1">
      <w:start w:val="1"/>
      <w:numFmt w:val="decimal"/>
      <w:lvlText w:val="%4."/>
      <w:lvlJc w:val="left"/>
      <w:pPr>
        <w:ind w:left="3320" w:hanging="360"/>
      </w:pPr>
    </w:lvl>
    <w:lvl w:ilvl="4" w:tplc="1C090019" w:tentative="1">
      <w:start w:val="1"/>
      <w:numFmt w:val="lowerLetter"/>
      <w:lvlText w:val="%5."/>
      <w:lvlJc w:val="left"/>
      <w:pPr>
        <w:ind w:left="4040" w:hanging="360"/>
      </w:pPr>
    </w:lvl>
    <w:lvl w:ilvl="5" w:tplc="1C09001B" w:tentative="1">
      <w:start w:val="1"/>
      <w:numFmt w:val="lowerRoman"/>
      <w:lvlText w:val="%6."/>
      <w:lvlJc w:val="right"/>
      <w:pPr>
        <w:ind w:left="4760" w:hanging="180"/>
      </w:pPr>
    </w:lvl>
    <w:lvl w:ilvl="6" w:tplc="1C09000F" w:tentative="1">
      <w:start w:val="1"/>
      <w:numFmt w:val="decimal"/>
      <w:lvlText w:val="%7."/>
      <w:lvlJc w:val="left"/>
      <w:pPr>
        <w:ind w:left="5480" w:hanging="360"/>
      </w:pPr>
    </w:lvl>
    <w:lvl w:ilvl="7" w:tplc="1C090019" w:tentative="1">
      <w:start w:val="1"/>
      <w:numFmt w:val="lowerLetter"/>
      <w:lvlText w:val="%8."/>
      <w:lvlJc w:val="left"/>
      <w:pPr>
        <w:ind w:left="6200" w:hanging="360"/>
      </w:pPr>
    </w:lvl>
    <w:lvl w:ilvl="8" w:tplc="1C09001B" w:tentative="1">
      <w:start w:val="1"/>
      <w:numFmt w:val="lowerRoman"/>
      <w:lvlText w:val="%9."/>
      <w:lvlJc w:val="right"/>
      <w:pPr>
        <w:ind w:left="6920" w:hanging="180"/>
      </w:pPr>
    </w:lvl>
  </w:abstractNum>
  <w:abstractNum w:abstractNumId="2" w15:restartNumberingAfterBreak="0">
    <w:nsid w:val="247F6396"/>
    <w:multiLevelType w:val="hybridMultilevel"/>
    <w:tmpl w:val="6EF04B16"/>
    <w:lvl w:ilvl="0" w:tplc="1C09000F">
      <w:start w:val="1"/>
      <w:numFmt w:val="decimal"/>
      <w:lvlText w:val="%1."/>
      <w:lvlJc w:val="left"/>
      <w:pPr>
        <w:ind w:left="720" w:hanging="360"/>
      </w:pPr>
    </w:lvl>
    <w:lvl w:ilvl="1" w:tplc="1C090019">
      <w:start w:val="1"/>
      <w:numFmt w:val="lowerLetter"/>
      <w:lvlText w:val="%2."/>
      <w:lvlJc w:val="left"/>
      <w:pPr>
        <w:ind w:left="1440" w:hanging="360"/>
      </w:pPr>
    </w:lvl>
    <w:lvl w:ilvl="2" w:tplc="1C09001B">
      <w:start w:val="1"/>
      <w:numFmt w:val="lowerRoman"/>
      <w:lvlText w:val="%3."/>
      <w:lvlJc w:val="right"/>
      <w:pPr>
        <w:ind w:left="2160" w:hanging="180"/>
      </w:pPr>
    </w:lvl>
    <w:lvl w:ilvl="3" w:tplc="1C09000F">
      <w:start w:val="1"/>
      <w:numFmt w:val="decimal"/>
      <w:lvlText w:val="%4."/>
      <w:lvlJc w:val="left"/>
      <w:pPr>
        <w:ind w:left="2880" w:hanging="360"/>
      </w:pPr>
    </w:lvl>
    <w:lvl w:ilvl="4" w:tplc="1C090019" w:tentative="1">
      <w:start w:val="1"/>
      <w:numFmt w:val="lowerLetter"/>
      <w:lvlText w:val="%5."/>
      <w:lvlJc w:val="left"/>
      <w:pPr>
        <w:ind w:left="3600" w:hanging="360"/>
      </w:pPr>
    </w:lvl>
    <w:lvl w:ilvl="5" w:tplc="1C09001B" w:tentative="1">
      <w:start w:val="1"/>
      <w:numFmt w:val="lowerRoman"/>
      <w:lvlText w:val="%6."/>
      <w:lvlJc w:val="right"/>
      <w:pPr>
        <w:ind w:left="4320" w:hanging="180"/>
      </w:pPr>
    </w:lvl>
    <w:lvl w:ilvl="6" w:tplc="1C09000F" w:tentative="1">
      <w:start w:val="1"/>
      <w:numFmt w:val="decimal"/>
      <w:lvlText w:val="%7."/>
      <w:lvlJc w:val="left"/>
      <w:pPr>
        <w:ind w:left="5040" w:hanging="360"/>
      </w:pPr>
    </w:lvl>
    <w:lvl w:ilvl="7" w:tplc="1C090019" w:tentative="1">
      <w:start w:val="1"/>
      <w:numFmt w:val="lowerLetter"/>
      <w:lvlText w:val="%8."/>
      <w:lvlJc w:val="left"/>
      <w:pPr>
        <w:ind w:left="5760" w:hanging="360"/>
      </w:pPr>
    </w:lvl>
    <w:lvl w:ilvl="8" w:tplc="1C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1546676"/>
    <w:multiLevelType w:val="hybridMultilevel"/>
    <w:tmpl w:val="CAD61BB6"/>
    <w:lvl w:ilvl="0" w:tplc="6944D0E8">
      <w:start w:val="1"/>
      <w:numFmt w:val="lowerLetter"/>
      <w:lvlText w:val="%1."/>
      <w:lvlJc w:val="left"/>
      <w:pPr>
        <w:ind w:left="1380" w:hanging="360"/>
      </w:pPr>
    </w:lvl>
    <w:lvl w:ilvl="1" w:tplc="1C090019" w:tentative="1">
      <w:start w:val="1"/>
      <w:numFmt w:val="lowerLetter"/>
      <w:lvlText w:val="%2."/>
      <w:lvlJc w:val="left"/>
      <w:pPr>
        <w:ind w:left="2100" w:hanging="360"/>
      </w:pPr>
    </w:lvl>
    <w:lvl w:ilvl="2" w:tplc="1C09001B" w:tentative="1">
      <w:start w:val="1"/>
      <w:numFmt w:val="lowerRoman"/>
      <w:lvlText w:val="%3."/>
      <w:lvlJc w:val="right"/>
      <w:pPr>
        <w:ind w:left="2820" w:hanging="180"/>
      </w:pPr>
    </w:lvl>
    <w:lvl w:ilvl="3" w:tplc="1C09000F" w:tentative="1">
      <w:start w:val="1"/>
      <w:numFmt w:val="decimal"/>
      <w:lvlText w:val="%4."/>
      <w:lvlJc w:val="left"/>
      <w:pPr>
        <w:ind w:left="3540" w:hanging="360"/>
      </w:pPr>
    </w:lvl>
    <w:lvl w:ilvl="4" w:tplc="1C090019" w:tentative="1">
      <w:start w:val="1"/>
      <w:numFmt w:val="lowerLetter"/>
      <w:lvlText w:val="%5."/>
      <w:lvlJc w:val="left"/>
      <w:pPr>
        <w:ind w:left="4260" w:hanging="360"/>
      </w:pPr>
    </w:lvl>
    <w:lvl w:ilvl="5" w:tplc="1C09001B" w:tentative="1">
      <w:start w:val="1"/>
      <w:numFmt w:val="lowerRoman"/>
      <w:lvlText w:val="%6."/>
      <w:lvlJc w:val="right"/>
      <w:pPr>
        <w:ind w:left="4980" w:hanging="180"/>
      </w:pPr>
    </w:lvl>
    <w:lvl w:ilvl="6" w:tplc="1C09000F" w:tentative="1">
      <w:start w:val="1"/>
      <w:numFmt w:val="decimal"/>
      <w:lvlText w:val="%7."/>
      <w:lvlJc w:val="left"/>
      <w:pPr>
        <w:ind w:left="5700" w:hanging="360"/>
      </w:pPr>
    </w:lvl>
    <w:lvl w:ilvl="7" w:tplc="1C090019" w:tentative="1">
      <w:start w:val="1"/>
      <w:numFmt w:val="lowerLetter"/>
      <w:lvlText w:val="%8."/>
      <w:lvlJc w:val="left"/>
      <w:pPr>
        <w:ind w:left="6420" w:hanging="360"/>
      </w:pPr>
    </w:lvl>
    <w:lvl w:ilvl="8" w:tplc="1C09001B" w:tentative="1">
      <w:start w:val="1"/>
      <w:numFmt w:val="lowerRoman"/>
      <w:lvlText w:val="%9."/>
      <w:lvlJc w:val="right"/>
      <w:pPr>
        <w:ind w:left="7140" w:hanging="18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0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52BF"/>
    <w:rsid w:val="000E3D0F"/>
    <w:rsid w:val="00102DF4"/>
    <w:rsid w:val="002F52BF"/>
    <w:rsid w:val="0031448F"/>
    <w:rsid w:val="00336154"/>
    <w:rsid w:val="004547A8"/>
    <w:rsid w:val="0045493E"/>
    <w:rsid w:val="004C1E8A"/>
    <w:rsid w:val="006314BC"/>
    <w:rsid w:val="00632C52"/>
    <w:rsid w:val="006427CD"/>
    <w:rsid w:val="007519B3"/>
    <w:rsid w:val="007B7BD3"/>
    <w:rsid w:val="00836CD0"/>
    <w:rsid w:val="008427C1"/>
    <w:rsid w:val="008B13A7"/>
    <w:rsid w:val="009400FD"/>
    <w:rsid w:val="00943A32"/>
    <w:rsid w:val="0096044E"/>
    <w:rsid w:val="00997497"/>
    <w:rsid w:val="009D11D7"/>
    <w:rsid w:val="00B5162C"/>
    <w:rsid w:val="00B875B2"/>
    <w:rsid w:val="00BA0740"/>
    <w:rsid w:val="00BE2F8E"/>
    <w:rsid w:val="00C26058"/>
    <w:rsid w:val="00C94CBE"/>
    <w:rsid w:val="00D32941"/>
    <w:rsid w:val="00DA05F7"/>
    <w:rsid w:val="00E05F6B"/>
    <w:rsid w:val="00E670FE"/>
    <w:rsid w:val="00EA3EA6"/>
    <w:rsid w:val="00F441B3"/>
    <w:rsid w:val="00FF45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Z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2955144"/>
  <w15:chartTrackingRefBased/>
  <w15:docId w15:val="{6799DF43-5917-4702-9FB7-D39BDF1595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ZA" w:eastAsia="en-US" w:bidi="ar-SA"/>
      </w:rPr>
    </w:rPrDefault>
    <w:pPrDefault>
      <w:pPr>
        <w:spacing w:after="160" w:line="259" w:lineRule="auto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0" w:unhideWhenUsed="1" w:qFormat="1"/>
    <w:lsdException w:name="toc 2" w:semiHidden="1" w:uiPriority="0" w:unhideWhenUsed="1" w:qFormat="1"/>
    <w:lsdException w:name="toc 3" w:semiHidden="1" w:uiPriority="39" w:unhideWhenUsed="1" w:qFormat="1"/>
    <w:lsdException w:name="toc 4" w:semiHidden="1" w:uiPriority="0" w:unhideWhenUsed="1" w:qFormat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3294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32941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32941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OC1">
    <w:name w:val="toc 1"/>
    <w:basedOn w:val="Normal"/>
    <w:next w:val="Normal"/>
    <w:autoRedefine/>
    <w:qFormat/>
    <w:rsid w:val="00102DF4"/>
    <w:pPr>
      <w:spacing w:after="0" w:line="240" w:lineRule="auto"/>
      <w:contextualSpacing/>
    </w:pPr>
    <w:rPr>
      <w:rFonts w:ascii="Arial Narrow" w:eastAsia="Times New Roman" w:hAnsi="Arial Narrow" w:cs="Times New Roman"/>
      <w:b/>
      <w:color w:val="000000" w:themeColor="text1"/>
      <w:sz w:val="32"/>
      <w:szCs w:val="20"/>
      <w:lang w:val="en-GB"/>
    </w:rPr>
  </w:style>
  <w:style w:type="paragraph" w:styleId="TOC2">
    <w:name w:val="toc 2"/>
    <w:basedOn w:val="Normal"/>
    <w:next w:val="Normal"/>
    <w:autoRedefine/>
    <w:qFormat/>
    <w:rsid w:val="00102DF4"/>
    <w:pPr>
      <w:spacing w:after="100" w:line="240" w:lineRule="auto"/>
      <w:ind w:left="238"/>
      <w:contextualSpacing/>
      <w:jc w:val="left"/>
    </w:pPr>
    <w:rPr>
      <w:rFonts w:ascii="Arial Narrow" w:eastAsia="Times New Roman" w:hAnsi="Arial Narrow" w:cs="Times New Roman"/>
      <w:b/>
      <w:color w:val="000000" w:themeColor="text1"/>
      <w:sz w:val="28"/>
      <w:szCs w:val="20"/>
      <w:lang w:val="en-GB"/>
    </w:rPr>
  </w:style>
  <w:style w:type="paragraph" w:styleId="TOC3">
    <w:name w:val="toc 3"/>
    <w:basedOn w:val="Heading3"/>
    <w:next w:val="NoSpacing"/>
    <w:autoRedefine/>
    <w:uiPriority w:val="39"/>
    <w:semiHidden/>
    <w:unhideWhenUsed/>
    <w:qFormat/>
    <w:rsid w:val="00D32941"/>
    <w:pPr>
      <w:numPr>
        <w:numId w:val="5"/>
      </w:numPr>
      <w:spacing w:after="100"/>
    </w:pPr>
    <w:rPr>
      <w:b/>
      <w:color w:val="000000" w:themeColor="text1"/>
    </w:rPr>
  </w:style>
  <w:style w:type="paragraph" w:styleId="TOC4">
    <w:name w:val="toc 4"/>
    <w:basedOn w:val="Normal"/>
    <w:next w:val="Normal"/>
    <w:autoRedefine/>
    <w:qFormat/>
    <w:rsid w:val="00102DF4"/>
    <w:pPr>
      <w:spacing w:after="100" w:line="240" w:lineRule="auto"/>
      <w:ind w:left="720"/>
      <w:contextualSpacing/>
      <w:jc w:val="left"/>
    </w:pPr>
    <w:rPr>
      <w:rFonts w:ascii="Arial Narrow" w:eastAsia="Times New Roman" w:hAnsi="Arial Narrow" w:cs="Times New Roman"/>
      <w:b/>
      <w:i/>
      <w:color w:val="000000" w:themeColor="text1"/>
      <w:sz w:val="24"/>
      <w:szCs w:val="20"/>
      <w:lang w:val="en-GB"/>
    </w:rPr>
  </w:style>
  <w:style w:type="character" w:customStyle="1" w:styleId="Heading1Char">
    <w:name w:val="Heading 1 Char"/>
    <w:basedOn w:val="DefaultParagraphFont"/>
    <w:link w:val="Heading1"/>
    <w:uiPriority w:val="9"/>
    <w:rsid w:val="00D32941"/>
    <w:rPr>
      <w:rFonts w:asciiTheme="majorHAnsi" w:eastAsiaTheme="majorEastAsia" w:hAnsiTheme="majorHAnsi" w:cstheme="majorBidi"/>
      <w:color w:val="2E74B5" w:themeColor="accent1" w:themeShade="BF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32941"/>
    <w:rPr>
      <w:rFonts w:asciiTheme="majorHAnsi" w:eastAsiaTheme="majorEastAsia" w:hAnsiTheme="majorHAnsi" w:cstheme="majorBidi"/>
      <w:color w:val="2E74B5" w:themeColor="accent1" w:themeShade="BF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3294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NoSpacing">
    <w:name w:val="No Spacing"/>
    <w:uiPriority w:val="1"/>
    <w:qFormat/>
    <w:rsid w:val="00D32941"/>
    <w:pPr>
      <w:spacing w:line="240" w:lineRule="auto"/>
    </w:pPr>
  </w:style>
  <w:style w:type="paragraph" w:styleId="ListParagraph">
    <w:name w:val="List Paragraph"/>
    <w:basedOn w:val="Normal"/>
    <w:uiPriority w:val="34"/>
    <w:qFormat/>
    <w:rsid w:val="002F52BF"/>
    <w:pPr>
      <w:ind w:left="720"/>
      <w:contextualSpacing/>
    </w:pPr>
  </w:style>
  <w:style w:type="character" w:styleId="Emphasis">
    <w:name w:val="Emphasis"/>
    <w:basedOn w:val="DefaultParagraphFont"/>
    <w:uiPriority w:val="20"/>
    <w:qFormat/>
    <w:rsid w:val="002F52BF"/>
    <w:rPr>
      <w:i/>
      <w:iCs/>
    </w:rPr>
  </w:style>
  <w:style w:type="paragraph" w:styleId="Header">
    <w:name w:val="header"/>
    <w:basedOn w:val="Normal"/>
    <w:link w:val="HeaderChar"/>
    <w:uiPriority w:val="99"/>
    <w:unhideWhenUsed/>
    <w:rsid w:val="00DA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A05F7"/>
  </w:style>
  <w:style w:type="paragraph" w:styleId="Footer">
    <w:name w:val="footer"/>
    <w:basedOn w:val="Normal"/>
    <w:link w:val="FooterChar"/>
    <w:uiPriority w:val="99"/>
    <w:unhideWhenUsed/>
    <w:rsid w:val="00DA05F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A05F7"/>
  </w:style>
  <w:style w:type="table" w:styleId="TableGrid">
    <w:name w:val="Table Grid"/>
    <w:basedOn w:val="TableNormal"/>
    <w:uiPriority w:val="39"/>
    <w:rsid w:val="0096044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144</TotalTime>
  <Pages>3</Pages>
  <Words>743</Words>
  <Characters>4237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Etienne Van Der Walt</dc:creator>
  <cp:keywords/>
  <dc:description/>
  <cp:lastModifiedBy>Etienne Van Der Walt</cp:lastModifiedBy>
  <cp:revision>6</cp:revision>
  <dcterms:created xsi:type="dcterms:W3CDTF">2023-04-05T13:08:00Z</dcterms:created>
  <dcterms:modified xsi:type="dcterms:W3CDTF">2023-04-25T13:07:00Z</dcterms:modified>
</cp:coreProperties>
</file>