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1052" w:type="dxa"/>
        <w:tblLook w:val="04A0" w:firstRow="1" w:lastRow="0" w:firstColumn="1" w:lastColumn="0" w:noHBand="0" w:noVBand="1"/>
      </w:tblPr>
      <w:tblGrid>
        <w:gridCol w:w="3135"/>
        <w:gridCol w:w="25"/>
        <w:gridCol w:w="2505"/>
        <w:gridCol w:w="2686"/>
        <w:gridCol w:w="291"/>
        <w:gridCol w:w="2410"/>
      </w:tblGrid>
      <w:tr w:rsidR="00A45502" w:rsidRPr="0089652C" w:rsidTr="00693BD3">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917" w:type="dxa"/>
            <w:gridSpan w:val="5"/>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693BD3" w:rsidRPr="0089652C" w:rsidTr="00085FC9">
        <w:trPr>
          <w:trHeight w:val="503"/>
        </w:trPr>
        <w:tc>
          <w:tcPr>
            <w:tcW w:w="5665" w:type="dxa"/>
            <w:gridSpan w:val="3"/>
            <w:tcBorders>
              <w:bottom w:val="single" w:sz="4" w:space="0" w:color="auto"/>
            </w:tcBorders>
          </w:tcPr>
          <w:p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977" w:type="dxa"/>
            <w:gridSpan w:val="2"/>
          </w:tcPr>
          <w:p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693BD3" w:rsidRPr="0089652C" w:rsidRDefault="00693BD3" w:rsidP="001B7CEF">
            <w:pPr>
              <w:rPr>
                <w:rFonts w:ascii="Times New Roman" w:hAnsi="Times New Roman" w:cs="Times New Roman"/>
                <w:b/>
                <w:bCs/>
                <w:lang w:val="en-GB"/>
              </w:rPr>
            </w:pPr>
          </w:p>
        </w:tc>
        <w:tc>
          <w:tcPr>
            <w:tcW w:w="2410" w:type="dxa"/>
          </w:tcPr>
          <w:p w:rsidR="00693BD3" w:rsidRDefault="00693BD3">
            <w:pPr>
              <w:rPr>
                <w:rFonts w:ascii="Times New Roman" w:hAnsi="Times New Roman" w:cs="Times New Roman"/>
                <w:b/>
                <w:bCs/>
                <w:lang w:val="en-GB"/>
              </w:rPr>
            </w:pPr>
          </w:p>
          <w:p w:rsidR="00693BD3" w:rsidRPr="0089652C" w:rsidRDefault="00085FC9" w:rsidP="001B7CEF">
            <w:pPr>
              <w:rPr>
                <w:rFonts w:ascii="Times New Roman" w:hAnsi="Times New Roman" w:cs="Times New Roman"/>
                <w:b/>
                <w:bCs/>
                <w:lang w:val="en-GB"/>
              </w:rPr>
            </w:pPr>
            <w:r>
              <w:rPr>
                <w:rFonts w:ascii="Times New Roman" w:hAnsi="Times New Roman" w:cs="Times New Roman"/>
                <w:b/>
                <w:bCs/>
                <w:lang w:val="en-GB"/>
              </w:rPr>
              <w:t>CIDB REQUIRED</w:t>
            </w:r>
          </w:p>
        </w:tc>
      </w:tr>
      <w:tr w:rsidR="00693BD3" w:rsidRPr="0089652C" w:rsidTr="00085FC9">
        <w:trPr>
          <w:trHeight w:val="507"/>
        </w:trPr>
        <w:tc>
          <w:tcPr>
            <w:tcW w:w="5665" w:type="dxa"/>
            <w:gridSpan w:val="3"/>
          </w:tcPr>
          <w:p w:rsidR="00693BD3" w:rsidRPr="0089652C" w:rsidRDefault="00693BD3" w:rsidP="00973E1E">
            <w:pPr>
              <w:rPr>
                <w:rFonts w:ascii="Times New Roman" w:hAnsi="Times New Roman" w:cs="Times New Roman"/>
                <w:b/>
                <w:bCs/>
                <w:lang w:val="en-GB"/>
              </w:rPr>
            </w:pPr>
            <w:r w:rsidRPr="002A0B83">
              <w:rPr>
                <w:rFonts w:ascii="Times New Roman" w:hAnsi="Times New Roman" w:cs="Times New Roman"/>
                <w:b/>
                <w:bCs/>
                <w:lang w:val="en-GB"/>
              </w:rPr>
              <w:t xml:space="preserve">APPOINTMENT OF A PANEL OF THREE (3) TO FIVE </w:t>
            </w:r>
            <w:r w:rsidR="00546FCA" w:rsidRPr="002A0B83">
              <w:rPr>
                <w:rFonts w:ascii="Times New Roman" w:hAnsi="Times New Roman" w:cs="Times New Roman"/>
                <w:b/>
                <w:bCs/>
                <w:lang w:val="en-GB"/>
              </w:rPr>
              <w:t>(5</w:t>
            </w:r>
            <w:r w:rsidRPr="002A0B83">
              <w:rPr>
                <w:rFonts w:ascii="Times New Roman" w:hAnsi="Times New Roman" w:cs="Times New Roman"/>
                <w:b/>
                <w:bCs/>
                <w:lang w:val="en-GB"/>
              </w:rPr>
              <w:t xml:space="preserve">) SERVICE PROVIDERS/CONTRACTORS FOR </w:t>
            </w:r>
            <w:r w:rsidR="00546FCA" w:rsidRPr="002A0B83">
              <w:rPr>
                <w:rFonts w:ascii="Times New Roman" w:hAnsi="Times New Roman" w:cs="Times New Roman"/>
                <w:b/>
                <w:bCs/>
                <w:lang w:val="en-GB"/>
              </w:rPr>
              <w:t>TURNKEY CONSTRUCTION</w:t>
            </w:r>
            <w:r w:rsidRPr="002A0B83">
              <w:rPr>
                <w:rFonts w:ascii="Times New Roman" w:hAnsi="Times New Roman" w:cs="Times New Roman"/>
                <w:b/>
                <w:bCs/>
                <w:lang w:val="en-GB"/>
              </w:rPr>
              <w:t xml:space="preserve"> OF</w:t>
            </w:r>
            <w:r w:rsidR="00EA26BC">
              <w:rPr>
                <w:rFonts w:ascii="Times New Roman" w:hAnsi="Times New Roman" w:cs="Times New Roman"/>
                <w:b/>
                <w:bCs/>
                <w:lang w:val="en-GB"/>
              </w:rPr>
              <w:t xml:space="preserve"> HOUSING</w:t>
            </w:r>
            <w:r w:rsidRPr="002A0B83">
              <w:rPr>
                <w:rFonts w:ascii="Times New Roman" w:hAnsi="Times New Roman" w:cs="Times New Roman"/>
                <w:b/>
                <w:bCs/>
                <w:lang w:val="en-GB"/>
              </w:rPr>
              <w:t xml:space="preserve"> UNITS IN MATATIELE LOCAL MUNICIPALITY FOR A PERIOD OF THREE (3) YEARS</w:t>
            </w:r>
          </w:p>
        </w:tc>
        <w:tc>
          <w:tcPr>
            <w:tcW w:w="2977" w:type="dxa"/>
            <w:gridSpan w:val="2"/>
          </w:tcPr>
          <w:p w:rsidR="00693BD3" w:rsidRPr="0089652C" w:rsidRDefault="00693BD3"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Pr>
                <w:rFonts w:ascii="Times New Roman" w:hAnsi="Times New Roman" w:cs="Times New Roman"/>
                <w:b/>
                <w:bCs/>
                <w:lang w:val="en-GB"/>
              </w:rPr>
              <w:t>32</w:t>
            </w:r>
          </w:p>
          <w:p w:rsidR="00693BD3" w:rsidRPr="0089652C" w:rsidRDefault="00693BD3" w:rsidP="001B7CEF">
            <w:pPr>
              <w:rPr>
                <w:rFonts w:ascii="Times New Roman" w:hAnsi="Times New Roman" w:cs="Times New Roman"/>
                <w:b/>
                <w:bCs/>
                <w:lang w:val="en-GB"/>
              </w:rPr>
            </w:pPr>
          </w:p>
        </w:tc>
        <w:tc>
          <w:tcPr>
            <w:tcW w:w="2410" w:type="dxa"/>
          </w:tcPr>
          <w:p w:rsidR="00693BD3" w:rsidRPr="0089652C" w:rsidRDefault="00085FC9" w:rsidP="001B7CEF">
            <w:pPr>
              <w:rPr>
                <w:rFonts w:ascii="Times New Roman" w:hAnsi="Times New Roman" w:cs="Times New Roman"/>
                <w:b/>
                <w:bCs/>
                <w:lang w:val="en-GB"/>
              </w:rPr>
            </w:pPr>
            <w:r>
              <w:rPr>
                <w:rFonts w:ascii="Times New Roman" w:hAnsi="Times New Roman" w:cs="Times New Roman"/>
                <w:b/>
                <w:bCs/>
                <w:lang w:val="en-GB"/>
              </w:rPr>
              <w:t>7 GB OR HIGHER</w:t>
            </w:r>
          </w:p>
        </w:tc>
      </w:tr>
      <w:tr w:rsidR="0089652C" w:rsidRPr="0089652C" w:rsidTr="00085FC9">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505" w:type="dxa"/>
          </w:tcPr>
          <w:p w:rsidR="007C5BD9" w:rsidRPr="0089652C" w:rsidRDefault="00EA26BC" w:rsidP="001B7CEF">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2A0B83">
              <w:rPr>
                <w:rFonts w:ascii="Times New Roman" w:hAnsi="Times New Roman" w:cs="Times New Roman"/>
                <w:b/>
                <w:bCs/>
                <w:lang w:val="en-GB"/>
              </w:rPr>
              <w:t>8</w:t>
            </w:r>
            <w:r w:rsidR="007C5BD9" w:rsidRPr="0089652C">
              <w:rPr>
                <w:rFonts w:ascii="Times New Roman" w:hAnsi="Times New Roman" w:cs="Times New Roman"/>
                <w:b/>
                <w:bCs/>
                <w:lang w:val="en-GB"/>
              </w:rPr>
              <w:t>/2023</w:t>
            </w:r>
          </w:p>
        </w:tc>
        <w:tc>
          <w:tcPr>
            <w:tcW w:w="2686"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701" w:type="dxa"/>
            <w:gridSpan w:val="2"/>
          </w:tcPr>
          <w:p w:rsidR="00EC636A" w:rsidRPr="0089652C" w:rsidRDefault="00EA26BC"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2A0B83">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693BD3">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892" w:type="dxa"/>
            <w:gridSpan w:val="4"/>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693BD3">
        <w:trPr>
          <w:trHeight w:val="248"/>
        </w:trPr>
        <w:tc>
          <w:tcPr>
            <w:tcW w:w="11052" w:type="dxa"/>
            <w:gridSpan w:val="6"/>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693BD3">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892" w:type="dxa"/>
            <w:gridSpan w:val="4"/>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085FC9">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505" w:type="dxa"/>
          </w:tcPr>
          <w:p w:rsidR="007C5BD9" w:rsidRPr="0089652C" w:rsidRDefault="00EA26BC" w:rsidP="001B7CEF">
            <w:pPr>
              <w:jc w:val="both"/>
              <w:rPr>
                <w:rFonts w:ascii="Times New Roman" w:hAnsi="Times New Roman" w:cs="Times New Roman"/>
                <w:b/>
                <w:bCs/>
                <w:lang w:val="en-GB"/>
              </w:rPr>
            </w:pPr>
            <w:r>
              <w:rPr>
                <w:rFonts w:ascii="Times New Roman" w:hAnsi="Times New Roman" w:cs="Times New Roman"/>
                <w:b/>
                <w:bCs/>
                <w:lang w:val="en-GB"/>
              </w:rPr>
              <w:t>16</w:t>
            </w:r>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686"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701"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A0B83">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rsidTr="00693BD3">
        <w:trPr>
          <w:trHeight w:val="248"/>
        </w:trPr>
        <w:tc>
          <w:tcPr>
            <w:tcW w:w="11052" w:type="dxa"/>
            <w:gridSpan w:val="6"/>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693BD3">
        <w:trPr>
          <w:trHeight w:val="1560"/>
        </w:trPr>
        <w:tc>
          <w:tcPr>
            <w:tcW w:w="11052" w:type="dxa"/>
            <w:gridSpan w:val="6"/>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693BD3">
        <w:trPr>
          <w:trHeight w:val="743"/>
        </w:trPr>
        <w:tc>
          <w:tcPr>
            <w:tcW w:w="11052" w:type="dxa"/>
            <w:gridSpan w:val="6"/>
          </w:tcPr>
          <w:p w:rsidR="00495055" w:rsidRPr="00195A85" w:rsidRDefault="00495055" w:rsidP="002A0B83">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041A52">
        <w:trPr>
          <w:trHeight w:val="983"/>
        </w:trPr>
        <w:tc>
          <w:tcPr>
            <w:tcW w:w="11052" w:type="dxa"/>
            <w:gridSpan w:val="6"/>
          </w:tcPr>
          <w:p w:rsidR="0049505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p w:rsidR="00041A52" w:rsidRDefault="00041A52" w:rsidP="00495055">
            <w:pPr>
              <w:jc w:val="both"/>
              <w:rPr>
                <w:rFonts w:ascii="Times New Roman" w:hAnsi="Times New Roman" w:cs="Times New Roman"/>
                <w:sz w:val="24"/>
                <w:szCs w:val="24"/>
                <w:lang w:val="en-GB"/>
              </w:rPr>
            </w:pPr>
          </w:p>
          <w:p w:rsidR="00041A52" w:rsidRPr="00041A52" w:rsidRDefault="00041A52" w:rsidP="00041A52">
            <w:pPr>
              <w:autoSpaceDE w:val="0"/>
              <w:autoSpaceDN w:val="0"/>
              <w:adjustRightInd w:val="0"/>
              <w:jc w:val="both"/>
              <w:rPr>
                <w:rFonts w:ascii="Times New Roman" w:hAnsi="Times New Roman" w:cs="Times New Roman"/>
                <w:b/>
                <w:sz w:val="24"/>
                <w:szCs w:val="24"/>
              </w:rPr>
            </w:pPr>
            <w:r w:rsidRPr="00765F63">
              <w:rPr>
                <w:rFonts w:ascii="Times New Roman" w:hAnsi="Times New Roman" w:cs="Times New Roman"/>
                <w:b/>
                <w:sz w:val="24"/>
                <w:szCs w:val="24"/>
              </w:rPr>
              <w:lastRenderedPageBreak/>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tc>
      </w:tr>
      <w:tr w:rsidR="00495055" w:rsidRPr="0089652C" w:rsidTr="00693BD3">
        <w:trPr>
          <w:trHeight w:val="564"/>
        </w:trPr>
        <w:tc>
          <w:tcPr>
            <w:tcW w:w="11052" w:type="dxa"/>
            <w:gridSpan w:val="6"/>
          </w:tcPr>
          <w:p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693BD3">
        <w:trPr>
          <w:trHeight w:val="248"/>
        </w:trPr>
        <w:tc>
          <w:tcPr>
            <w:tcW w:w="11052" w:type="dxa"/>
            <w:gridSpan w:val="6"/>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693BD3">
        <w:trPr>
          <w:trHeight w:val="756"/>
        </w:trPr>
        <w:tc>
          <w:tcPr>
            <w:tcW w:w="11052" w:type="dxa"/>
            <w:gridSpan w:val="6"/>
          </w:tcPr>
          <w:p w:rsidR="00495055" w:rsidRPr="0089652C" w:rsidRDefault="00495055" w:rsidP="00495055">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495055" w:rsidRPr="0089652C" w:rsidRDefault="00495055" w:rsidP="00495055">
            <w:pPr>
              <w:autoSpaceDE w:val="0"/>
              <w:autoSpaceDN w:val="0"/>
              <w:adjustRightInd w:val="0"/>
              <w:jc w:val="both"/>
              <w:rPr>
                <w:rFonts w:ascii="Times New Roman" w:eastAsia="Calibri" w:hAnsi="Times New Roman" w:cs="Times New Roman"/>
                <w:lang w:eastAsia="en-ZA"/>
              </w:rPr>
            </w:pPr>
          </w:p>
        </w:tc>
      </w:tr>
      <w:tr w:rsidR="00495055" w:rsidRPr="0089652C" w:rsidTr="00693BD3">
        <w:trPr>
          <w:trHeight w:val="3534"/>
        </w:trPr>
        <w:tc>
          <w:tcPr>
            <w:tcW w:w="11052" w:type="dxa"/>
            <w:gridSpan w:val="6"/>
          </w:tcPr>
          <w:tbl>
            <w:tblPr>
              <w:tblStyle w:val="TableGrid"/>
              <w:tblW w:w="0" w:type="auto"/>
              <w:tblLook w:val="04A0" w:firstRow="1" w:lastRow="0" w:firstColumn="1" w:lastColumn="0" w:noHBand="0" w:noVBand="1"/>
            </w:tblPr>
            <w:tblGrid>
              <w:gridCol w:w="10375"/>
              <w:gridCol w:w="81"/>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693BD3">
                    <w:rPr>
                      <w:rFonts w:ascii="Times New Roman" w:eastAsia="Calibri" w:hAnsi="Times New Roman" w:cs="Times New Roman"/>
                      <w:lang w:eastAsia="en-ZA"/>
                    </w:rPr>
                    <w:t>65</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495055" w:rsidRPr="00410CA8" w:rsidTr="00263D90">
                    <w:tc>
                      <w:tcPr>
                        <w:tcW w:w="6636"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Points</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20</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Key personnel</w:t>
                        </w:r>
                      </w:p>
                    </w:tc>
                    <w:tc>
                      <w:tcPr>
                        <w:tcW w:w="3513"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50</w:t>
                        </w:r>
                      </w:p>
                    </w:tc>
                  </w:tr>
                  <w:tr w:rsidR="00495055" w:rsidRPr="00410CA8" w:rsidTr="00263D90">
                    <w:tc>
                      <w:tcPr>
                        <w:tcW w:w="6636"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Accreditation</w:t>
                        </w:r>
                      </w:p>
                    </w:tc>
                    <w:tc>
                      <w:tcPr>
                        <w:tcW w:w="3513"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30</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582279" w:rsidP="00495055">
            <w:pPr>
              <w:jc w:val="center"/>
              <w:rPr>
                <w:rFonts w:ascii="Times New Roman" w:hAnsi="Times New Roman" w:cs="Times New Roman"/>
                <w:b/>
                <w:bCs/>
                <w:lang w:val="en-GB"/>
              </w:rPr>
            </w:pPr>
            <w:r>
              <w:rPr>
                <w:rFonts w:ascii="Times New Roman" w:hAnsi="Times New Roman" w:cs="Times New Roman"/>
                <w:b/>
                <w:bCs/>
                <w:lang w:val="en-GB"/>
              </w:rPr>
              <w:t>9</w:t>
            </w:r>
            <w:r w:rsidR="00495055" w:rsidRPr="0089652C">
              <w:rPr>
                <w:rFonts w:ascii="Times New Roman" w:hAnsi="Times New Roman" w:cs="Times New Roman"/>
                <w:b/>
                <w:bCs/>
                <w:lang w:val="en-GB"/>
              </w:rPr>
              <w:t>0/</w:t>
            </w:r>
            <w:r>
              <w:rPr>
                <w:rFonts w:ascii="Times New Roman" w:hAnsi="Times New Roman" w:cs="Times New Roman"/>
                <w:b/>
                <w:bCs/>
                <w:lang w:val="en-GB"/>
              </w:rPr>
              <w:t>1</w:t>
            </w:r>
            <w:r w:rsidR="00495055" w:rsidRPr="0089652C">
              <w:rPr>
                <w:rFonts w:ascii="Times New Roman" w:hAnsi="Times New Roman" w:cs="Times New Roman"/>
                <w:b/>
                <w:bCs/>
                <w:lang w:val="en-GB"/>
              </w:rPr>
              <w:t>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 xml:space="preserve">Preferential Goals </w:t>
                  </w:r>
                </w:p>
              </w:tc>
              <w:tc>
                <w:tcPr>
                  <w:tcW w:w="1111" w:type="dxa"/>
                </w:tcPr>
                <w:p w:rsidR="00495055" w:rsidRPr="00582279" w:rsidRDefault="00546FCA"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9</w:t>
                  </w:r>
                  <w:r w:rsidR="00495055" w:rsidRPr="00582279">
                    <w:rPr>
                      <w:rFonts w:ascii="Times New Roman" w:eastAsia="Times New Roman" w:hAnsi="Times New Roman" w:cs="Times New Roman"/>
                      <w:lang w:eastAsia="en-ZA"/>
                    </w:rPr>
                    <w:t>0/</w:t>
                  </w:r>
                  <w:r w:rsidRPr="00582279">
                    <w:rPr>
                      <w:rFonts w:ascii="Times New Roman" w:eastAsia="Times New Roman" w:hAnsi="Times New Roman" w:cs="Times New Roman"/>
                      <w:lang w:eastAsia="en-ZA"/>
                    </w:rPr>
                    <w:t>1</w:t>
                  </w:r>
                  <w:r w:rsidR="00495055" w:rsidRPr="00582279">
                    <w:rPr>
                      <w:rFonts w:ascii="Times New Roman" w:eastAsia="Times New Roman" w:hAnsi="Times New Roman" w:cs="Times New Roman"/>
                      <w:lang w:eastAsia="en-ZA"/>
                    </w:rPr>
                    <w:t>0</w:t>
                  </w:r>
                </w:p>
              </w:tc>
              <w:tc>
                <w:tcPr>
                  <w:tcW w:w="4960" w:type="dxa"/>
                  <w:vMerge w:val="restart"/>
                </w:tcPr>
                <w:p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Documents required for verification</w:t>
                  </w:r>
                </w:p>
              </w:tc>
            </w:tr>
            <w:tr w:rsidR="00495055" w:rsidRPr="0089652C" w:rsidTr="00DF33D6">
              <w:trPr>
                <w:trHeight w:val="497"/>
              </w:trPr>
              <w:tc>
                <w:tcPr>
                  <w:tcW w:w="4441" w:type="dxa"/>
                </w:tcPr>
                <w:p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Maximum Points</w:t>
                  </w:r>
                </w:p>
              </w:tc>
              <w:tc>
                <w:tcPr>
                  <w:tcW w:w="1111" w:type="dxa"/>
                </w:tcPr>
                <w:p w:rsidR="00495055" w:rsidRPr="00582279" w:rsidRDefault="00546FCA"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1</w:t>
                  </w:r>
                  <w:r w:rsidR="00495055" w:rsidRPr="00582279">
                    <w:rPr>
                      <w:rFonts w:ascii="Times New Roman" w:eastAsia="Times New Roman" w:hAnsi="Times New Roman" w:cs="Times New Roman"/>
                      <w:lang w:eastAsia="en-ZA"/>
                    </w:rPr>
                    <w:t>0</w:t>
                  </w:r>
                </w:p>
              </w:tc>
              <w:tc>
                <w:tcPr>
                  <w:tcW w:w="4960" w:type="dxa"/>
                  <w:vMerge/>
                </w:tcPr>
                <w:p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546FCA" w:rsidRPr="0089652C" w:rsidTr="00582279">
              <w:trPr>
                <w:trHeight w:val="512"/>
              </w:trPr>
              <w:tc>
                <w:tcPr>
                  <w:tcW w:w="4441" w:type="dxa"/>
                </w:tcPr>
                <w:p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 xml:space="preserve">Tender Price </w:t>
                  </w:r>
                </w:p>
              </w:tc>
              <w:tc>
                <w:tcPr>
                  <w:tcW w:w="111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90</w:t>
                  </w:r>
                </w:p>
              </w:tc>
              <w:tc>
                <w:tcPr>
                  <w:tcW w:w="4960" w:type="dxa"/>
                </w:tcPr>
                <w:p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rsidTr="00693BD3">
              <w:trPr>
                <w:trHeight w:val="935"/>
              </w:trPr>
              <w:tc>
                <w:tcPr>
                  <w:tcW w:w="444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1</w:t>
                  </w:r>
                  <w:r w:rsidR="00546FCA" w:rsidRPr="00582279">
                    <w:rPr>
                      <w:rFonts w:ascii="Times New Roman" w:hAnsi="Times New Roman" w:cs="Times New Roman"/>
                      <w:lang w:eastAsia="en-ZA"/>
                    </w:rPr>
                    <w:t>. HDI – Equity ownershi</w:t>
                  </w:r>
                  <w:bookmarkStart w:id="0" w:name="_GoBack"/>
                  <w:bookmarkEnd w:id="0"/>
                  <w:r w:rsidR="00546FCA" w:rsidRPr="00582279">
                    <w:rPr>
                      <w:rFonts w:ascii="Times New Roman" w:hAnsi="Times New Roman" w:cs="Times New Roman"/>
                      <w:lang w:eastAsia="en-ZA"/>
                    </w:rPr>
                    <w:t>p</w:t>
                  </w:r>
                </w:p>
              </w:tc>
              <w:tc>
                <w:tcPr>
                  <w:tcW w:w="111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3</w:t>
                  </w:r>
                </w:p>
              </w:tc>
              <w:tc>
                <w:tcPr>
                  <w:tcW w:w="4960" w:type="dxa"/>
                </w:tcPr>
                <w:p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546FCA" w:rsidRPr="0089652C" w:rsidTr="00DF33D6">
              <w:trPr>
                <w:trHeight w:val="507"/>
              </w:trPr>
              <w:tc>
                <w:tcPr>
                  <w:tcW w:w="444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2</w:t>
                  </w:r>
                  <w:r w:rsidR="00546FCA" w:rsidRPr="00582279">
                    <w:rPr>
                      <w:rFonts w:ascii="Times New Roman" w:hAnsi="Times New Roman" w:cs="Times New Roman"/>
                      <w:lang w:eastAsia="en-ZA"/>
                    </w:rPr>
                    <w:t>. Youth-Enterprises 0-</w:t>
                  </w:r>
                  <w:r w:rsidRPr="00582279">
                    <w:rPr>
                      <w:rFonts w:ascii="Times New Roman" w:hAnsi="Times New Roman" w:cs="Times New Roman"/>
                      <w:lang w:eastAsia="en-ZA"/>
                    </w:rPr>
                    <w:t>3</w:t>
                  </w:r>
                  <w:r w:rsidR="00546FCA" w:rsidRPr="00582279">
                    <w:rPr>
                      <w:rFonts w:ascii="Times New Roman" w:hAnsi="Times New Roman" w:cs="Times New Roman"/>
                      <w:lang w:eastAsia="en-ZA"/>
                    </w:rPr>
                    <w:t>5 years (MLM)</w:t>
                  </w:r>
                </w:p>
              </w:tc>
              <w:tc>
                <w:tcPr>
                  <w:tcW w:w="111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3</w:t>
                  </w:r>
                </w:p>
              </w:tc>
              <w:tc>
                <w:tcPr>
                  <w:tcW w:w="4960" w:type="dxa"/>
                </w:tcPr>
                <w:p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rsidTr="00DF33D6">
              <w:trPr>
                <w:trHeight w:val="497"/>
              </w:trPr>
              <w:tc>
                <w:tcPr>
                  <w:tcW w:w="4441" w:type="dxa"/>
                </w:tcPr>
                <w:p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3. Women – Equity ownership </w:t>
                  </w:r>
                </w:p>
              </w:tc>
              <w:tc>
                <w:tcPr>
                  <w:tcW w:w="111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2</w:t>
                  </w:r>
                </w:p>
              </w:tc>
              <w:tc>
                <w:tcPr>
                  <w:tcW w:w="4960" w:type="dxa"/>
                </w:tcPr>
                <w:p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rsidTr="00DF33D6">
              <w:trPr>
                <w:trHeight w:val="877"/>
              </w:trPr>
              <w:tc>
                <w:tcPr>
                  <w:tcW w:w="4441" w:type="dxa"/>
                </w:tcPr>
                <w:p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4. Disability – Equity ownership </w:t>
                  </w:r>
                </w:p>
              </w:tc>
              <w:tc>
                <w:tcPr>
                  <w:tcW w:w="1111" w:type="dxa"/>
                </w:tcPr>
                <w:p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1</w:t>
                  </w:r>
                </w:p>
              </w:tc>
              <w:tc>
                <w:tcPr>
                  <w:tcW w:w="4960" w:type="dxa"/>
                </w:tcPr>
                <w:p w:rsidR="00546FCA"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82279" w:rsidRPr="0089652C" w:rsidTr="00DF33D6">
              <w:trPr>
                <w:trHeight w:val="877"/>
              </w:trPr>
              <w:tc>
                <w:tcPr>
                  <w:tcW w:w="4441" w:type="dxa"/>
                </w:tcPr>
                <w:p w:rsidR="00582279" w:rsidRPr="00582279" w:rsidRDefault="00582279" w:rsidP="00546FCA">
                  <w:pPr>
                    <w:autoSpaceDE w:val="0"/>
                    <w:autoSpaceDN w:val="0"/>
                    <w:adjustRightInd w:val="0"/>
                    <w:spacing w:line="480" w:lineRule="auto"/>
                    <w:jc w:val="both"/>
                    <w:rPr>
                      <w:rFonts w:ascii="Times New Roman" w:hAnsi="Times New Roman" w:cs="Times New Roman"/>
                      <w:lang w:eastAsia="en-ZA"/>
                    </w:rPr>
                  </w:pPr>
                  <w:r w:rsidRPr="00582279">
                    <w:rPr>
                      <w:rFonts w:ascii="Times New Roman" w:hAnsi="Times New Roman" w:cs="Times New Roman"/>
                      <w:lang w:eastAsia="en-ZA"/>
                    </w:rPr>
                    <w:t>5. Rural Enterprises</w:t>
                  </w:r>
                  <w:r w:rsidRPr="00582279">
                    <w:rPr>
                      <w:rFonts w:ascii="Times New Roman" w:hAnsi="Times New Roman" w:cs="Times New Roman"/>
                      <w:lang w:eastAsia="en-ZA"/>
                    </w:rPr>
                    <w:tab/>
                  </w:r>
                </w:p>
              </w:tc>
              <w:tc>
                <w:tcPr>
                  <w:tcW w:w="1111" w:type="dxa"/>
                </w:tcPr>
                <w:p w:rsidR="00582279" w:rsidRPr="00582279" w:rsidRDefault="00582279" w:rsidP="00546FCA">
                  <w:pPr>
                    <w:autoSpaceDE w:val="0"/>
                    <w:autoSpaceDN w:val="0"/>
                    <w:adjustRightInd w:val="0"/>
                    <w:spacing w:line="480" w:lineRule="auto"/>
                    <w:jc w:val="both"/>
                    <w:rPr>
                      <w:rFonts w:ascii="Times New Roman" w:hAnsi="Times New Roman" w:cs="Times New Roman"/>
                    </w:rPr>
                  </w:pPr>
                </w:p>
              </w:tc>
              <w:tc>
                <w:tcPr>
                  <w:tcW w:w="4960" w:type="dxa"/>
                </w:tcPr>
                <w:p w:rsidR="00582279"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582279"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9</w:t>
                  </w:r>
                  <w:r w:rsidR="00495055" w:rsidRPr="0089652C">
                    <w:rPr>
                      <w:rFonts w:ascii="Times New Roman" w:eastAsia="Times New Roman" w:hAnsi="Times New Roman" w:cs="Times New Roman"/>
                      <w:lang w:eastAsia="en-ZA"/>
                    </w:rPr>
                    <w:t>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EA26BC" w:rsidRDefault="00495055" w:rsidP="00495055">
                  <w:pPr>
                    <w:rPr>
                      <w:rFonts w:ascii="Times New Roman" w:hAnsi="Times New Roman" w:cs="Times New Roman"/>
                      <w:b/>
                      <w:bCs/>
                      <w:lang w:val="en-GB"/>
                    </w:rPr>
                  </w:pPr>
                  <w:r w:rsidRPr="0089652C">
                    <w:rPr>
                      <w:rFonts w:ascii="Times New Roman" w:hAnsi="Times New Roman" w:cs="Times New Roman"/>
                      <w:b/>
                      <w:bCs/>
                      <w:lang w:val="en-GB"/>
                    </w:rPr>
                    <w:lastRenderedPageBreak/>
                    <w:t xml:space="preserve">                                                   </w:t>
                  </w:r>
                </w:p>
                <w:p w:rsidR="00693BD3" w:rsidRDefault="00693BD3"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693BD3">
                    <w:rPr>
                      <w:rFonts w:ascii="Times New Roman" w:hAnsi="Times New Roman" w:cs="Times New Roman"/>
                      <w:iCs/>
                      <w:lang w:val="en-GB"/>
                    </w:rPr>
                    <w:t>s. T. Matela</w:t>
                  </w:r>
                  <w:r w:rsidRPr="0089652C">
                    <w:rPr>
                      <w:rFonts w:ascii="Times New Roman" w:hAnsi="Times New Roman" w:cs="Times New Roman"/>
                      <w:iCs/>
                      <w:lang w:val="en-GB"/>
                    </w:rPr>
                    <w:t xml:space="preserve">, e-mail: </w:t>
                  </w:r>
                  <w:r w:rsidR="00693BD3">
                    <w:rPr>
                      <w:rFonts w:ascii="Times New Roman" w:hAnsi="Times New Roman" w:cs="Times New Roman"/>
                      <w:iCs/>
                      <w:lang w:val="en-GB"/>
                    </w:rPr>
                    <w:t>TMatela</w:t>
                  </w:r>
                  <w:r>
                    <w:rPr>
                      <w:rFonts w:ascii="Times New Roman" w:hAnsi="Times New Roman" w:cs="Times New Roman"/>
                      <w:iCs/>
                      <w:lang w:val="en-GB"/>
                    </w:rPr>
                    <w:t>a</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41A52"/>
    <w:rsid w:val="0006555A"/>
    <w:rsid w:val="00066B86"/>
    <w:rsid w:val="00070D39"/>
    <w:rsid w:val="00080FE8"/>
    <w:rsid w:val="00085FC9"/>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A0B83"/>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46FCA"/>
    <w:rsid w:val="00552EF0"/>
    <w:rsid w:val="00560151"/>
    <w:rsid w:val="00582279"/>
    <w:rsid w:val="005A431F"/>
    <w:rsid w:val="005C4BDE"/>
    <w:rsid w:val="005D6FFB"/>
    <w:rsid w:val="005E7BE3"/>
    <w:rsid w:val="00603D72"/>
    <w:rsid w:val="00614119"/>
    <w:rsid w:val="00644C3B"/>
    <w:rsid w:val="0064769C"/>
    <w:rsid w:val="0067159F"/>
    <w:rsid w:val="006866A4"/>
    <w:rsid w:val="00693BD3"/>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467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A26BC"/>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E290D3"/>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810A-357F-4907-A88A-0F444D77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2023-07-27T09:48:00Z</cp:lastPrinted>
  <dcterms:created xsi:type="dcterms:W3CDTF">2023-08-01T07:40:00Z</dcterms:created>
  <dcterms:modified xsi:type="dcterms:W3CDTF">2023-08-14T09:29:00Z</dcterms:modified>
</cp:coreProperties>
</file>