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8E1548"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964F0A" w:rsidRPr="004E3E3D" w:rsidRDefault="00964F0A" w:rsidP="00865AD2">
            <w:pPr>
              <w:rPr>
                <w:rFonts w:asciiTheme="majorHAnsi" w:hAnsiTheme="majorHAnsi"/>
                <w:bCs/>
                <w:color w:val="0E1B8D"/>
              </w:rPr>
            </w:pPr>
            <w:r w:rsidRPr="00CE06E7">
              <w:rPr>
                <w:b/>
                <w:bCs/>
                <w:color w:val="000000"/>
              </w:rPr>
              <w:t xml:space="preserve">RFB </w:t>
            </w:r>
            <w:r>
              <w:rPr>
                <w:b/>
                <w:bCs/>
                <w:color w:val="000000"/>
              </w:rPr>
              <w:t>2819-2023</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Description</w:t>
            </w:r>
          </w:p>
        </w:tc>
        <w:tc>
          <w:tcPr>
            <w:tcW w:w="6089" w:type="dxa"/>
            <w:vAlign w:val="center"/>
          </w:tcPr>
          <w:p w:rsidR="00964F0A" w:rsidRPr="00964F0A" w:rsidRDefault="00964F0A" w:rsidP="00865AD2">
            <w:pPr>
              <w:tabs>
                <w:tab w:val="left" w:pos="567"/>
              </w:tabs>
              <w:rPr>
                <w:rFonts w:cs="Calibri Light"/>
                <w:b/>
              </w:rPr>
            </w:pPr>
            <w:bookmarkStart w:id="0" w:name="_Hlk148080857"/>
            <w:r w:rsidRPr="00964F0A">
              <w:rPr>
                <w:rFonts w:cs="Calibri Light"/>
                <w:b/>
              </w:rPr>
              <w:t>Provision of integrated assessment services to SITA for a period of 36 months</w:t>
            </w:r>
            <w:bookmarkEnd w:id="0"/>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rPr>
                <w:rFonts w:cs="Calibri Light"/>
                <w:b/>
              </w:rPr>
            </w:pPr>
            <w:r>
              <w:rPr>
                <w:rFonts w:cs="Calibri Light"/>
                <w:b/>
              </w:rPr>
              <w:t xml:space="preserve">Issue Date </w:t>
            </w:r>
          </w:p>
        </w:tc>
        <w:tc>
          <w:tcPr>
            <w:tcW w:w="6089" w:type="dxa"/>
            <w:vAlign w:val="center"/>
          </w:tcPr>
          <w:p w:rsidR="00964F0A" w:rsidRPr="00737C9C" w:rsidRDefault="00964F0A" w:rsidP="00865AD2">
            <w:pPr>
              <w:tabs>
                <w:tab w:val="left" w:pos="567"/>
              </w:tabs>
              <w:rPr>
                <w:rFonts w:cs="Calibri Light"/>
              </w:rPr>
            </w:pPr>
            <w:r>
              <w:rPr>
                <w:rFonts w:cs="Calibri Light"/>
              </w:rPr>
              <w:t>16 October 2023</w:t>
            </w:r>
          </w:p>
        </w:tc>
      </w:tr>
      <w:tr w:rsidR="00964F0A" w:rsidRPr="00203C6D" w:rsidTr="00865AD2">
        <w:trPr>
          <w:trHeight w:val="1243"/>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 xml:space="preserve">Virtual Briefing Session </w:t>
            </w:r>
          </w:p>
        </w:tc>
        <w:tc>
          <w:tcPr>
            <w:tcW w:w="6089" w:type="dxa"/>
            <w:vAlign w:val="center"/>
          </w:tcPr>
          <w:p w:rsidR="00964F0A" w:rsidRPr="00737C9C" w:rsidRDefault="00964F0A" w:rsidP="00865AD2">
            <w:pPr>
              <w:rPr>
                <w:rFonts w:cs="Calibri"/>
                <w:b/>
                <w:bCs/>
                <w:color w:val="000000" w:themeColor="text1"/>
              </w:rPr>
            </w:pPr>
            <w:r w:rsidRPr="00737C9C">
              <w:rPr>
                <w:rFonts w:cs="Calibri"/>
                <w:b/>
                <w:bCs/>
                <w:color w:val="000000" w:themeColor="text1"/>
              </w:rPr>
              <w:t xml:space="preserve">Non-compulsory briefing session will be held on </w:t>
            </w:r>
          </w:p>
          <w:p w:rsidR="00964F0A" w:rsidRPr="00737C9C" w:rsidRDefault="00964F0A" w:rsidP="00865AD2">
            <w:pPr>
              <w:rPr>
                <w:rFonts w:cs="Calibri"/>
                <w:b/>
                <w:bCs/>
                <w:color w:val="FF0000"/>
              </w:rPr>
            </w:pPr>
            <w:r w:rsidRPr="00737C9C">
              <w:rPr>
                <w:rFonts w:cs="Calibri"/>
                <w:b/>
                <w:bCs/>
                <w:color w:val="FF0000"/>
              </w:rPr>
              <w:t xml:space="preserve">Date: </w:t>
            </w:r>
            <w:r>
              <w:rPr>
                <w:rFonts w:cs="Calibri"/>
                <w:b/>
                <w:bCs/>
                <w:color w:val="FF0000"/>
              </w:rPr>
              <w:t>2</w:t>
            </w:r>
            <w:r w:rsidR="00E11A0C">
              <w:rPr>
                <w:rFonts w:cs="Calibri"/>
                <w:b/>
                <w:bCs/>
                <w:color w:val="FF0000"/>
              </w:rPr>
              <w:t>4</w:t>
            </w:r>
            <w:r>
              <w:rPr>
                <w:rFonts w:cs="Calibri"/>
                <w:b/>
                <w:bCs/>
                <w:color w:val="FF0000"/>
              </w:rPr>
              <w:t xml:space="preserve"> October</w:t>
            </w:r>
            <w:r w:rsidRPr="00457130">
              <w:rPr>
                <w:rFonts w:cs="Calibri"/>
                <w:b/>
                <w:bCs/>
                <w:color w:val="FF0000"/>
              </w:rPr>
              <w:t xml:space="preserve"> 2023</w:t>
            </w:r>
          </w:p>
          <w:p w:rsidR="00964F0A" w:rsidRDefault="00964F0A" w:rsidP="00865AD2">
            <w:pPr>
              <w:rPr>
                <w:rFonts w:asciiTheme="majorHAnsi" w:hAnsiTheme="majorHAnsi"/>
                <w:bCs/>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DE5B1A" w:rsidRDefault="00DE5B1A" w:rsidP="00DE5B1A">
            <w:pPr>
              <w:rPr>
                <w:rFonts w:ascii="Segoe UI" w:hAnsi="Segoe UI" w:cs="Segoe UI"/>
                <w:b/>
                <w:bCs/>
                <w:color w:val="252424"/>
                <w:lang w:val="en-US"/>
              </w:rPr>
            </w:pP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rsidR="00DE5B1A" w:rsidRDefault="008E1548" w:rsidP="00DE5B1A">
            <w:pPr>
              <w:rPr>
                <w:rFonts w:ascii="Segoe UI" w:hAnsi="Segoe UI" w:cs="Segoe UI"/>
                <w:color w:val="252424"/>
                <w:lang w:val="en-US"/>
              </w:rPr>
            </w:pPr>
            <w:hyperlink r:id="rId13" w:tgtFrame="_blank" w:history="1">
              <w:r w:rsidR="00DE5B1A">
                <w:rPr>
                  <w:rStyle w:val="Hyperlink"/>
                  <w:rFonts w:ascii="Segoe UI Semibold" w:hAnsi="Segoe UI Semibold" w:cs="Segoe UI Semibold"/>
                  <w:color w:val="6264A7"/>
                  <w:sz w:val="21"/>
                  <w:szCs w:val="21"/>
                  <w:lang w:val="en-US"/>
                </w:rPr>
                <w:t>Click here to join the meeting</w:t>
              </w:r>
            </w:hyperlink>
            <w:r w:rsidR="00DE5B1A">
              <w:rPr>
                <w:rFonts w:ascii="Segoe UI" w:hAnsi="Segoe UI" w:cs="Segoe UI"/>
                <w:color w:val="252424"/>
                <w:lang w:val="en-US"/>
              </w:rPr>
              <w:t xml:space="preserve"> </w:t>
            </w:r>
          </w:p>
          <w:p w:rsidR="00964F0A" w:rsidRPr="00737C9C" w:rsidRDefault="00964F0A" w:rsidP="00DE5B1A">
            <w:pPr>
              <w:rPr>
                <w:rFonts w:asciiTheme="majorHAnsi" w:hAnsiTheme="majorHAnsi"/>
                <w:bCs/>
                <w:color w:val="0E1B8D"/>
              </w:rPr>
            </w:pP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Closing Date for questions / queries</w:t>
            </w:r>
          </w:p>
        </w:tc>
        <w:tc>
          <w:tcPr>
            <w:tcW w:w="6089" w:type="dxa"/>
            <w:vAlign w:val="center"/>
          </w:tcPr>
          <w:p w:rsidR="00964F0A" w:rsidRPr="00737C9C" w:rsidRDefault="003D1A7A" w:rsidP="00865AD2">
            <w:pPr>
              <w:rPr>
                <w:rFonts w:asciiTheme="majorHAnsi" w:hAnsiTheme="majorHAnsi"/>
                <w:bCs/>
                <w:color w:val="0E1B8D"/>
              </w:rPr>
            </w:pPr>
            <w:r>
              <w:rPr>
                <w:b/>
                <w:color w:val="FF0000"/>
                <w:lang w:val="en-GB"/>
              </w:rPr>
              <w:t>31 Octo</w:t>
            </w:r>
            <w:r w:rsidR="00964F0A" w:rsidRPr="00737C9C">
              <w:rPr>
                <w:b/>
                <w:color w:val="FF0000"/>
                <w:lang w:val="en-GB"/>
              </w:rPr>
              <w:t>ber 2023</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 xml:space="preserve">Bid Response Submission Address </w:t>
            </w:r>
          </w:p>
        </w:tc>
        <w:tc>
          <w:tcPr>
            <w:tcW w:w="6089" w:type="dxa"/>
            <w:vAlign w:val="center"/>
          </w:tcPr>
          <w:p w:rsidR="00964F0A" w:rsidRPr="00737C9C" w:rsidRDefault="00964F0A" w:rsidP="00865AD2">
            <w:pPr>
              <w:rPr>
                <w:rFonts w:asciiTheme="majorHAnsi" w:hAnsiTheme="majorHAnsi"/>
                <w:b/>
                <w:color w:val="0E1B8D"/>
              </w:rPr>
            </w:pPr>
            <w:r w:rsidRPr="00737C9C">
              <w:rPr>
                <w:rFonts w:cs="Calibri Light"/>
                <w:b/>
              </w:rPr>
              <w:t xml:space="preserve">Place: Tender Office, Pongola in Apollo, 459 </w:t>
            </w:r>
            <w:proofErr w:type="spellStart"/>
            <w:r w:rsidRPr="00737C9C">
              <w:rPr>
                <w:rFonts w:cs="Calibri Light"/>
                <w:b/>
              </w:rPr>
              <w:t>Tsitsa</w:t>
            </w:r>
            <w:proofErr w:type="spellEnd"/>
            <w:r w:rsidRPr="00737C9C">
              <w:rPr>
                <w:rFonts w:cs="Calibri Light"/>
                <w:b/>
              </w:rPr>
              <w:t xml:space="preserve"> Street, </w:t>
            </w:r>
            <w:proofErr w:type="spellStart"/>
            <w:r w:rsidRPr="00737C9C">
              <w:rPr>
                <w:rFonts w:cs="Calibri Light"/>
                <w:b/>
              </w:rPr>
              <w:t>Erasmuskloof</w:t>
            </w:r>
            <w:proofErr w:type="spellEnd"/>
            <w:r w:rsidRPr="00737C9C">
              <w:rPr>
                <w:rFonts w:cs="Calibri Light"/>
                <w:b/>
              </w:rPr>
              <w:t>, Pretoria (Head Office)</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Closing Details and Time</w:t>
            </w:r>
          </w:p>
        </w:tc>
        <w:tc>
          <w:tcPr>
            <w:tcW w:w="6089" w:type="dxa"/>
            <w:vAlign w:val="center"/>
          </w:tcPr>
          <w:p w:rsidR="00964F0A" w:rsidRPr="00737C9C" w:rsidRDefault="00964F0A" w:rsidP="00865AD2">
            <w:pPr>
              <w:rPr>
                <w:rFonts w:asciiTheme="majorHAnsi" w:hAnsiTheme="majorHAnsi"/>
                <w:b/>
                <w:color w:val="0E1B8D"/>
              </w:rPr>
            </w:pPr>
          </w:p>
          <w:p w:rsidR="00964F0A" w:rsidRPr="00737C9C" w:rsidRDefault="00964F0A" w:rsidP="00865AD2">
            <w:pPr>
              <w:rPr>
                <w:rFonts w:asciiTheme="majorHAnsi" w:hAnsiTheme="majorHAnsi"/>
                <w:b/>
                <w:color w:val="0E1B8D"/>
              </w:rPr>
            </w:pPr>
            <w:r w:rsidRPr="00737C9C">
              <w:rPr>
                <w:rFonts w:asciiTheme="majorHAnsi" w:hAnsiTheme="majorHAnsi"/>
                <w:b/>
                <w:color w:val="0E1B8D"/>
              </w:rPr>
              <w:t xml:space="preserve">Date: </w:t>
            </w:r>
            <w:r w:rsidRPr="00737C9C">
              <w:rPr>
                <w:rFonts w:asciiTheme="majorHAnsi" w:hAnsiTheme="majorHAnsi"/>
                <w:bCs/>
                <w:color w:val="0E1B8D"/>
              </w:rPr>
              <w:t xml:space="preserve"> </w:t>
            </w:r>
            <w:bookmarkStart w:id="1" w:name="_Hlk143241168"/>
            <w:r w:rsidR="008B4486" w:rsidRPr="008B4486">
              <w:rPr>
                <w:rFonts w:asciiTheme="majorHAnsi" w:hAnsiTheme="majorHAnsi"/>
                <w:b/>
                <w:bCs/>
                <w:color w:val="FF0000"/>
              </w:rPr>
              <w:t>10</w:t>
            </w:r>
            <w:r w:rsidRPr="00457130">
              <w:rPr>
                <w:rFonts w:asciiTheme="majorHAnsi" w:hAnsiTheme="majorHAnsi"/>
                <w:b/>
                <w:bCs/>
                <w:color w:val="FF0000"/>
              </w:rPr>
              <w:t xml:space="preserve"> November</w:t>
            </w:r>
            <w:r w:rsidRPr="00457130">
              <w:rPr>
                <w:b/>
                <w:color w:val="FF0000"/>
                <w:lang w:val="en-GB"/>
              </w:rPr>
              <w:t xml:space="preserve"> 2023</w:t>
            </w:r>
            <w:bookmarkStart w:id="2" w:name="_GoBack"/>
            <w:bookmarkEnd w:id="1"/>
            <w:bookmarkEnd w:id="2"/>
          </w:p>
          <w:p w:rsidR="00964F0A" w:rsidRPr="00737C9C" w:rsidRDefault="00964F0A" w:rsidP="00865AD2">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964F0A" w:rsidRPr="00737C9C" w:rsidRDefault="00964F0A" w:rsidP="00865AD2">
            <w:pPr>
              <w:rPr>
                <w:rFonts w:asciiTheme="majorHAnsi" w:hAnsiTheme="majorHAnsi"/>
                <w:b/>
                <w:color w:val="0E1B8D"/>
              </w:rPr>
            </w:pP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Validity Period</w:t>
            </w:r>
          </w:p>
        </w:tc>
        <w:tc>
          <w:tcPr>
            <w:tcW w:w="6089" w:type="dxa"/>
            <w:vAlign w:val="center"/>
          </w:tcPr>
          <w:p w:rsidR="00964F0A" w:rsidRPr="004E3E3D" w:rsidRDefault="00964F0A" w:rsidP="00865AD2">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BD74AA" w:rsidRDefault="00BD74AA"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p>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Default="001A129C">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8E1548">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26567148"/>
      <w:r w:rsidRPr="0056332A">
        <w:lastRenderedPageBreak/>
        <w:t>Invitation to Bid</w:t>
      </w:r>
      <w:r w:rsidR="00187131">
        <w:t xml:space="preserve"> (SBD 1)</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r>
        <w:rPr>
          <w:lang w:val="en-GB"/>
        </w:rPr>
        <w:t>RFx</w:t>
      </w:r>
      <w:r w:rsidR="00AA33FF">
        <w:rPr>
          <w:lang w:val="en-GB"/>
        </w:rPr>
        <w:t xml:space="preserve"> number:</w:t>
      </w:r>
      <w:r w:rsidR="00AA33FF">
        <w:rPr>
          <w:lang w:val="en-GB"/>
        </w:rPr>
        <w:tab/>
        <w:t xml:space="preserve"> </w:t>
      </w:r>
      <w:r w:rsidR="001A129C" w:rsidRPr="004918B0">
        <w:rPr>
          <w:b/>
          <w:bCs/>
        </w:rPr>
        <w:t>RF</w:t>
      </w:r>
      <w:r w:rsidR="00593D25">
        <w:rPr>
          <w:b/>
          <w:bCs/>
        </w:rPr>
        <w:t>B 2</w:t>
      </w:r>
      <w:r w:rsidR="00964F0A">
        <w:rPr>
          <w:b/>
          <w:bCs/>
        </w:rPr>
        <w:t>819</w:t>
      </w:r>
      <w:r w:rsidR="00593D25">
        <w:rPr>
          <w:b/>
          <w:bCs/>
        </w:rPr>
        <w:t>-202</w:t>
      </w:r>
      <w:r w:rsidR="00CF345B">
        <w:rPr>
          <w:b/>
          <w:bCs/>
        </w:rPr>
        <w:t>3</w:t>
      </w:r>
    </w:p>
    <w:p w:rsidR="00964F0A" w:rsidRDefault="00AA33FF" w:rsidP="005048EE">
      <w:pPr>
        <w:rPr>
          <w:b/>
          <w:bCs/>
        </w:rPr>
      </w:pPr>
      <w:r w:rsidRPr="004918B0">
        <w:rPr>
          <w:lang w:val="en-GB"/>
        </w:rPr>
        <w:t>Description:</w:t>
      </w:r>
      <w:r w:rsidR="00593D25" w:rsidRPr="00593D25">
        <w:rPr>
          <w:rFonts w:ascii="Calibri" w:eastAsia="Times New Roman" w:hAnsi="Calibri" w:cs="Calibri"/>
          <w:b/>
          <w:bCs/>
          <w:sz w:val="20"/>
          <w:szCs w:val="20"/>
        </w:rPr>
        <w:t xml:space="preserve"> </w:t>
      </w:r>
      <w:r w:rsidR="00964F0A" w:rsidRPr="00964F0A">
        <w:rPr>
          <w:b/>
          <w:bCs/>
        </w:rPr>
        <w:t xml:space="preserve">Provision of integrated assessment services to SITA for a period of 36 months </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8A2C3E">
        <w:rPr>
          <w:lang w:val="en-GB"/>
        </w:rPr>
        <w:t xml:space="preserve"> </w:t>
      </w:r>
      <w:r w:rsidR="00964F0A">
        <w:rPr>
          <w:lang w:val="en-GB"/>
        </w:rPr>
        <w:t>09 November</w:t>
      </w:r>
      <w:r w:rsidR="00CF345B">
        <w:rPr>
          <w:lang w:val="en-GB"/>
        </w:rPr>
        <w:t xml:space="preserve"> 2023 </w:t>
      </w:r>
      <w:r w:rsidR="008A2C3E">
        <w:rPr>
          <w:lang w:val="en-GB"/>
        </w:rPr>
        <w:t>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CF345B" w:rsidP="005048EE">
      <w:pPr>
        <w:rPr>
          <w:lang w:val="en-GB"/>
        </w:rPr>
      </w:pPr>
      <w:r>
        <w:rPr>
          <w:lang w:val="en-GB"/>
        </w:rPr>
        <w:t>Thato Meso</w:t>
      </w:r>
      <w:r w:rsidR="00AA33FF" w:rsidRPr="004918B0">
        <w:rPr>
          <w:lang w:val="en-GB"/>
        </w:rPr>
        <w:t xml:space="preserve">, </w:t>
      </w:r>
      <w:hyperlink r:id="rId14" w:history="1">
        <w:r w:rsidRPr="008B067B">
          <w:rPr>
            <w:rStyle w:val="Hyperlink"/>
            <w:lang w:val="en-GB"/>
          </w:rPr>
          <w:t>thato.meso@sita.co.za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CF345B" w:rsidP="00AA33FF">
      <w:pPr>
        <w:rPr>
          <w:color w:val="FF0000"/>
          <w:lang w:val="en-GB"/>
        </w:rPr>
      </w:pPr>
      <w:r>
        <w:rPr>
          <w:lang w:val="en-GB"/>
        </w:rPr>
        <w:t>Thato Meso</w:t>
      </w:r>
      <w:r w:rsidR="001A129C" w:rsidRPr="004918B0">
        <w:rPr>
          <w:lang w:val="en-GB"/>
        </w:rPr>
        <w:t xml:space="preserve">, </w:t>
      </w:r>
      <w:hyperlink r:id="rId15" w:history="1"/>
      <w:r w:rsidR="005B48A1">
        <w:rPr>
          <w:lang w:val="en-GB"/>
        </w:rPr>
        <w:t xml:space="preserve"> </w:t>
      </w:r>
      <w:hyperlink r:id="rId16" w:history="1">
        <w:r w:rsidRPr="008B067B">
          <w:rPr>
            <w:rStyle w:val="Hyperlink"/>
            <w:lang w:val="en-GB"/>
          </w:rPr>
          <w:t>thato.meso@sita.co.za</w:t>
        </w:r>
      </w:hyperlink>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E1548">
              <w:rPr>
                <w:rFonts w:ascii="Arial" w:hAnsi="Arial" w:cs="Arial"/>
                <w:sz w:val="20"/>
                <w:lang w:val="en-GB"/>
              </w:rPr>
            </w:r>
            <w:r w:rsidR="008E154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E1548">
              <w:rPr>
                <w:rFonts w:ascii="Arial" w:hAnsi="Arial" w:cs="Arial"/>
                <w:sz w:val="20"/>
                <w:lang w:val="en-GB"/>
              </w:rPr>
            </w:r>
            <w:r w:rsidR="008E154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26567149"/>
            <w:r w:rsidRPr="0090233F">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26567150"/>
            <w:r w:rsidRPr="0090233F">
              <w:t>Bid Submission Instructions</w:t>
            </w:r>
            <w:bookmarkEnd w:id="16"/>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26567152"/>
            <w:r w:rsidRPr="0090233F">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26567153"/>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0" w:name="_Toc126567157"/>
      <w:r w:rsidRPr="00552EE5">
        <w:rPr>
          <w:bCs/>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31" w:name="_Toc126567158"/>
      <w:r w:rsidRPr="001A129C">
        <w:rPr>
          <w:bCs/>
        </w:rPr>
        <w:t>National Industrial Participation Programme</w:t>
      </w:r>
      <w:bookmarkEnd w:id="31"/>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2" w:name="_Toc126567159"/>
      <w:r w:rsidRPr="00E8640E">
        <w:rPr>
          <w:bCs/>
        </w:rPr>
        <w:lastRenderedPageBreak/>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26567169"/>
      <w:r w:rsidRPr="001203AD">
        <w:rPr>
          <w:bCs/>
        </w:rPr>
        <w:lastRenderedPageBreak/>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8" w:name="_Toc126567174"/>
      <w:r w:rsidRPr="004E1D55">
        <w:t>Mandatory Returnable Documents</w:t>
      </w:r>
      <w:bookmarkEnd w:id="58"/>
    </w:p>
    <w:p w:rsidR="008D2C15" w:rsidRPr="008D2C15" w:rsidRDefault="008D2C15" w:rsidP="008D2C15">
      <w:pPr>
        <w:pStyle w:val="ListParagraph"/>
        <w:numPr>
          <w:ilvl w:val="0"/>
          <w:numId w:val="35"/>
        </w:numPr>
        <w:rPr>
          <w:rStyle w:val="Hyperlink"/>
          <w:color w:val="auto"/>
          <w:u w:val="none"/>
        </w:rPr>
      </w:pPr>
      <w:r w:rsidRPr="008D2C15">
        <w:rPr>
          <w:rStyle w:val="Hyperlink"/>
          <w:color w:val="auto"/>
          <w:u w:val="none"/>
        </w:rPr>
        <w:t>Technical / Functionality response/OEM or OSM accreditation letter</w:t>
      </w:r>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9" w:name="_Toc126567175"/>
      <w:r w:rsidRPr="001A129C">
        <w:t>Evaluation Returnable Documents</w:t>
      </w:r>
      <w:bookmarkEnd w:id="59"/>
    </w:p>
    <w:p w:rsidR="00D51798" w:rsidRPr="00E225F2" w:rsidRDefault="00D51798" w:rsidP="00BC3B6F">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6567176"/>
      <w:r>
        <w:lastRenderedPageBreak/>
        <w:t>Bidder’s disclosure (SBD 4)</w:t>
      </w:r>
      <w:bookmarkEnd w:id="60"/>
    </w:p>
    <w:p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6567179"/>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1" w:name="_Toc126567181"/>
      <w:r w:rsidRPr="00FD5364">
        <w:t>Specific conditions for this bid</w:t>
      </w:r>
      <w:bookmarkEnd w:id="71"/>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3" w:name="_Toc126567182"/>
      <w:r>
        <w:t>Formulae for procurement of goods and services</w:t>
      </w:r>
      <w:bookmarkEnd w:id="73"/>
    </w:p>
    <w:p w:rsidR="00AC0513" w:rsidRPr="001A129C" w:rsidRDefault="00AC0513" w:rsidP="000E703C">
      <w:pPr>
        <w:pStyle w:val="Heading3"/>
        <w:rPr>
          <w:rFonts w:asciiTheme="minorHAnsi" w:hAnsiTheme="minorHAnsi" w:cstheme="minorHAnsi"/>
        </w:rPr>
      </w:pPr>
      <w:bookmarkStart w:id="74" w:name="_Toc126567183"/>
      <w:r w:rsidRPr="00AC0513">
        <w:t xml:space="preserve">Points awarded for </w:t>
      </w:r>
      <w:r w:rsidRPr="001A129C">
        <w:t>price</w:t>
      </w:r>
      <w:bookmarkEnd w:id="74"/>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58978333" r:id="rId19"/>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6pt;height:36pt" o:ole="" fillcolor="window">
            <v:imagedata r:id="rId20" o:title=""/>
          </v:shape>
          <o:OLEObject Type="Embed" ProgID="Equation.3" ShapeID="_x0000_i1026" DrawAspect="Content" ObjectID="_1758978334" r:id="rId21"/>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26567184"/>
      <w:r>
        <w:lastRenderedPageBreak/>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26567186"/>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26567187"/>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26567188"/>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26567189"/>
      <w:r w:rsidRPr="0056332A">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26567190"/>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26567191"/>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26567193"/>
      <w:r w:rsidRPr="0056332A">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26567194"/>
      <w:r w:rsidRPr="0056332A">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26567195"/>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26567196"/>
      <w:r w:rsidRPr="0056332A">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26567197"/>
      <w:r w:rsidRPr="0056332A">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26567198"/>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26567199"/>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26567200"/>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26567201"/>
      <w:r w:rsidRPr="000A01AD">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26567202"/>
      <w:r w:rsidRPr="00A56683">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26567203"/>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26567204"/>
      <w:r w:rsidRPr="00A56683">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26567205"/>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26567206"/>
      <w:r w:rsidRPr="005721E2">
        <w:lastRenderedPageBreak/>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26567207"/>
      <w:r w:rsidRPr="005721E2">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26567208"/>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26567209"/>
      <w:r w:rsidRPr="005721E2">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26567210"/>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26567212"/>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26567213"/>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26567214"/>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26567215"/>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26567216"/>
      <w:r w:rsidRPr="005721E2">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26567217"/>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26567218"/>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26567219"/>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26567221"/>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4" w:name="_Toc126567222"/>
      <w:r w:rsidRPr="001A129C">
        <w:lastRenderedPageBreak/>
        <w:t>National Industrial Participation Programme (SBD 5)</w:t>
      </w:r>
      <w:bookmarkEnd w:id="114"/>
    </w:p>
    <w:p w:rsidR="00B21670" w:rsidRPr="00534B6F" w:rsidRDefault="00B21670" w:rsidP="00B21670">
      <w:pPr>
        <w:pStyle w:val="Heading2"/>
        <w:rPr>
          <w:lang w:val="en-GB"/>
        </w:rPr>
      </w:pPr>
      <w:bookmarkStart w:id="115" w:name="_Toc126567223"/>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26567228"/>
      <w:bookmarkEnd w:id="3"/>
      <w:bookmarkEnd w:id="4"/>
      <w:bookmarkEnd w:id="5"/>
      <w:bookmarkEnd w:id="6"/>
      <w:bookmarkEnd w:id="7"/>
      <w:r w:rsidRPr="00B7255B">
        <w:lastRenderedPageBreak/>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8"/>
      <w:bookmarkEnd w:id="9"/>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26567230"/>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548" w:rsidRDefault="008E1548" w:rsidP="000C56A7">
      <w:pPr>
        <w:spacing w:after="0" w:line="240" w:lineRule="auto"/>
      </w:pPr>
      <w:r>
        <w:separator/>
      </w:r>
    </w:p>
  </w:endnote>
  <w:endnote w:type="continuationSeparator" w:id="0">
    <w:p w:rsidR="008E1548" w:rsidRDefault="008E154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Default="00593F5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93F55" w:rsidRPr="00CB4B80" w:rsidRDefault="00593F5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548" w:rsidRDefault="008E1548" w:rsidP="000C56A7">
      <w:pPr>
        <w:spacing w:after="0" w:line="240" w:lineRule="auto"/>
      </w:pPr>
      <w:r>
        <w:separator/>
      </w:r>
    </w:p>
  </w:footnote>
  <w:footnote w:type="continuationSeparator" w:id="0">
    <w:p w:rsidR="008E1548" w:rsidRDefault="008E1548" w:rsidP="000C56A7">
      <w:pPr>
        <w:spacing w:after="0" w:line="240" w:lineRule="auto"/>
      </w:pPr>
      <w:r>
        <w:continuationSeparator/>
      </w:r>
    </w:p>
  </w:footnote>
  <w:footnote w:id="1">
    <w:p w:rsidR="00593F55" w:rsidRPr="00A21FCD" w:rsidRDefault="00593F5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93F55" w:rsidRDefault="00593F55" w:rsidP="009F515B">
      <w:pPr>
        <w:pStyle w:val="FootnoteText"/>
      </w:pPr>
    </w:p>
    <w:p w:rsidR="00593F55" w:rsidRDefault="00593F5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Pr="00F37BD6" w:rsidRDefault="00593F5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53532"/>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2248"/>
    <w:rsid w:val="00154098"/>
    <w:rsid w:val="00161B69"/>
    <w:rsid w:val="001715BF"/>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02838"/>
    <w:rsid w:val="00212A04"/>
    <w:rsid w:val="00223B97"/>
    <w:rsid w:val="00227CFB"/>
    <w:rsid w:val="00227FEB"/>
    <w:rsid w:val="002501BC"/>
    <w:rsid w:val="00260F2A"/>
    <w:rsid w:val="0026470C"/>
    <w:rsid w:val="0026633C"/>
    <w:rsid w:val="00286FBD"/>
    <w:rsid w:val="00287890"/>
    <w:rsid w:val="002911F2"/>
    <w:rsid w:val="002A3AA8"/>
    <w:rsid w:val="002B10F2"/>
    <w:rsid w:val="002B260C"/>
    <w:rsid w:val="002C300A"/>
    <w:rsid w:val="002C7A32"/>
    <w:rsid w:val="002C7B6E"/>
    <w:rsid w:val="002D68FB"/>
    <w:rsid w:val="002E1003"/>
    <w:rsid w:val="002E1E41"/>
    <w:rsid w:val="002E2228"/>
    <w:rsid w:val="00302F45"/>
    <w:rsid w:val="0030567D"/>
    <w:rsid w:val="00312B9B"/>
    <w:rsid w:val="003210AE"/>
    <w:rsid w:val="003238E8"/>
    <w:rsid w:val="00326B58"/>
    <w:rsid w:val="003531F7"/>
    <w:rsid w:val="00355E9B"/>
    <w:rsid w:val="0036296B"/>
    <w:rsid w:val="0036570B"/>
    <w:rsid w:val="003672E8"/>
    <w:rsid w:val="003731F9"/>
    <w:rsid w:val="00381611"/>
    <w:rsid w:val="00397B9B"/>
    <w:rsid w:val="003B190C"/>
    <w:rsid w:val="003C12EB"/>
    <w:rsid w:val="003C2D74"/>
    <w:rsid w:val="003C58AF"/>
    <w:rsid w:val="003D0BE9"/>
    <w:rsid w:val="003D1A7A"/>
    <w:rsid w:val="003E002A"/>
    <w:rsid w:val="003E0A27"/>
    <w:rsid w:val="003E54A0"/>
    <w:rsid w:val="003F762F"/>
    <w:rsid w:val="003F7BFE"/>
    <w:rsid w:val="00400714"/>
    <w:rsid w:val="0042144E"/>
    <w:rsid w:val="00423854"/>
    <w:rsid w:val="00431218"/>
    <w:rsid w:val="00432E70"/>
    <w:rsid w:val="004419A0"/>
    <w:rsid w:val="004452B2"/>
    <w:rsid w:val="00445B91"/>
    <w:rsid w:val="004533CB"/>
    <w:rsid w:val="00453E9D"/>
    <w:rsid w:val="004553A5"/>
    <w:rsid w:val="00460E39"/>
    <w:rsid w:val="00471487"/>
    <w:rsid w:val="00473F80"/>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93F55"/>
    <w:rsid w:val="005A2D7F"/>
    <w:rsid w:val="005B48A1"/>
    <w:rsid w:val="005B4A13"/>
    <w:rsid w:val="005B6F06"/>
    <w:rsid w:val="005D6202"/>
    <w:rsid w:val="005E3296"/>
    <w:rsid w:val="005E4CC1"/>
    <w:rsid w:val="005E5D06"/>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5D69"/>
    <w:rsid w:val="00872146"/>
    <w:rsid w:val="00885E6B"/>
    <w:rsid w:val="00886179"/>
    <w:rsid w:val="00887169"/>
    <w:rsid w:val="00891392"/>
    <w:rsid w:val="0089296C"/>
    <w:rsid w:val="008A128C"/>
    <w:rsid w:val="008A2B1A"/>
    <w:rsid w:val="008A2C3E"/>
    <w:rsid w:val="008A3D63"/>
    <w:rsid w:val="008B1067"/>
    <w:rsid w:val="008B1F51"/>
    <w:rsid w:val="008B2782"/>
    <w:rsid w:val="008B4486"/>
    <w:rsid w:val="008C208C"/>
    <w:rsid w:val="008C2D3B"/>
    <w:rsid w:val="008D0EA5"/>
    <w:rsid w:val="008D2C15"/>
    <w:rsid w:val="008E1548"/>
    <w:rsid w:val="008E158F"/>
    <w:rsid w:val="008F2913"/>
    <w:rsid w:val="008F3789"/>
    <w:rsid w:val="008F6DB7"/>
    <w:rsid w:val="0090233F"/>
    <w:rsid w:val="009056E8"/>
    <w:rsid w:val="00911873"/>
    <w:rsid w:val="00912911"/>
    <w:rsid w:val="00922BAF"/>
    <w:rsid w:val="009256E7"/>
    <w:rsid w:val="00936AF8"/>
    <w:rsid w:val="00941064"/>
    <w:rsid w:val="00944C4B"/>
    <w:rsid w:val="00960F83"/>
    <w:rsid w:val="00961F82"/>
    <w:rsid w:val="00964F0A"/>
    <w:rsid w:val="009A6CDE"/>
    <w:rsid w:val="009B1C1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0F07"/>
    <w:rsid w:val="00A943F8"/>
    <w:rsid w:val="00A9736F"/>
    <w:rsid w:val="00AA33FF"/>
    <w:rsid w:val="00AA3CDF"/>
    <w:rsid w:val="00AB0B86"/>
    <w:rsid w:val="00AC0513"/>
    <w:rsid w:val="00AC7C1D"/>
    <w:rsid w:val="00AD282B"/>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B7CFE"/>
    <w:rsid w:val="00BC35B1"/>
    <w:rsid w:val="00BC3B6F"/>
    <w:rsid w:val="00BD6091"/>
    <w:rsid w:val="00BD74AA"/>
    <w:rsid w:val="00BE50C6"/>
    <w:rsid w:val="00BF6DEC"/>
    <w:rsid w:val="00C026C6"/>
    <w:rsid w:val="00C0619F"/>
    <w:rsid w:val="00C15393"/>
    <w:rsid w:val="00C2646C"/>
    <w:rsid w:val="00C32641"/>
    <w:rsid w:val="00C43725"/>
    <w:rsid w:val="00C54252"/>
    <w:rsid w:val="00C62945"/>
    <w:rsid w:val="00C64928"/>
    <w:rsid w:val="00C66667"/>
    <w:rsid w:val="00C7701B"/>
    <w:rsid w:val="00C7746D"/>
    <w:rsid w:val="00C81B24"/>
    <w:rsid w:val="00C82094"/>
    <w:rsid w:val="00C838A7"/>
    <w:rsid w:val="00CA0B40"/>
    <w:rsid w:val="00CA2193"/>
    <w:rsid w:val="00CA6749"/>
    <w:rsid w:val="00CB489E"/>
    <w:rsid w:val="00CB4B80"/>
    <w:rsid w:val="00CC4824"/>
    <w:rsid w:val="00CE321E"/>
    <w:rsid w:val="00CF345B"/>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E5B1A"/>
    <w:rsid w:val="00DF0A1E"/>
    <w:rsid w:val="00E01861"/>
    <w:rsid w:val="00E030BC"/>
    <w:rsid w:val="00E044EF"/>
    <w:rsid w:val="00E11A0C"/>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D0FFD"/>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33A8"/>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D88A1"/>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183">
      <w:bodyDiv w:val="1"/>
      <w:marLeft w:val="0"/>
      <w:marRight w:val="0"/>
      <w:marTop w:val="0"/>
      <w:marBottom w:val="0"/>
      <w:divBdr>
        <w:top w:val="none" w:sz="0" w:space="0" w:color="auto"/>
        <w:left w:val="none" w:sz="0" w:space="0" w:color="auto"/>
        <w:bottom w:val="none" w:sz="0" w:space="0" w:color="auto"/>
        <w:right w:val="none" w:sz="0" w:space="0" w:color="auto"/>
      </w:divBdr>
    </w:div>
    <w:div w:id="801967015">
      <w:bodyDiv w:val="1"/>
      <w:marLeft w:val="0"/>
      <w:marRight w:val="0"/>
      <w:marTop w:val="0"/>
      <w:marBottom w:val="0"/>
      <w:divBdr>
        <w:top w:val="none" w:sz="0" w:space="0" w:color="auto"/>
        <w:left w:val="none" w:sz="0" w:space="0" w:color="auto"/>
        <w:bottom w:val="none" w:sz="0" w:space="0" w:color="auto"/>
        <w:right w:val="none" w:sz="0" w:space="0" w:color="auto"/>
      </w:divBdr>
    </w:div>
    <w:div w:id="888885674">
      <w:bodyDiv w:val="1"/>
      <w:marLeft w:val="0"/>
      <w:marRight w:val="0"/>
      <w:marTop w:val="0"/>
      <w:marBottom w:val="0"/>
      <w:divBdr>
        <w:top w:val="none" w:sz="0" w:space="0" w:color="auto"/>
        <w:left w:val="none" w:sz="0" w:space="0" w:color="auto"/>
        <w:bottom w:val="none" w:sz="0" w:space="0" w:color="auto"/>
        <w:right w:val="none" w:sz="0" w:space="0" w:color="auto"/>
      </w:divBdr>
    </w:div>
    <w:div w:id="953099699">
      <w:bodyDiv w:val="1"/>
      <w:marLeft w:val="0"/>
      <w:marRight w:val="0"/>
      <w:marTop w:val="0"/>
      <w:marBottom w:val="0"/>
      <w:divBdr>
        <w:top w:val="none" w:sz="0" w:space="0" w:color="auto"/>
        <w:left w:val="none" w:sz="0" w:space="0" w:color="auto"/>
        <w:bottom w:val="none" w:sz="0" w:space="0" w:color="auto"/>
        <w:right w:val="none" w:sz="0" w:space="0" w:color="auto"/>
      </w:divBdr>
    </w:div>
    <w:div w:id="1766801091">
      <w:bodyDiv w:val="1"/>
      <w:marLeft w:val="0"/>
      <w:marRight w:val="0"/>
      <w:marTop w:val="0"/>
      <w:marBottom w:val="0"/>
      <w:divBdr>
        <w:top w:val="none" w:sz="0" w:space="0" w:color="auto"/>
        <w:left w:val="none" w:sz="0" w:space="0" w:color="auto"/>
        <w:bottom w:val="none" w:sz="0" w:space="0" w:color="auto"/>
        <w:right w:val="none" w:sz="0" w:space="0" w:color="auto"/>
      </w:divBdr>
    </w:div>
    <w:div w:id="1921140859">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WM0YjFmNjEtMjBkNS00MTg1LWJjMGQtMTE5YWY0NWRmNTZj%40thread.v2/0?context=%7b%22Tid%22%3a%2248cd5724-88c7-48c3-a665-945436edd7fc%22%2c%22Oid%22%3a%22b549ce49-d653-46df-b9f9-9126902715f7%22%7d"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hato.meso@sita.co.za"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koetsi.makwela@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45A7D"/>
    <w:rsid w:val="00277378"/>
    <w:rsid w:val="00340A16"/>
    <w:rsid w:val="003563C0"/>
    <w:rsid w:val="004516DC"/>
    <w:rsid w:val="004D0425"/>
    <w:rsid w:val="005F00D4"/>
    <w:rsid w:val="00642F26"/>
    <w:rsid w:val="00760BA0"/>
    <w:rsid w:val="007A2B9F"/>
    <w:rsid w:val="009A2380"/>
    <w:rsid w:val="00A320B2"/>
    <w:rsid w:val="00CA7429"/>
    <w:rsid w:val="00CB619A"/>
    <w:rsid w:val="00CD04B5"/>
    <w:rsid w:val="00CD7573"/>
    <w:rsid w:val="00D82AFC"/>
    <w:rsid w:val="00DC7B12"/>
    <w:rsid w:val="00E6041A"/>
    <w:rsid w:val="00E754D6"/>
    <w:rsid w:val="00F32035"/>
    <w:rsid w:val="00F32C9F"/>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4ABAD867-511C-4778-8380-24E58009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14</TotalTime>
  <Pages>33</Pages>
  <Words>12614</Words>
  <Characters>71902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Thato Meso</cp:lastModifiedBy>
  <cp:revision>10</cp:revision>
  <cp:lastPrinted>2017-11-22T15:08:00Z</cp:lastPrinted>
  <dcterms:created xsi:type="dcterms:W3CDTF">2023-08-10T06:49:00Z</dcterms:created>
  <dcterms:modified xsi:type="dcterms:W3CDTF">2023-10-16T14:19:00Z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