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B7" w:rsidRDefault="009841B7" w:rsidP="009841B7">
      <w:pPr>
        <w:spacing w:after="0" w:line="240" w:lineRule="auto"/>
        <w:rPr>
          <w:b/>
          <w:bCs/>
          <w:sz w:val="36"/>
          <w:szCs w:val="36"/>
          <w:u w:val="single"/>
          <w:lang w:val="en-GB"/>
        </w:rPr>
      </w:pPr>
      <w:r>
        <w:rPr>
          <w:b/>
          <w:bCs/>
          <w:noProof/>
          <w:sz w:val="36"/>
          <w:szCs w:val="36"/>
          <w:u w:val="single"/>
          <w:lang w:eastAsia="en-ZA"/>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117EA3" w:rsidP="00973E1E">
            <w:pPr>
              <w:rPr>
                <w:rFonts w:ascii="Times New Roman" w:hAnsi="Times New Roman" w:cs="Times New Roman"/>
                <w:b/>
                <w:bCs/>
                <w:lang w:val="en-GB"/>
              </w:rPr>
            </w:pPr>
            <w:r>
              <w:rPr>
                <w:rFonts w:ascii="Times New Roman" w:hAnsi="Times New Roman" w:cs="Times New Roman"/>
                <w:b/>
                <w:bCs/>
                <w:lang w:val="en-GB"/>
              </w:rPr>
              <w:t>CUSTOMER CARE SYSTEM (APPOINTMENT OF A SERVICE PROVIDER FOR THE ENHANCEMENT AND LICENSING OF EXISTING HELPDESK SYSTEM (VISION HELPDESK) FOR A PERIOD OF 36 MONTHS)</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sidR="00117EA3">
              <w:rPr>
                <w:rFonts w:ascii="Times New Roman" w:hAnsi="Times New Roman" w:cs="Times New Roman"/>
                <w:b/>
                <w:bCs/>
                <w:lang w:val="en-GB"/>
              </w:rPr>
              <w:t>188</w:t>
            </w:r>
          </w:p>
          <w:p w:rsidR="00B0417E" w:rsidRPr="0089652C" w:rsidRDefault="00B0417E" w:rsidP="001B7CEF">
            <w:pPr>
              <w:rPr>
                <w:rFonts w:ascii="Times New Roman" w:hAnsi="Times New Roman" w:cs="Times New Roman"/>
                <w:b/>
                <w:bCs/>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117EA3" w:rsidP="001B7CEF">
            <w:pPr>
              <w:jc w:val="both"/>
              <w:rPr>
                <w:rFonts w:ascii="Times New Roman" w:hAnsi="Times New Roman" w:cs="Times New Roman"/>
                <w:b/>
                <w:bCs/>
                <w:lang w:val="en-GB"/>
              </w:rPr>
            </w:pPr>
            <w:r>
              <w:rPr>
                <w:rFonts w:ascii="Times New Roman" w:hAnsi="Times New Roman" w:cs="Times New Roman"/>
                <w:b/>
                <w:bCs/>
                <w:lang w:val="en-GB"/>
              </w:rPr>
              <w:t>05</w:t>
            </w:r>
            <w:r w:rsidR="00000F6F">
              <w:rPr>
                <w:rFonts w:ascii="Times New Roman" w:hAnsi="Times New Roman" w:cs="Times New Roman"/>
                <w:b/>
                <w:bCs/>
                <w:lang w:val="en-GB"/>
              </w:rPr>
              <w:t>/</w:t>
            </w:r>
            <w:r>
              <w:rPr>
                <w:rFonts w:ascii="Times New Roman" w:hAnsi="Times New Roman" w:cs="Times New Roman"/>
                <w:b/>
                <w:bCs/>
                <w:lang w:val="en-GB"/>
              </w:rPr>
              <w:t>04/2024</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F255F2" w:rsidP="00B0417E">
            <w:pPr>
              <w:jc w:val="both"/>
              <w:rPr>
                <w:rFonts w:ascii="Times New Roman" w:hAnsi="Times New Roman" w:cs="Times New Roman"/>
                <w:b/>
                <w:bCs/>
                <w:lang w:val="en-GB"/>
              </w:rPr>
            </w:pPr>
            <w:r>
              <w:rPr>
                <w:rFonts w:ascii="Times New Roman" w:hAnsi="Times New Roman" w:cs="Times New Roman"/>
                <w:b/>
                <w:bCs/>
                <w:lang w:val="en-GB"/>
              </w:rPr>
              <w:t>06</w:t>
            </w:r>
            <w:r w:rsidR="007C5BD9" w:rsidRPr="0089652C">
              <w:rPr>
                <w:rFonts w:ascii="Times New Roman" w:hAnsi="Times New Roman" w:cs="Times New Roman"/>
                <w:b/>
                <w:bCs/>
                <w:lang w:val="en-GB"/>
              </w:rPr>
              <w:t>/</w:t>
            </w:r>
            <w:r>
              <w:rPr>
                <w:rFonts w:ascii="Times New Roman" w:hAnsi="Times New Roman" w:cs="Times New Roman"/>
                <w:b/>
                <w:bCs/>
                <w:lang w:val="en-GB"/>
              </w:rPr>
              <w:t>05</w:t>
            </w:r>
            <w:r w:rsidR="00117EA3">
              <w:rPr>
                <w:rFonts w:ascii="Times New Roman" w:hAnsi="Times New Roman" w:cs="Times New Roman"/>
                <w:b/>
                <w:bCs/>
                <w:lang w:val="en-GB"/>
              </w:rPr>
              <w:t>/2024</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F255F2" w:rsidP="001B7CEF">
            <w:pPr>
              <w:jc w:val="both"/>
              <w:rPr>
                <w:rFonts w:ascii="Times New Roman" w:hAnsi="Times New Roman" w:cs="Times New Roman"/>
                <w:b/>
                <w:bCs/>
                <w:lang w:val="en-GB"/>
              </w:rPr>
            </w:pPr>
            <w:r>
              <w:rPr>
                <w:rFonts w:ascii="Times New Roman" w:hAnsi="Times New Roman" w:cs="Times New Roman"/>
                <w:b/>
                <w:bCs/>
                <w:lang w:val="en-GB"/>
              </w:rPr>
              <w:t>11</w:t>
            </w:r>
            <w:r w:rsidR="007C5BD9" w:rsidRPr="0089652C">
              <w:rPr>
                <w:rFonts w:ascii="Times New Roman" w:hAnsi="Times New Roman" w:cs="Times New Roman"/>
                <w:b/>
                <w:bCs/>
                <w:lang w:val="en-GB"/>
              </w:rPr>
              <w:t>/</w:t>
            </w:r>
            <w:r w:rsidR="00117EA3">
              <w:rPr>
                <w:rFonts w:ascii="Times New Roman" w:hAnsi="Times New Roman" w:cs="Times New Roman"/>
                <w:b/>
                <w:bCs/>
                <w:lang w:val="en-GB"/>
              </w:rPr>
              <w:t>04/2024</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117EA3">
              <w:rPr>
                <w:rFonts w:ascii="Times New Roman" w:hAnsi="Times New Roman" w:cs="Times New Roman"/>
                <w:b/>
                <w:bCs/>
                <w:lang w:val="en-GB"/>
              </w:rPr>
              <w:t>5</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w:t>
            </w:r>
            <w:bookmarkStart w:id="0" w:name="_GoBack"/>
            <w:bookmarkEnd w:id="0"/>
            <w:r w:rsidRPr="0089652C">
              <w:rPr>
                <w:rFonts w:ascii="Times New Roman" w:hAnsi="Times New Roman" w:cs="Times New Roman"/>
                <w:bCs/>
                <w:lang w:val="en-GB"/>
              </w:rPr>
              <w:t>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49505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495055" w:rsidRPr="00195A85" w:rsidRDefault="00495055" w:rsidP="00495055">
            <w:pPr>
              <w:jc w:val="center"/>
              <w:rPr>
                <w:rFonts w:ascii="Times New Roman" w:hAnsi="Times New Roman" w:cs="Times New Roman"/>
                <w:b/>
                <w:bCs/>
                <w:sz w:val="24"/>
                <w:szCs w:val="24"/>
                <w:lang w:val="en-GB"/>
              </w:rPr>
            </w:pP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lastRenderedPageBreak/>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117EA3">
                    <w:rPr>
                      <w:rFonts w:ascii="Times New Roman" w:eastAsia="Calibri" w:hAnsi="Times New Roman" w:cs="Times New Roman"/>
                      <w:lang w:eastAsia="en-ZA"/>
                    </w:rPr>
                    <w:t>8</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4678" w:type="dxa"/>
                      </w:tcPr>
                      <w:p w:rsidR="005C124C" w:rsidRPr="00410CA8" w:rsidRDefault="00117EA3" w:rsidP="00495055">
                        <w:pPr>
                          <w:rPr>
                            <w:rFonts w:ascii="Times New Roman" w:hAnsi="Times New Roman" w:cs="Times New Roman"/>
                            <w:lang w:val="en-GB"/>
                          </w:rPr>
                        </w:pPr>
                        <w:r>
                          <w:rPr>
                            <w:rFonts w:ascii="Times New Roman" w:hAnsi="Times New Roman" w:cs="Times New Roman"/>
                            <w:lang w:val="en-GB"/>
                          </w:rPr>
                          <w:t>30</w:t>
                        </w:r>
                      </w:p>
                    </w:tc>
                  </w:tr>
                  <w:tr w:rsidR="00117EA3" w:rsidRPr="00410CA8" w:rsidTr="005C124C">
                    <w:tc>
                      <w:tcPr>
                        <w:tcW w:w="5587" w:type="dxa"/>
                      </w:tcPr>
                      <w:p w:rsidR="00117EA3" w:rsidRPr="00410CA8" w:rsidRDefault="00117EA3" w:rsidP="00117EA3">
                        <w:pPr>
                          <w:rPr>
                            <w:rFonts w:ascii="Times New Roman" w:hAnsi="Times New Roman" w:cs="Times New Roman"/>
                            <w:lang w:val="en-GB"/>
                          </w:rPr>
                        </w:pPr>
                        <w:r>
                          <w:rPr>
                            <w:rFonts w:ascii="Times New Roman" w:hAnsi="Times New Roman" w:cs="Times New Roman"/>
                            <w:lang w:val="en-GB"/>
                          </w:rPr>
                          <w:t xml:space="preserve">Key personnel </w:t>
                        </w:r>
                      </w:p>
                    </w:tc>
                    <w:tc>
                      <w:tcPr>
                        <w:tcW w:w="4678" w:type="dxa"/>
                      </w:tcPr>
                      <w:p w:rsidR="00117EA3" w:rsidRPr="00410CA8" w:rsidRDefault="00117EA3" w:rsidP="00117EA3">
                        <w:pPr>
                          <w:rPr>
                            <w:rFonts w:ascii="Times New Roman" w:hAnsi="Times New Roman" w:cs="Times New Roman"/>
                            <w:lang w:val="en-GB"/>
                          </w:rPr>
                        </w:pPr>
                        <w:r>
                          <w:rPr>
                            <w:rFonts w:ascii="Times New Roman" w:hAnsi="Times New Roman" w:cs="Times New Roman"/>
                            <w:lang w:val="en-GB"/>
                          </w:rPr>
                          <w:t>15</w:t>
                        </w:r>
                      </w:p>
                    </w:tc>
                  </w:tr>
                  <w:tr w:rsidR="00117EA3" w:rsidRPr="00410CA8" w:rsidTr="005C124C">
                    <w:tc>
                      <w:tcPr>
                        <w:tcW w:w="5587" w:type="dxa"/>
                      </w:tcPr>
                      <w:p w:rsidR="00117EA3" w:rsidRPr="00410CA8" w:rsidRDefault="00117EA3" w:rsidP="00117EA3">
                        <w:pPr>
                          <w:rPr>
                            <w:rFonts w:ascii="Times New Roman" w:hAnsi="Times New Roman" w:cs="Times New Roman"/>
                            <w:lang w:val="en-GB"/>
                          </w:rPr>
                        </w:pPr>
                        <w:r>
                          <w:rPr>
                            <w:rFonts w:ascii="Times New Roman" w:hAnsi="Times New Roman" w:cs="Times New Roman"/>
                            <w:lang w:val="en-GB"/>
                          </w:rPr>
                          <w:t>Practical Experience</w:t>
                        </w:r>
                      </w:p>
                    </w:tc>
                    <w:tc>
                      <w:tcPr>
                        <w:tcW w:w="4678" w:type="dxa"/>
                      </w:tcPr>
                      <w:p w:rsidR="00117EA3" w:rsidRDefault="00117EA3" w:rsidP="00117EA3">
                        <w:pPr>
                          <w:rPr>
                            <w:rFonts w:ascii="Times New Roman" w:hAnsi="Times New Roman" w:cs="Times New Roman"/>
                            <w:lang w:val="en-GB"/>
                          </w:rPr>
                        </w:pPr>
                        <w:r>
                          <w:rPr>
                            <w:rFonts w:ascii="Times New Roman" w:hAnsi="Times New Roman" w:cs="Times New Roman"/>
                            <w:lang w:val="en-GB"/>
                          </w:rPr>
                          <w:t>55</w:t>
                        </w:r>
                      </w:p>
                    </w:tc>
                  </w:tr>
                  <w:tr w:rsidR="00117EA3" w:rsidRPr="00410CA8" w:rsidTr="005C124C">
                    <w:tc>
                      <w:tcPr>
                        <w:tcW w:w="5587" w:type="dxa"/>
                      </w:tcPr>
                      <w:p w:rsidR="00117EA3" w:rsidRPr="00410CA8" w:rsidRDefault="00117EA3" w:rsidP="00117EA3">
                        <w:pPr>
                          <w:rPr>
                            <w:rFonts w:ascii="Times New Roman" w:hAnsi="Times New Roman" w:cs="Times New Roman"/>
                            <w:lang w:val="en-GB"/>
                          </w:rPr>
                        </w:pPr>
                        <w:r>
                          <w:rPr>
                            <w:rFonts w:ascii="Times New Roman" w:hAnsi="Times New Roman" w:cs="Times New Roman"/>
                            <w:lang w:val="en-GB"/>
                          </w:rPr>
                          <w:t>Total</w:t>
                        </w:r>
                      </w:p>
                    </w:tc>
                    <w:tc>
                      <w:tcPr>
                        <w:tcW w:w="4678" w:type="dxa"/>
                      </w:tcPr>
                      <w:p w:rsidR="00117EA3" w:rsidRPr="00410CA8" w:rsidRDefault="00117EA3" w:rsidP="00117EA3">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117EA3" w:rsidRDefault="00117EA3" w:rsidP="00495055">
                  <w:pPr>
                    <w:rPr>
                      <w:rFonts w:ascii="Times New Roman" w:hAnsi="Times New Roman" w:cs="Times New Roman"/>
                      <w:b/>
                      <w:bCs/>
                      <w:lang w:val="en-GB"/>
                    </w:rPr>
                  </w:pPr>
                </w:p>
                <w:p w:rsidR="00117EA3" w:rsidRDefault="00117EA3" w:rsidP="00495055">
                  <w:pPr>
                    <w:rPr>
                      <w:rFonts w:ascii="Times New Roman" w:hAnsi="Times New Roman" w:cs="Times New Roman"/>
                      <w:b/>
                      <w:bCs/>
                      <w:lang w:val="en-GB"/>
                    </w:rPr>
                  </w:pPr>
                </w:p>
                <w:p w:rsidR="00117EA3" w:rsidRDefault="00117EA3" w:rsidP="00495055">
                  <w:pPr>
                    <w:rPr>
                      <w:rFonts w:ascii="Times New Roman" w:hAnsi="Times New Roman" w:cs="Times New Roman"/>
                      <w:b/>
                      <w:bCs/>
                      <w:lang w:val="en-GB"/>
                    </w:rPr>
                  </w:pPr>
                </w:p>
                <w:p w:rsidR="00117EA3" w:rsidRDefault="00117EA3" w:rsidP="00495055">
                  <w:pPr>
                    <w:rPr>
                      <w:rFonts w:ascii="Times New Roman" w:hAnsi="Times New Roman" w:cs="Times New Roman"/>
                      <w:b/>
                      <w:bCs/>
                      <w:lang w:val="en-GB"/>
                    </w:rPr>
                  </w:pP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lastRenderedPageBreak/>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BA68AB"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lastRenderedPageBreak/>
                    <w:t>All SCM enquiries relating to this bi</w:t>
                  </w:r>
                  <w:r w:rsidR="00117EA3">
                    <w:rPr>
                      <w:rFonts w:ascii="Times New Roman" w:hAnsi="Times New Roman" w:cs="Times New Roman"/>
                      <w:iCs/>
                      <w:lang w:val="en-GB"/>
                    </w:rPr>
                    <w:t xml:space="preserve">d must be directed to M. </w:t>
                  </w:r>
                  <w:proofErr w:type="spellStart"/>
                  <w:r w:rsidR="00117EA3">
                    <w:rPr>
                      <w:rFonts w:ascii="Times New Roman" w:hAnsi="Times New Roman" w:cs="Times New Roman"/>
                      <w:iCs/>
                      <w:lang w:val="en-GB"/>
                    </w:rPr>
                    <w:t>Sababsaba</w:t>
                  </w:r>
                  <w:proofErr w:type="spellEnd"/>
                  <w:r w:rsidR="00117EA3">
                    <w:rPr>
                      <w:rFonts w:ascii="Times New Roman" w:hAnsi="Times New Roman" w:cs="Times New Roman"/>
                      <w:iCs/>
                      <w:lang w:val="en-GB"/>
                    </w:rPr>
                    <w:t>, e-mail: MSabasaba</w:t>
                  </w:r>
                  <w:r w:rsidRPr="0089652C">
                    <w:rPr>
                      <w:rFonts w:ascii="Times New Roman" w:hAnsi="Times New Roman" w:cs="Times New Roman"/>
                      <w:iCs/>
                      <w:lang w:val="en-GB"/>
                    </w:rPr>
                    <w:t>@matatiele.gov.za during office hours (07h30 – 16h00) weekdays. All Technical enquiries relating to this bid must be directed to M</w:t>
                  </w:r>
                  <w:r w:rsidR="00BA68AB">
                    <w:rPr>
                      <w:rFonts w:ascii="Times New Roman" w:hAnsi="Times New Roman" w:cs="Times New Roman"/>
                      <w:iCs/>
                      <w:lang w:val="en-GB"/>
                    </w:rPr>
                    <w:t>r. B Matubatuba</w:t>
                  </w:r>
                  <w:r w:rsidRPr="0089652C">
                    <w:rPr>
                      <w:rFonts w:ascii="Times New Roman" w:hAnsi="Times New Roman" w:cs="Times New Roman"/>
                      <w:iCs/>
                      <w:lang w:val="en-GB"/>
                    </w:rPr>
                    <w:t xml:space="preserve">, e-mail: </w:t>
                  </w:r>
                  <w:r w:rsidR="00BA68AB">
                    <w:rPr>
                      <w:rFonts w:ascii="Times New Roman" w:hAnsi="Times New Roman" w:cs="Times New Roman"/>
                      <w:iCs/>
                      <w:lang w:val="en-GB"/>
                    </w:rPr>
                    <w:t>BMatubatuba</w:t>
                  </w:r>
                  <w:r w:rsidRPr="0089652C">
                    <w:rPr>
                      <w:rFonts w:ascii="Times New Roman" w:hAnsi="Times New Roman" w:cs="Times New Roman"/>
                      <w:iCs/>
                      <w:lang w:val="en-GB"/>
                    </w:rPr>
                    <w:t>@matatiele.gov.za during office hours</w:t>
                  </w:r>
                </w:p>
                <w:p w:rsidR="005C124C" w:rsidRPr="0089652C" w:rsidRDefault="005C124C"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B7" w:rsidRDefault="009841B7">
    <w:pPr>
      <w:pStyle w:val="Footer"/>
    </w:pPr>
    <w:r w:rsidRPr="009841B7">
      <w:rPr>
        <w:noProof/>
        <w:lang w:eastAsia="en-ZA"/>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17EA3"/>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2D3E"/>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25EBD"/>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1169E"/>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8AB"/>
    <w:rsid w:val="00BD0A2F"/>
    <w:rsid w:val="00BD1925"/>
    <w:rsid w:val="00BD71A5"/>
    <w:rsid w:val="00C03357"/>
    <w:rsid w:val="00C0731C"/>
    <w:rsid w:val="00C6341F"/>
    <w:rsid w:val="00C637B8"/>
    <w:rsid w:val="00C6489C"/>
    <w:rsid w:val="00C6759F"/>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60491"/>
    <w:rsid w:val="00D770F6"/>
    <w:rsid w:val="00DC7214"/>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0C13"/>
    <w:rsid w:val="00F020FB"/>
    <w:rsid w:val="00F10FF8"/>
    <w:rsid w:val="00F2003F"/>
    <w:rsid w:val="00F202E3"/>
    <w:rsid w:val="00F255F2"/>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7AD6E7"/>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B468C-494C-4DEA-B782-1B472C1D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4</cp:revision>
  <cp:lastPrinted>2024-04-03T10:48:00Z</cp:lastPrinted>
  <dcterms:created xsi:type="dcterms:W3CDTF">2024-04-03T10:32:00Z</dcterms:created>
  <dcterms:modified xsi:type="dcterms:W3CDTF">2024-04-03T10:48:00Z</dcterms:modified>
</cp:coreProperties>
</file>