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Content>
        <w:sdt>
          <w:sdtPr>
            <w:id w:val="-1462265599"/>
            <w:lock w:val="sdtContentLocked"/>
            <w:placeholder>
              <w:docPart w:val="DD2C3B85F59C40FEB5D8214AAED90924"/>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32356D"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86160A" w:rsidRDefault="0086160A">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rPr>
                <w:rFonts w:cs="Calibri Light"/>
                <w:b/>
                <w:color w:val="0E1B8D"/>
              </w:rPr>
            </w:pPr>
            <w:bookmarkStart w:id="0" w:name="_Hlk126923540"/>
            <w:r>
              <w:rPr>
                <w:rFonts w:cs="Calibri Light"/>
                <w:b/>
                <w:color w:val="0E1B8D"/>
              </w:rPr>
              <w:t>RFQ</w:t>
            </w:r>
            <w:r w:rsidRPr="007F2B21">
              <w:rPr>
                <w:rFonts w:cs="Calibri Light"/>
                <w:b/>
                <w:color w:val="0E1B8D"/>
              </w:rPr>
              <w:t xml:space="preserve"> No:</w:t>
            </w:r>
          </w:p>
        </w:tc>
        <w:tc>
          <w:tcPr>
            <w:tcW w:w="6089" w:type="dxa"/>
            <w:vAlign w:val="center"/>
          </w:tcPr>
          <w:p w:rsidR="0086160A" w:rsidRPr="007F2B21" w:rsidRDefault="006A4C28" w:rsidP="0086160A">
            <w:pPr>
              <w:rPr>
                <w:rFonts w:cs="Calibri Light"/>
                <w:bCs/>
                <w:color w:val="0E1B8D"/>
              </w:rPr>
            </w:pPr>
            <w:r w:rsidRPr="006A4C28">
              <w:rPr>
                <w:rFonts w:asciiTheme="majorHAnsi" w:hAnsiTheme="majorHAnsi"/>
                <w:b/>
                <w:bCs/>
                <w:color w:val="0E1B8D"/>
              </w:rPr>
              <w:t>RFB 280</w:t>
            </w:r>
            <w:r w:rsidR="0032356D">
              <w:rPr>
                <w:rFonts w:asciiTheme="majorHAnsi" w:hAnsiTheme="majorHAnsi"/>
                <w:b/>
                <w:bCs/>
                <w:color w:val="0E1B8D"/>
              </w:rPr>
              <w:t>6</w:t>
            </w:r>
            <w:r w:rsidRPr="006A4C28">
              <w:rPr>
                <w:rFonts w:asciiTheme="majorHAnsi" w:hAnsiTheme="majorHAnsi"/>
                <w:b/>
                <w:bCs/>
                <w:color w:val="0E1B8D"/>
              </w:rPr>
              <w:t>/2023</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rsidR="0086160A" w:rsidRPr="006A4C28" w:rsidRDefault="0032356D" w:rsidP="0086160A">
            <w:pPr>
              <w:rPr>
                <w:rFonts w:cs="Calibri Light"/>
                <w:b/>
                <w:color w:val="0E1B8D"/>
              </w:rPr>
            </w:pPr>
            <w:r w:rsidRPr="0032356D">
              <w:rPr>
                <w:rFonts w:cs="Calibri Light"/>
                <w:b/>
                <w:bCs/>
                <w:color w:val="FF0000"/>
                <w:lang w:val="en-GB"/>
              </w:rPr>
              <w:t>PROVISION OF 24 HOURS PHYSICAL SECURITY SERVICES TO THE SITA MIDDELBURG OFFICE” FOR A PERIOD OF FIFTEEN (15) MONTHS</w:t>
            </w:r>
            <w:r w:rsidR="006A4C28" w:rsidRPr="006A4C28">
              <w:rPr>
                <w:rFonts w:cs="Calibri Light"/>
                <w:bCs/>
                <w:color w:val="FF0000"/>
              </w:rPr>
              <w:t>.</w:t>
            </w:r>
          </w:p>
        </w:tc>
      </w:tr>
      <w:tr w:rsidR="0086160A" w:rsidRPr="007F2B21" w:rsidTr="0086160A">
        <w:trPr>
          <w:trHeight w:val="567"/>
        </w:trPr>
        <w:tc>
          <w:tcPr>
            <w:tcW w:w="3539" w:type="dxa"/>
            <w:shd w:val="clear" w:color="auto" w:fill="DBE5F1" w:themeFill="accent1" w:themeFillTint="33"/>
            <w:vAlign w:val="center"/>
          </w:tcPr>
          <w:p w:rsidR="0086160A" w:rsidRPr="00EB2719" w:rsidRDefault="0086160A" w:rsidP="0086160A">
            <w:pPr>
              <w:jc w:val="left"/>
              <w:rPr>
                <w:rFonts w:asciiTheme="majorHAnsi" w:hAnsiTheme="majorHAnsi"/>
                <w:b/>
                <w:color w:val="0E1B8D"/>
              </w:rPr>
            </w:pPr>
            <w:r w:rsidRPr="007F2B21">
              <w:rPr>
                <w:rFonts w:asciiTheme="majorHAnsi" w:hAnsiTheme="majorHAnsi"/>
                <w:b/>
                <w:color w:val="0E1B8D"/>
              </w:rPr>
              <w:t xml:space="preserve">Virtual Briefing Session </w:t>
            </w:r>
          </w:p>
        </w:tc>
        <w:tc>
          <w:tcPr>
            <w:tcW w:w="6089" w:type="dxa"/>
            <w:vAlign w:val="center"/>
          </w:tcPr>
          <w:p w:rsidR="0086160A" w:rsidRPr="006A4C28" w:rsidRDefault="0086160A" w:rsidP="0086160A">
            <w:pPr>
              <w:rPr>
                <w:rFonts w:asciiTheme="majorHAnsi" w:hAnsiTheme="majorHAnsi"/>
                <w:b/>
                <w:bCs/>
                <w:color w:val="0E1B8D"/>
              </w:rPr>
            </w:pPr>
            <w:r w:rsidRPr="006A4C28">
              <w:rPr>
                <w:rFonts w:asciiTheme="majorHAnsi" w:hAnsiTheme="majorHAnsi"/>
                <w:b/>
                <w:bCs/>
                <w:color w:val="0E1B8D"/>
              </w:rPr>
              <w:t xml:space="preserve">Non-Compulsory </w:t>
            </w:r>
            <w:r w:rsidR="00EA7FD9" w:rsidRPr="006A4C28">
              <w:rPr>
                <w:rFonts w:asciiTheme="majorHAnsi" w:hAnsiTheme="majorHAnsi"/>
                <w:b/>
                <w:bCs/>
                <w:color w:val="0E1B8D"/>
              </w:rPr>
              <w:t>virtual briefing session</w:t>
            </w:r>
            <w:r w:rsidRPr="006A4C28">
              <w:rPr>
                <w:rFonts w:asciiTheme="majorHAnsi" w:hAnsiTheme="majorHAnsi"/>
                <w:b/>
                <w:bCs/>
                <w:color w:val="0E1B8D"/>
              </w:rPr>
              <w:t xml:space="preserve"> will be held as follows:</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Date: </w:t>
            </w:r>
            <w:r w:rsidR="0032356D">
              <w:rPr>
                <w:rFonts w:asciiTheme="majorHAnsi" w:hAnsiTheme="majorHAnsi"/>
                <w:b/>
                <w:color w:val="0E1B8D"/>
              </w:rPr>
              <w:t>04 October</w:t>
            </w:r>
            <w:r w:rsidRPr="00EB2719">
              <w:rPr>
                <w:rFonts w:asciiTheme="majorHAnsi" w:hAnsiTheme="majorHAnsi"/>
                <w:b/>
                <w:color w:val="0E1B8D"/>
              </w:rPr>
              <w:t xml:space="preserve"> 2023</w:t>
            </w:r>
          </w:p>
          <w:p w:rsidR="0086160A" w:rsidRPr="00EB2719" w:rsidRDefault="0086160A" w:rsidP="0086160A">
            <w:pPr>
              <w:rPr>
                <w:rFonts w:asciiTheme="majorHAnsi" w:hAnsiTheme="majorHAnsi"/>
                <w:b/>
                <w:color w:val="0E1B8D"/>
              </w:rPr>
            </w:pPr>
            <w:r w:rsidRPr="00EB2719">
              <w:rPr>
                <w:rFonts w:asciiTheme="majorHAnsi" w:hAnsiTheme="majorHAnsi"/>
                <w:b/>
                <w:color w:val="0E1B8D"/>
              </w:rPr>
              <w:t>Time: 1</w:t>
            </w:r>
            <w:r w:rsidR="00EA7FD9">
              <w:rPr>
                <w:rFonts w:asciiTheme="majorHAnsi" w:hAnsiTheme="majorHAnsi"/>
                <w:b/>
                <w:color w:val="0E1B8D"/>
              </w:rPr>
              <w:t>0am-12</w:t>
            </w:r>
            <w:r w:rsidRPr="00EB2719">
              <w:rPr>
                <w:rFonts w:asciiTheme="majorHAnsi" w:hAnsiTheme="majorHAnsi"/>
                <w:b/>
                <w:color w:val="0E1B8D"/>
              </w:rPr>
              <w:t xml:space="preserve">pm </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Venue: </w:t>
            </w:r>
            <w:r w:rsidR="00EA7FD9">
              <w:rPr>
                <w:rFonts w:asciiTheme="majorHAnsi" w:hAnsiTheme="majorHAnsi"/>
                <w:b/>
                <w:color w:val="0E1B8D"/>
              </w:rPr>
              <w:t xml:space="preserve">Teams </w:t>
            </w:r>
          </w:p>
          <w:p w:rsidR="00EA7FD9" w:rsidRDefault="0086160A" w:rsidP="00EA7FD9">
            <w:pPr>
              <w:rPr>
                <w:rFonts w:ascii="Segoe UI" w:hAnsi="Segoe UI" w:cs="Segoe UI"/>
                <w:color w:val="252424"/>
                <w:lang w:val="en-US"/>
              </w:rPr>
            </w:pPr>
            <w:r>
              <w:rPr>
                <w:rFonts w:ascii="Segoe UI" w:hAnsi="Segoe UI" w:cs="Segoe UI"/>
                <w:color w:val="252424"/>
                <w:lang w:val="en-US"/>
              </w:rPr>
              <w:t xml:space="preserve"> </w:t>
            </w:r>
          </w:p>
          <w:p w:rsidR="0086160A" w:rsidRDefault="0032356D" w:rsidP="0032356D">
            <w:pPr>
              <w:rPr>
                <w:rFonts w:ascii="Segoe UI" w:eastAsia="Calibri" w:hAnsi="Segoe UI" w:cs="Segoe UI"/>
                <w:color w:val="252424"/>
                <w:lang w:val="en-US"/>
              </w:rPr>
            </w:pPr>
            <w:hyperlink r:id="rId13" w:tgtFrame="_blank" w:history="1">
              <w:r w:rsidRPr="0032356D">
                <w:rPr>
                  <w:rFonts w:ascii="Segoe UI Semibold" w:eastAsia="Calibri" w:hAnsi="Segoe UI Semibold" w:cs="Segoe UI Semibold"/>
                  <w:color w:val="6264A7"/>
                  <w:sz w:val="21"/>
                  <w:szCs w:val="21"/>
                  <w:u w:val="single"/>
                  <w:lang w:val="en-US"/>
                </w:rPr>
                <w:t>Click here to join the meeting</w:t>
              </w:r>
            </w:hyperlink>
          </w:p>
          <w:p w:rsidR="0032356D" w:rsidRPr="007F2B21" w:rsidRDefault="0032356D" w:rsidP="0032356D">
            <w:pPr>
              <w:rPr>
                <w:rFonts w:asciiTheme="majorHAnsi" w:hAnsiTheme="majorHAnsi"/>
                <w:b/>
                <w:bCs/>
                <w:color w:val="FF0000"/>
              </w:rPr>
            </w:pPr>
          </w:p>
        </w:tc>
      </w:tr>
      <w:tr w:rsidR="00FC576D" w:rsidRPr="007F2B21" w:rsidTr="0086160A">
        <w:trPr>
          <w:trHeight w:val="567"/>
        </w:trPr>
        <w:tc>
          <w:tcPr>
            <w:tcW w:w="3539" w:type="dxa"/>
            <w:shd w:val="clear" w:color="auto" w:fill="DBE5F1" w:themeFill="accent1" w:themeFillTint="33"/>
            <w:vAlign w:val="center"/>
          </w:tcPr>
          <w:p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FC576D" w:rsidRPr="00FC576D" w:rsidRDefault="0032356D" w:rsidP="00FC576D">
            <w:pPr>
              <w:rPr>
                <w:rFonts w:asciiTheme="majorHAnsi" w:hAnsiTheme="majorHAnsi"/>
                <w:b/>
                <w:bCs/>
                <w:color w:val="0E1B8D"/>
              </w:rPr>
            </w:pPr>
            <w:r>
              <w:rPr>
                <w:rFonts w:asciiTheme="majorHAnsi" w:hAnsiTheme="majorHAnsi"/>
                <w:b/>
                <w:bCs/>
                <w:color w:val="FF0000"/>
              </w:rPr>
              <w:t>06 October</w:t>
            </w:r>
            <w:r w:rsidR="00FC576D" w:rsidRPr="00FC576D">
              <w:rPr>
                <w:rFonts w:asciiTheme="majorHAnsi" w:hAnsiTheme="majorHAnsi"/>
                <w:b/>
                <w:bCs/>
                <w:color w:val="FF0000"/>
              </w:rPr>
              <w:t xml:space="preserve"> 2023 at 1</w:t>
            </w:r>
            <w:r w:rsidR="00FC576D">
              <w:rPr>
                <w:rFonts w:asciiTheme="majorHAnsi" w:hAnsiTheme="majorHAnsi"/>
                <w:b/>
                <w:bCs/>
                <w:color w:val="FF0000"/>
              </w:rPr>
              <w:t>4</w:t>
            </w:r>
            <w:r w:rsidR="00FC576D" w:rsidRPr="00FC576D">
              <w:rPr>
                <w:rFonts w:asciiTheme="majorHAnsi" w:hAnsiTheme="majorHAnsi"/>
                <w:b/>
                <w:bCs/>
                <w:color w:val="FF0000"/>
              </w:rPr>
              <w:t>:00</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86160A" w:rsidRDefault="005E70C0" w:rsidP="0086160A">
            <w:pPr>
              <w:rPr>
                <w:rFonts w:cs="Calibri Light"/>
                <w:b/>
                <w:color w:val="0E1B8D"/>
              </w:rPr>
            </w:pPr>
            <w:bookmarkStart w:id="1" w:name="_Hlk133220218"/>
            <w:r>
              <w:rPr>
                <w:rFonts w:cs="Calibri Light"/>
                <w:b/>
                <w:color w:val="0E1B8D"/>
              </w:rPr>
              <w:t>Hand delivered:</w:t>
            </w:r>
          </w:p>
          <w:p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
          <w:p w:rsidR="00FC576D" w:rsidRDefault="005E70C0" w:rsidP="0086160A">
            <w:pPr>
              <w:rPr>
                <w:rFonts w:asciiTheme="majorHAnsi" w:hAnsiTheme="majorHAnsi"/>
                <w:bCs/>
                <w:color w:val="0E1B8D"/>
              </w:rPr>
            </w:pP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rsidR="005E70C0" w:rsidRPr="005E70C0" w:rsidRDefault="005E70C0" w:rsidP="0086160A">
            <w:pPr>
              <w:rPr>
                <w:rFonts w:asciiTheme="majorHAnsi" w:hAnsiTheme="majorHAnsi"/>
                <w:bCs/>
                <w:color w:val="0E1B8D"/>
              </w:rPr>
            </w:pPr>
            <w:r w:rsidRPr="004E3E3D">
              <w:rPr>
                <w:rFonts w:asciiTheme="majorHAnsi" w:hAnsiTheme="majorHAnsi"/>
                <w:bCs/>
                <w:color w:val="0E1B8D"/>
              </w:rPr>
              <w:t>0105</w:t>
            </w:r>
            <w:bookmarkEnd w:id="1"/>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rsidR="0086160A" w:rsidRPr="007F2B21" w:rsidRDefault="0086160A" w:rsidP="0086160A">
            <w:pPr>
              <w:rPr>
                <w:rFonts w:cs="Calibri Light"/>
                <w:b/>
                <w:color w:val="0E1B8D"/>
              </w:rPr>
            </w:pPr>
          </w:p>
          <w:p w:rsidR="0086160A" w:rsidRPr="00786C19" w:rsidRDefault="0086160A" w:rsidP="0086160A">
            <w:pPr>
              <w:rPr>
                <w:rFonts w:cs="Calibri Light"/>
                <w:b/>
                <w:bCs/>
                <w:color w:val="FF0000"/>
              </w:rPr>
            </w:pPr>
            <w:r w:rsidRPr="007F2B21">
              <w:rPr>
                <w:rFonts w:cs="Calibri Light"/>
                <w:b/>
                <w:color w:val="FF0000"/>
              </w:rPr>
              <w:t xml:space="preserve">Date: </w:t>
            </w:r>
            <w:r w:rsidRPr="007F2B21">
              <w:rPr>
                <w:rFonts w:cs="Calibri Light"/>
                <w:bCs/>
                <w:color w:val="FF0000"/>
              </w:rPr>
              <w:t xml:space="preserve"> </w:t>
            </w:r>
            <w:r w:rsidR="0032356D">
              <w:rPr>
                <w:rFonts w:cs="Calibri Light"/>
                <w:b/>
                <w:bCs/>
                <w:color w:val="FF0000"/>
              </w:rPr>
              <w:t>17 October</w:t>
            </w:r>
            <w:r w:rsidRPr="00EB2719">
              <w:rPr>
                <w:rFonts w:cs="Calibri Light"/>
                <w:b/>
                <w:bCs/>
                <w:color w:val="FF0000"/>
              </w:rPr>
              <w:t xml:space="preserve"> 2023</w:t>
            </w:r>
          </w:p>
          <w:p w:rsidR="0086160A" w:rsidRPr="00EB2719"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p w:rsidR="0086160A" w:rsidRPr="007F2B21" w:rsidRDefault="0086160A" w:rsidP="0086160A">
            <w:pPr>
              <w:rPr>
                <w:rFonts w:cs="Calibri Light"/>
                <w:b/>
                <w:color w:val="0E1B8D"/>
              </w:rPr>
            </w:pPr>
          </w:p>
        </w:tc>
      </w:tr>
      <w:tr w:rsidR="0086160A" w:rsidRPr="00D6756C"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7F2B21">
              <w:rPr>
                <w:rFonts w:cs="Calibri Light"/>
                <w:bCs/>
                <w:color w:val="0E1B8D"/>
              </w:rPr>
              <w:t>Days from the Closing Date</w:t>
            </w:r>
            <w:r w:rsidR="0086160A" w:rsidRPr="00D6756C">
              <w:rPr>
                <w:rFonts w:cs="Calibri Light"/>
                <w:bCs/>
                <w:color w:val="0E1B8D"/>
              </w:rPr>
              <w:t xml:space="preserve"> </w:t>
            </w:r>
          </w:p>
        </w:tc>
      </w:tr>
      <w:bookmarkEnd w:id="0"/>
    </w:tbl>
    <w:p w:rsidR="0086160A" w:rsidRDefault="0086160A">
      <w:pPr>
        <w:jc w:val="left"/>
      </w:pPr>
    </w:p>
    <w:p w:rsidR="00912911" w:rsidRDefault="00912911">
      <w:pPr>
        <w:jc w:val="left"/>
      </w:pPr>
    </w:p>
    <w:p w:rsidR="0086160A" w:rsidRDefault="0086160A">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rsidR="00656073" w:rsidRDefault="0032356D">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32356D">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rsidR="00656073" w:rsidRDefault="0032356D">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32356D">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32356D">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rsidR="00656073" w:rsidRDefault="0032356D">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32356D">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8392778"/>
      <w:r w:rsidRPr="0056332A">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86160A" w:rsidP="005048EE">
      <w:pPr>
        <w:rPr>
          <w:lang w:val="en-GB"/>
        </w:rPr>
      </w:pPr>
      <w:r>
        <w:rPr>
          <w:lang w:val="en-GB"/>
        </w:rPr>
        <w:t>RFQ</w:t>
      </w:r>
      <w:r w:rsidR="00AA33FF">
        <w:rPr>
          <w:lang w:val="en-GB"/>
        </w:rPr>
        <w:t xml:space="preserve"> number:</w:t>
      </w:r>
      <w:r w:rsidR="00757D3C">
        <w:rPr>
          <w:lang w:val="en-GB"/>
        </w:rPr>
        <w:t xml:space="preserve"> </w:t>
      </w:r>
      <w:r w:rsidRPr="007F2B21">
        <w:rPr>
          <w:b/>
          <w:bCs/>
        </w:rPr>
        <w:t>RF</w:t>
      </w:r>
      <w:r w:rsidR="00EA7FD9">
        <w:rPr>
          <w:b/>
          <w:bCs/>
        </w:rPr>
        <w:t>B 2</w:t>
      </w:r>
      <w:r w:rsidR="00D80519">
        <w:rPr>
          <w:b/>
          <w:bCs/>
        </w:rPr>
        <w:t>80</w:t>
      </w:r>
      <w:r w:rsidR="0032356D">
        <w:rPr>
          <w:b/>
          <w:bCs/>
        </w:rPr>
        <w:t>6</w:t>
      </w:r>
      <w:r w:rsidR="00EA7FD9">
        <w:rPr>
          <w:b/>
          <w:bCs/>
        </w:rPr>
        <w:t>/2023</w:t>
      </w:r>
    </w:p>
    <w:p w:rsidR="0086160A" w:rsidRDefault="00AA33FF" w:rsidP="0086160A">
      <w:pPr>
        <w:rPr>
          <w:rFonts w:cs="Calibri Light"/>
          <w:bCs/>
          <w:color w:val="FF0000"/>
        </w:rPr>
      </w:pPr>
      <w:r>
        <w:rPr>
          <w:lang w:val="en-GB"/>
        </w:rPr>
        <w:t xml:space="preserve">Description: </w:t>
      </w:r>
      <w:r w:rsidR="0032356D" w:rsidRPr="0032356D">
        <w:rPr>
          <w:rFonts w:cs="Calibri Light"/>
          <w:b/>
          <w:bCs/>
          <w:color w:val="FF0000"/>
          <w:lang w:val="en-GB"/>
        </w:rPr>
        <w:t>PROVISION OF 24 HOURS PHYSICAL SECURITY SERVICES TO THE SITA MIDDELBURG OFFICE” FOR A PERIOD OF FIFTEEN (15) MONTHS</w:t>
      </w:r>
    </w:p>
    <w:p w:rsidR="00AA33FF" w:rsidRDefault="00AA33FF" w:rsidP="005048EE">
      <w:pPr>
        <w:rPr>
          <w:lang w:val="en-GB"/>
        </w:rPr>
      </w:pPr>
      <w:r>
        <w:rPr>
          <w:lang w:val="en-GB"/>
        </w:rPr>
        <w:t xml:space="preserve">Closing date and time of </w:t>
      </w:r>
      <w:r w:rsidR="0086160A">
        <w:rPr>
          <w:lang w:val="en-GB"/>
        </w:rPr>
        <w:t>RFQ</w:t>
      </w:r>
      <w:r>
        <w:rPr>
          <w:lang w:val="en-GB"/>
        </w:rPr>
        <w:t xml:space="preserve">: </w:t>
      </w:r>
      <w:r w:rsidR="0032356D" w:rsidRPr="0032356D">
        <w:rPr>
          <w:b/>
          <w:color w:val="FF0000"/>
          <w:lang w:val="en-GB"/>
        </w:rPr>
        <w:t>17 October</w:t>
      </w:r>
      <w:r w:rsidR="0086160A" w:rsidRPr="00656073">
        <w:rPr>
          <w:b/>
          <w:color w:val="FF0000"/>
          <w:lang w:val="en-GB"/>
        </w:rPr>
        <w:t xml:space="preserve"> 2023. Closing time 11am </w:t>
      </w:r>
      <w:r w:rsidR="003D5A19" w:rsidRPr="00656073">
        <w:rPr>
          <w:b/>
          <w:color w:val="FF0000"/>
          <w:lang w:val="en-GB"/>
        </w:rPr>
        <w:t>(SA time)</w:t>
      </w:r>
    </w:p>
    <w:p w:rsidR="00AA33FF" w:rsidRDefault="00AA33FF" w:rsidP="005048EE">
      <w:pPr>
        <w:rPr>
          <w:lang w:val="en-GB"/>
        </w:rPr>
      </w:pPr>
      <w:r>
        <w:rPr>
          <w:lang w:val="en-GB"/>
        </w:rPr>
        <w:t>Bidding procedure Enquiries may be directed to:</w:t>
      </w:r>
    </w:p>
    <w:p w:rsidR="003D5A19" w:rsidRPr="00DE6272" w:rsidRDefault="003D5A19" w:rsidP="005048EE">
      <w:pPr>
        <w:rPr>
          <w:b/>
          <w:color w:val="FF0000"/>
          <w:lang w:val="en-GB"/>
        </w:rPr>
      </w:pPr>
      <w:r w:rsidRPr="00DE6272">
        <w:rPr>
          <w:b/>
          <w:color w:val="FF0000"/>
          <w:lang w:val="en-GB"/>
        </w:rPr>
        <w:t xml:space="preserve">Nosipho Moya.  </w:t>
      </w:r>
      <w:hyperlink r:id="rId14" w:history="1">
        <w:r w:rsidRPr="00DE6272">
          <w:rPr>
            <w:rStyle w:val="Hyperlink"/>
            <w:b/>
            <w:lang w:val="en-GB"/>
          </w:rPr>
          <w:t>nosipho.moya@sita.co.za</w:t>
        </w:r>
      </w:hyperlink>
      <w:r w:rsidRPr="00DE6272">
        <w:rPr>
          <w:b/>
          <w:color w:val="FF0000"/>
          <w:lang w:val="en-GB"/>
        </w:rPr>
        <w:t xml:space="preserve"> 033 395 </w:t>
      </w:r>
      <w:r w:rsidR="006A4C28">
        <w:rPr>
          <w:b/>
          <w:color w:val="FF0000"/>
          <w:lang w:val="en-GB"/>
        </w:rPr>
        <w:t>244</w:t>
      </w:r>
      <w:r w:rsidRPr="00DE6272">
        <w:rPr>
          <w:b/>
          <w:color w:val="FF0000"/>
          <w:lang w:val="en-GB"/>
        </w:rPr>
        <w:t>9.</w:t>
      </w:r>
    </w:p>
    <w:p w:rsidR="00AA33FF" w:rsidRDefault="00AA33FF" w:rsidP="005048EE">
      <w:pPr>
        <w:rPr>
          <w:lang w:val="en-GB"/>
        </w:rPr>
      </w:pPr>
      <w:r>
        <w:rPr>
          <w:lang w:val="en-GB"/>
        </w:rPr>
        <w:t>Technical enquiries may be directed to:</w:t>
      </w:r>
    </w:p>
    <w:p w:rsidR="003D5A19" w:rsidRPr="00DE6272" w:rsidRDefault="003D5A19" w:rsidP="003D5A19">
      <w:pPr>
        <w:rPr>
          <w:b/>
          <w:color w:val="FF0000"/>
          <w:lang w:val="en-GB"/>
        </w:rPr>
      </w:pPr>
      <w:bookmarkStart w:id="10" w:name="_Toc107394435"/>
      <w:r w:rsidRPr="00DE6272">
        <w:rPr>
          <w:b/>
          <w:color w:val="FF0000"/>
          <w:lang w:val="en-GB"/>
        </w:rPr>
        <w:t xml:space="preserve">Nosipho Moya.  </w:t>
      </w:r>
      <w:hyperlink r:id="rId15" w:history="1">
        <w:r w:rsidRPr="00DE6272">
          <w:rPr>
            <w:rStyle w:val="Hyperlink"/>
            <w:b/>
            <w:lang w:val="en-GB"/>
          </w:rPr>
          <w:t>nosipho.moya@sita.co.za</w:t>
        </w:r>
      </w:hyperlink>
      <w:r w:rsidRPr="00DE6272">
        <w:rPr>
          <w:b/>
          <w:color w:val="FF0000"/>
          <w:lang w:val="en-GB"/>
        </w:rPr>
        <w:t xml:space="preserve"> 033 395</w:t>
      </w:r>
      <w:r w:rsidR="006A4C28">
        <w:rPr>
          <w:b/>
          <w:color w:val="FF0000"/>
          <w:lang w:val="en-GB"/>
        </w:rPr>
        <w:t> 244</w:t>
      </w:r>
      <w:r w:rsidRPr="00DE6272">
        <w:rPr>
          <w:b/>
          <w:color w:val="FF0000"/>
          <w:lang w:val="en-GB"/>
        </w:rPr>
        <w:t>9.</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2356D">
              <w:rPr>
                <w:rFonts w:ascii="Arial" w:hAnsi="Arial" w:cs="Arial"/>
                <w:sz w:val="20"/>
                <w:lang w:val="en-GB"/>
              </w:rPr>
            </w:r>
            <w:r w:rsidR="0032356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2356D">
              <w:rPr>
                <w:rFonts w:ascii="Arial" w:hAnsi="Arial" w:cs="Arial"/>
                <w:sz w:val="20"/>
                <w:lang w:val="en-GB"/>
              </w:rPr>
            </w:r>
            <w:r w:rsidR="0032356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28392779"/>
            <w:r w:rsidRPr="0090233F">
              <w:t>Bid Submission Requirements</w:t>
            </w:r>
            <w:bookmarkEnd w:id="14"/>
          </w:p>
          <w:p w:rsidR="00F951FD" w:rsidRDefault="00F951FD" w:rsidP="00F11E46">
            <w:pPr>
              <w:pStyle w:val="ListParagraph"/>
              <w:numPr>
                <w:ilvl w:val="0"/>
                <w:numId w:val="28"/>
              </w:numPr>
            </w:pPr>
            <w:r>
              <w:t>Bids must be delivered by the stipulated closing date and time to the correct address</w:t>
            </w:r>
          </w:p>
          <w:p w:rsidR="00F951FD" w:rsidRDefault="00F951FD" w:rsidP="00F11E46">
            <w:pPr>
              <w:pStyle w:val="ListParagraph"/>
              <w:numPr>
                <w:ilvl w:val="0"/>
                <w:numId w:val="28"/>
              </w:numPr>
            </w:pPr>
            <w:r w:rsidRPr="003E54A0">
              <w:rPr>
                <w:b/>
                <w:bCs/>
              </w:rPr>
              <w:t>NO</w:t>
            </w:r>
            <w:r>
              <w:t xml:space="preserve"> late bids will be accepted</w:t>
            </w:r>
          </w:p>
          <w:p w:rsidR="00F951FD" w:rsidRDefault="00F951FD" w:rsidP="00F11E46">
            <w:pPr>
              <w:pStyle w:val="ListParagraph"/>
              <w:numPr>
                <w:ilvl w:val="0"/>
                <w:numId w:val="28"/>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rsidR="00122972" w:rsidRDefault="00122972" w:rsidP="00F11E46">
            <w:pPr>
              <w:pStyle w:val="ListParagraph"/>
              <w:numPr>
                <w:ilvl w:val="0"/>
                <w:numId w:val="28"/>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3D5A19" w:rsidRDefault="00960F83" w:rsidP="0090233F">
            <w:pPr>
              <w:pStyle w:val="Heading2"/>
            </w:pPr>
            <w:bookmarkStart w:id="15" w:name="_Toc128392780"/>
            <w:r w:rsidRPr="003D5A19">
              <w:t>Bid Submission Instructions</w:t>
            </w:r>
            <w:bookmarkEnd w:id="15"/>
          </w:p>
          <w:p w:rsidR="003D5A19" w:rsidRPr="003D5A19" w:rsidRDefault="00960F83" w:rsidP="00F11E46">
            <w:pPr>
              <w:pStyle w:val="ListParagraph"/>
              <w:numPr>
                <w:ilvl w:val="0"/>
                <w:numId w:val="29"/>
              </w:numPr>
            </w:pPr>
            <w:r w:rsidRPr="003D5A19">
              <w:tab/>
            </w:r>
            <w:r w:rsidR="003D5A19" w:rsidRPr="003D5A19">
              <w:t xml:space="preserve">The proposal must be </w:t>
            </w:r>
            <w:r w:rsidR="003D5A19" w:rsidRPr="003D5A19">
              <w:rPr>
                <w:u w:val="single"/>
              </w:rPr>
              <w:t>signed</w:t>
            </w:r>
            <w:r w:rsidR="003D5A19" w:rsidRPr="003D5A19">
              <w:t xml:space="preserve"> by an authorised employee, agent or representative of the bidder. The proposal must bear the initials of the signatory at the bottom of every page as an indication that the bidder has familiarised itself with the terms and conditions of this RFQ document.</w:t>
            </w:r>
          </w:p>
          <w:p w:rsidR="003D5A19" w:rsidRPr="003D5A19" w:rsidRDefault="003D5A19" w:rsidP="00F11E46">
            <w:pPr>
              <w:pStyle w:val="ListParagraph"/>
              <w:numPr>
                <w:ilvl w:val="0"/>
                <w:numId w:val="29"/>
              </w:numPr>
            </w:pPr>
            <w:r w:rsidRPr="003D5A19">
              <w:t xml:space="preserve">Bidders shall submit proposal responses in accordance with the prescribed manner of submission as specified in this document. </w:t>
            </w:r>
            <w:r w:rsidRPr="003D5A19">
              <w:rPr>
                <w:b/>
              </w:rPr>
              <w:t>Failure to comply with the bid submission requirements will lead to disqualification.</w:t>
            </w:r>
          </w:p>
          <w:p w:rsidR="003D5A19" w:rsidRPr="003D5A19" w:rsidRDefault="003D5A19" w:rsidP="00F11E46">
            <w:pPr>
              <w:pStyle w:val="ListParagraph"/>
              <w:numPr>
                <w:ilvl w:val="0"/>
                <w:numId w:val="29"/>
              </w:numPr>
            </w:pPr>
            <w:r w:rsidRPr="003D5A19">
              <w:t>Bidders are required to submit all returnable documents/information together with their Bids/proposals on or before the closing time and date of the Bids/proposals.</w:t>
            </w:r>
          </w:p>
          <w:p w:rsidR="003D5A19" w:rsidRPr="003D5A19" w:rsidRDefault="003D5A19" w:rsidP="00F11E46">
            <w:pPr>
              <w:pStyle w:val="ListParagraph"/>
              <w:numPr>
                <w:ilvl w:val="0"/>
                <w:numId w:val="29"/>
              </w:numPr>
            </w:pPr>
            <w:r w:rsidRPr="003D5A19">
              <w:t>All services supplied in accordance with the bidder’s proposal must be in accordance with all applicable legal requirements in terms of South African law, policies and regulations.</w:t>
            </w:r>
          </w:p>
          <w:p w:rsidR="00960F83" w:rsidRDefault="00960F83" w:rsidP="00960F83"/>
          <w:p w:rsidR="00960F83" w:rsidRPr="0090233F" w:rsidRDefault="00960F83" w:rsidP="0090233F">
            <w:pPr>
              <w:pStyle w:val="Heading2"/>
            </w:pPr>
            <w:bookmarkStart w:id="16" w:name="_Toc128392781"/>
            <w:r w:rsidRPr="0090233F">
              <w:t xml:space="preserve">Bid </w:t>
            </w:r>
            <w:r w:rsidR="00820BBC">
              <w:t xml:space="preserve">Submission </w:t>
            </w:r>
            <w:r w:rsidRPr="0090233F">
              <w:t>Conditions</w:t>
            </w:r>
            <w:bookmarkEnd w:id="16"/>
          </w:p>
          <w:p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F11E46">
            <w:pPr>
              <w:pStyle w:val="ListParagraph"/>
              <w:numPr>
                <w:ilvl w:val="0"/>
                <w:numId w:val="30"/>
              </w:numPr>
              <w:outlineLvl w:val="9"/>
              <w:rPr>
                <w:rFonts w:cstheme="minorHAnsi"/>
              </w:rPr>
            </w:pPr>
            <w:r w:rsidRPr="00F73867">
              <w:rPr>
                <w:rFonts w:cstheme="minorHAnsi"/>
              </w:rPr>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28392782"/>
            <w:r w:rsidRPr="0090233F">
              <w:t>Tax Compliance Requirements</w:t>
            </w:r>
            <w:bookmarkEnd w:id="17"/>
          </w:p>
          <w:p w:rsidR="00F951FD" w:rsidRDefault="00123562" w:rsidP="00F11E46">
            <w:pPr>
              <w:pStyle w:val="ListParagraph"/>
              <w:numPr>
                <w:ilvl w:val="0"/>
                <w:numId w:val="31"/>
              </w:numPr>
            </w:pPr>
            <w:r>
              <w:t>Bidders must ensure compliance with their tax obligations</w:t>
            </w:r>
          </w:p>
          <w:p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rsidR="004F260E" w:rsidRDefault="004F260E" w:rsidP="00F11E46">
            <w:pPr>
              <w:pStyle w:val="ListParagraph"/>
              <w:numPr>
                <w:ilvl w:val="0"/>
                <w:numId w:val="31"/>
              </w:numPr>
            </w:pPr>
            <w:r>
              <w:t xml:space="preserve">Application for Tax Compliance Status (TCS) may be made via e-filing through the SARS website, </w:t>
            </w:r>
            <w:hyperlink r:id="rId16" w:history="1">
              <w:r w:rsidR="003D5A19" w:rsidRPr="008E32FB">
                <w:rPr>
                  <w:rStyle w:val="Hyperlink"/>
                </w:rPr>
                <w:t>www.sars.gov.za</w:t>
              </w:r>
            </w:hyperlink>
          </w:p>
          <w:p w:rsidR="004F260E" w:rsidRDefault="004F260E" w:rsidP="00F11E46">
            <w:pPr>
              <w:pStyle w:val="ListParagraph"/>
              <w:numPr>
                <w:ilvl w:val="0"/>
                <w:numId w:val="31"/>
              </w:numPr>
            </w:pPr>
            <w:r>
              <w:t>Bidders may also submit a hard copy TCS certificate with their bid</w:t>
            </w:r>
          </w:p>
          <w:p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28392783"/>
      <w:r w:rsidRPr="00B3466C">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8392784"/>
      <w:bookmarkStart w:id="26" w:name="_Toc97010978"/>
      <w:r w:rsidRPr="00CB20EE">
        <w:t>General rules and instructions</w:t>
      </w:r>
      <w:bookmarkEnd w:id="19"/>
      <w:bookmarkEnd w:id="20"/>
      <w:bookmarkEnd w:id="21"/>
      <w:bookmarkEnd w:id="22"/>
      <w:bookmarkEnd w:id="23"/>
      <w:bookmarkEnd w:id="24"/>
      <w:bookmarkEnd w:id="25"/>
    </w:p>
    <w:p w:rsidR="00E14656" w:rsidRPr="00E528A5" w:rsidRDefault="00E14656" w:rsidP="00E528A5">
      <w:pPr>
        <w:pStyle w:val="Heading3"/>
        <w:ind w:left="1134" w:hanging="708"/>
      </w:pPr>
      <w:bookmarkStart w:id="27" w:name="_Toc128392785"/>
      <w:r w:rsidRPr="00E528A5">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E528A5" w:rsidRDefault="00E14656" w:rsidP="00E528A5">
      <w:pPr>
        <w:pStyle w:val="Heading3"/>
        <w:ind w:left="1134" w:hanging="708"/>
      </w:pPr>
      <w:bookmarkStart w:id="28" w:name="_Toc128392786"/>
      <w:r w:rsidRPr="00E528A5">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rsidR="00641D13" w:rsidRPr="00E528A5" w:rsidRDefault="00641D13" w:rsidP="00E528A5">
      <w:pPr>
        <w:pStyle w:val="Heading3"/>
        <w:ind w:left="1134" w:hanging="708"/>
      </w:pPr>
      <w:bookmarkStart w:id="29" w:name="_Toc128392787"/>
      <w:r w:rsidRPr="00E528A5">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528A5" w:rsidRDefault="00E14656" w:rsidP="00E528A5">
      <w:pPr>
        <w:pStyle w:val="Heading3"/>
        <w:ind w:left="1134" w:hanging="708"/>
      </w:pPr>
      <w:bookmarkStart w:id="30" w:name="_Toc128392788"/>
      <w:r w:rsidRPr="00E528A5">
        <w:t>Language</w:t>
      </w:r>
      <w:bookmarkEnd w:id="30"/>
    </w:p>
    <w:p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rsidR="00E14656" w:rsidRPr="00E528A5" w:rsidRDefault="00E14656" w:rsidP="00E528A5">
      <w:pPr>
        <w:pStyle w:val="Heading3"/>
        <w:ind w:left="1134" w:hanging="708"/>
      </w:pPr>
      <w:bookmarkStart w:id="31" w:name="_Toc128392789"/>
      <w:r w:rsidRPr="00E528A5">
        <w:t>Gender</w:t>
      </w:r>
      <w:bookmarkEnd w:id="31"/>
    </w:p>
    <w:p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528A5" w:rsidRDefault="00E14656" w:rsidP="00E528A5">
      <w:pPr>
        <w:pStyle w:val="Heading3"/>
        <w:ind w:left="1134" w:hanging="708"/>
      </w:pPr>
      <w:bookmarkStart w:id="32" w:name="_Toc128392790"/>
      <w:r w:rsidRPr="00E528A5">
        <w:t>Headings</w:t>
      </w:r>
      <w:bookmarkEnd w:id="32"/>
    </w:p>
    <w:p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rsidR="00122972" w:rsidRPr="00E528A5" w:rsidRDefault="00122972" w:rsidP="00E528A5">
      <w:pPr>
        <w:pStyle w:val="Heading3"/>
        <w:ind w:left="1134" w:hanging="708"/>
      </w:pPr>
      <w:bookmarkStart w:id="33" w:name="_Toc128392791"/>
      <w:r w:rsidRPr="00E528A5">
        <w:t>Bid Clarification</w:t>
      </w:r>
      <w:bookmarkEnd w:id="33"/>
    </w:p>
    <w:p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RFQ</w:t>
      </w:r>
      <w:r w:rsidRPr="00820BBC">
        <w:rPr>
          <w:rFonts w:cstheme="minorHAnsi"/>
        </w:rPr>
        <w:t xml:space="preserve"> and Bids in response to the </w:t>
      </w:r>
      <w:r w:rsidR="0086160A">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E528A5" w:rsidRDefault="00886179" w:rsidP="00E528A5">
      <w:pPr>
        <w:pStyle w:val="Heading3"/>
        <w:ind w:left="1134" w:hanging="708"/>
      </w:pPr>
      <w:bookmarkStart w:id="34" w:name="_Toc128392792"/>
      <w:r w:rsidRPr="00E528A5">
        <w:t>Cancellation of Bid</w:t>
      </w:r>
      <w:bookmarkEnd w:id="34"/>
    </w:p>
    <w:p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E528A5" w:rsidRDefault="00F73867" w:rsidP="00E528A5">
      <w:pPr>
        <w:pStyle w:val="Heading3"/>
        <w:spacing w:before="240" w:after="60" w:line="276" w:lineRule="auto"/>
        <w:ind w:left="1134"/>
      </w:pPr>
      <w:bookmarkStart w:id="35" w:name="_Toc128392793"/>
      <w:r w:rsidRPr="00F73867">
        <w:rPr>
          <w:bCs/>
        </w:rPr>
        <w:t xml:space="preserve">Bid </w:t>
      </w:r>
      <w:r w:rsidRPr="00E528A5">
        <w:t>Validity</w:t>
      </w:r>
      <w:r w:rsidR="004419A0" w:rsidRPr="00E528A5">
        <w:t xml:space="preserve"> period</w:t>
      </w:r>
      <w:bookmarkEnd w:id="35"/>
    </w:p>
    <w:p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RFQ</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rsidR="00E14656" w:rsidRPr="00E8640E" w:rsidRDefault="00E14656" w:rsidP="00E528A5">
      <w:pPr>
        <w:pStyle w:val="Heading3"/>
        <w:spacing w:before="240" w:after="60" w:line="276" w:lineRule="auto"/>
        <w:ind w:left="1134"/>
        <w:rPr>
          <w:bCs/>
        </w:rPr>
      </w:pPr>
      <w:bookmarkStart w:id="36" w:name="_Toc128392794"/>
      <w:r w:rsidRPr="00E8640E">
        <w:rPr>
          <w:bCs/>
        </w:rPr>
        <w:t>Occupational Injuries and Diseases Act 13 of 1993</w:t>
      </w:r>
      <w:bookmarkEnd w:id="36"/>
    </w:p>
    <w:p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E528A5">
      <w:pPr>
        <w:pStyle w:val="Heading3"/>
        <w:spacing w:before="240" w:after="60" w:line="276" w:lineRule="auto"/>
        <w:ind w:left="1134"/>
        <w:rPr>
          <w:bCs/>
        </w:rPr>
      </w:pPr>
      <w:bookmarkStart w:id="37" w:name="_Toc128392795"/>
      <w:bookmarkStart w:id="38" w:name="_Hlk68880043"/>
      <w:r w:rsidRPr="00E8640E">
        <w:rPr>
          <w:bCs/>
        </w:rPr>
        <w:t>Processing of the Bidder’s Personal Information</w:t>
      </w:r>
      <w:bookmarkEnd w:id="37"/>
    </w:p>
    <w:bookmarkEnd w:id="38"/>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528A5" w:rsidRDefault="00E14656" w:rsidP="00E528A5">
      <w:pPr>
        <w:pStyle w:val="Heading3"/>
        <w:ind w:left="1134" w:hanging="708"/>
      </w:pPr>
      <w:bookmarkStart w:id="39" w:name="_Toc128392796"/>
      <w:r w:rsidRPr="00E528A5">
        <w:t>Formal contract</w:t>
      </w:r>
      <w:bookmarkEnd w:id="39"/>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E528A5" w:rsidRDefault="001203AD" w:rsidP="00E528A5">
      <w:pPr>
        <w:pStyle w:val="Heading3"/>
        <w:ind w:left="1134" w:hanging="708"/>
      </w:pPr>
      <w:bookmarkStart w:id="40" w:name="_Toc128392797"/>
      <w:r w:rsidRPr="00E528A5">
        <w:t>Failure to agree before contract conclusion</w:t>
      </w:r>
      <w:bookmarkEnd w:id="40"/>
      <w:r w:rsidRPr="00E528A5">
        <w:t xml:space="preserve"> </w:t>
      </w:r>
    </w:p>
    <w:p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E528A5" w:rsidRDefault="001203AD" w:rsidP="00E528A5">
      <w:pPr>
        <w:pStyle w:val="Heading3"/>
        <w:ind w:left="1134" w:hanging="708"/>
      </w:pPr>
      <w:bookmarkStart w:id="41" w:name="_Toc128392798"/>
      <w:r w:rsidRPr="00E528A5">
        <w:t>Withdrawal of proposal after award</w:t>
      </w:r>
      <w:bookmarkEnd w:id="41"/>
    </w:p>
    <w:p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rsidR="00E14656" w:rsidRPr="00E528A5" w:rsidRDefault="00E14656" w:rsidP="00E528A5">
      <w:pPr>
        <w:pStyle w:val="Heading3"/>
        <w:ind w:left="1134" w:hanging="708"/>
      </w:pPr>
      <w:bookmarkStart w:id="42" w:name="_Toc454470839"/>
      <w:bookmarkStart w:id="43" w:name="_Toc459824253"/>
      <w:bookmarkStart w:id="44" w:name="_Toc68878751"/>
      <w:bookmarkStart w:id="45" w:name="_Toc94521922"/>
      <w:bookmarkStart w:id="46" w:name="_Toc94528457"/>
      <w:bookmarkStart w:id="47" w:name="_Toc128392799"/>
      <w:bookmarkStart w:id="48" w:name="_Toc150587198"/>
      <w:bookmarkStart w:id="49" w:name="_Toc199296475"/>
      <w:r w:rsidRPr="00E528A5">
        <w:t>Oral presentations</w:t>
      </w:r>
      <w:bookmarkEnd w:id="42"/>
      <w:bookmarkEnd w:id="43"/>
      <w:bookmarkEnd w:id="44"/>
      <w:bookmarkEnd w:id="45"/>
      <w:bookmarkEnd w:id="46"/>
      <w:bookmarkEnd w:id="47"/>
      <w:r w:rsidRPr="00E528A5">
        <w:t xml:space="preserve"> </w:t>
      </w:r>
      <w:bookmarkEnd w:id="48"/>
      <w:bookmarkEnd w:id="49"/>
    </w:p>
    <w:p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E528A5" w:rsidRDefault="00E14656" w:rsidP="00E528A5">
      <w:pPr>
        <w:pStyle w:val="Heading3"/>
        <w:ind w:left="1134" w:hanging="708"/>
      </w:pPr>
      <w:bookmarkStart w:id="50" w:name="_Toc128392800"/>
      <w:r w:rsidRPr="00E528A5">
        <w:t>Objection to brand specific requirements</w:t>
      </w:r>
      <w:bookmarkEnd w:id="50"/>
    </w:p>
    <w:p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86160A" w:rsidP="0090233F">
      <w:pPr>
        <w:pStyle w:val="Heading2"/>
        <w:rPr>
          <w:rFonts w:cs="Arial"/>
          <w:iCs/>
          <w:color w:val="000080"/>
          <w:szCs w:val="28"/>
          <w:lang w:val="en-GB"/>
        </w:rPr>
      </w:pPr>
      <w:bookmarkStart w:id="51" w:name="_Toc128392801"/>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3D5A19">
      <w:pPr>
        <w:pStyle w:val="Heading3"/>
        <w:ind w:left="1134" w:hanging="708"/>
      </w:pPr>
      <w:bookmarkStart w:id="52" w:name="_Toc128392802"/>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rsidR="00C3041C" w:rsidRPr="00C3041C" w:rsidRDefault="004E1D55" w:rsidP="00C3041C">
      <w:pPr>
        <w:pStyle w:val="Heading3"/>
        <w:ind w:left="1134" w:hanging="708"/>
        <w:rPr>
          <w:rStyle w:val="Hyperlink"/>
          <w:color w:val="0E1B8D"/>
          <w:u w:val="none"/>
        </w:rPr>
      </w:pPr>
      <w:bookmarkStart w:id="56" w:name="_Toc128392803"/>
      <w:r w:rsidRPr="004E1D55">
        <w:t>Mandatory Returnable Documents</w:t>
      </w:r>
      <w:bookmarkEnd w:id="56"/>
    </w:p>
    <w:p w:rsidR="00B82DC8" w:rsidRPr="00B82DC8" w:rsidRDefault="00B82DC8" w:rsidP="00B82DC8">
      <w:pPr>
        <w:pStyle w:val="ListParagraph"/>
        <w:numPr>
          <w:ilvl w:val="0"/>
          <w:numId w:val="34"/>
        </w:numPr>
        <w:rPr>
          <w:rStyle w:val="Hyperlink"/>
          <w:color w:val="auto"/>
          <w:u w:val="none"/>
        </w:rPr>
      </w:pPr>
      <w:r w:rsidRPr="00B82DC8">
        <w:rPr>
          <w:rStyle w:val="Hyperlink"/>
          <w:b/>
          <w:color w:val="auto"/>
          <w:u w:val="none"/>
        </w:rPr>
        <w:t xml:space="preserve">BIDDER CERTIFICATION/ AFFILIATION REQUIREMENTS </w:t>
      </w:r>
    </w:p>
    <w:p w:rsidR="00B82DC8" w:rsidRPr="00B82DC8" w:rsidRDefault="00B82DC8" w:rsidP="00B82DC8">
      <w:pPr>
        <w:pStyle w:val="ListParagraph"/>
        <w:numPr>
          <w:ilvl w:val="0"/>
          <w:numId w:val="34"/>
        </w:numPr>
        <w:rPr>
          <w:rStyle w:val="Hyperlink"/>
          <w:color w:val="auto"/>
          <w:u w:val="none"/>
        </w:rPr>
      </w:pPr>
      <w:r w:rsidRPr="00B82DC8">
        <w:rPr>
          <w:rStyle w:val="Hyperlink"/>
          <w:color w:val="auto"/>
          <w:u w:val="none"/>
        </w:rPr>
        <w:t xml:space="preserve">The bidder’s company must be registered with Physical Security Industry Regulatory Authority (PSIRA).  Attach to ANNEX A </w:t>
      </w:r>
      <w:proofErr w:type="spellStart"/>
      <w:r w:rsidRPr="00B82DC8">
        <w:rPr>
          <w:rStyle w:val="Hyperlink"/>
          <w:color w:val="auto"/>
          <w:u w:val="none"/>
        </w:rPr>
        <w:t>a</w:t>
      </w:r>
      <w:proofErr w:type="spellEnd"/>
      <w:r w:rsidRPr="00B82DC8">
        <w:rPr>
          <w:rStyle w:val="Hyperlink"/>
          <w:color w:val="auto"/>
          <w:u w:val="none"/>
        </w:rPr>
        <w:t xml:space="preserve"> certified copy of valid membership certificate or, license) indicating the company’s registration with PSIRA.</w:t>
      </w:r>
    </w:p>
    <w:p w:rsidR="00B82DC8" w:rsidRDefault="00B82DC8" w:rsidP="00B82DC8">
      <w:pPr>
        <w:pStyle w:val="ListParagraph"/>
        <w:numPr>
          <w:ilvl w:val="0"/>
          <w:numId w:val="34"/>
        </w:numPr>
        <w:rPr>
          <w:rStyle w:val="Hyperlink"/>
          <w:color w:val="auto"/>
          <w:u w:val="none"/>
        </w:rPr>
      </w:pPr>
      <w:r w:rsidRPr="00B82DC8">
        <w:rPr>
          <w:rStyle w:val="Hyperlink"/>
          <w:color w:val="auto"/>
          <w:u w:val="none"/>
        </w:rPr>
        <w:t xml:space="preserve">The company director(s) must be registered with Physical Security Industry Regulatory Authority (PSIRA).  Attach to ANNEX A </w:t>
      </w:r>
      <w:proofErr w:type="spellStart"/>
      <w:r w:rsidRPr="00B82DC8">
        <w:rPr>
          <w:rStyle w:val="Hyperlink"/>
          <w:color w:val="auto"/>
          <w:u w:val="none"/>
        </w:rPr>
        <w:t>a</w:t>
      </w:r>
      <w:proofErr w:type="spellEnd"/>
      <w:r w:rsidRPr="00B82DC8">
        <w:rPr>
          <w:rStyle w:val="Hyperlink"/>
          <w:color w:val="auto"/>
          <w:u w:val="none"/>
        </w:rPr>
        <w:t xml:space="preserve"> certified copy of registration for each director indicating the director’s registration with PSIRA.</w:t>
      </w:r>
    </w:p>
    <w:p w:rsidR="00B82DC8" w:rsidRDefault="00B82DC8" w:rsidP="00B82DC8">
      <w:pPr>
        <w:pStyle w:val="ListParagraph"/>
        <w:numPr>
          <w:ilvl w:val="0"/>
          <w:numId w:val="34"/>
        </w:numPr>
        <w:rPr>
          <w:rStyle w:val="Hyperlink"/>
          <w:color w:val="auto"/>
          <w:u w:val="none"/>
        </w:rPr>
      </w:pPr>
      <w:r w:rsidRPr="00B82DC8">
        <w:rPr>
          <w:rStyle w:val="Hyperlink"/>
          <w:color w:val="auto"/>
          <w:u w:val="none"/>
        </w:rPr>
        <w:t>The bidder must provide a letter of good standing from Department of Labour or an accredited institution.</w:t>
      </w:r>
      <w:r>
        <w:rPr>
          <w:rStyle w:val="Hyperlink"/>
          <w:color w:val="auto"/>
          <w:u w:val="none"/>
        </w:rPr>
        <w:t xml:space="preserve"> </w:t>
      </w:r>
      <w:r w:rsidRPr="00B82DC8">
        <w:rPr>
          <w:rStyle w:val="Hyperlink"/>
          <w:color w:val="auto"/>
          <w:u w:val="none"/>
        </w:rPr>
        <w:t>A copy of  valid letter of good standing from Department of Labour or an accredited institution.</w:t>
      </w:r>
    </w:p>
    <w:p w:rsidR="00B82DC8" w:rsidRDefault="00407090" w:rsidP="00407090">
      <w:pPr>
        <w:pStyle w:val="ListParagraph"/>
        <w:numPr>
          <w:ilvl w:val="0"/>
          <w:numId w:val="34"/>
        </w:numPr>
      </w:pPr>
      <w:r w:rsidRPr="00407090">
        <w:rPr>
          <w:b/>
        </w:rPr>
        <w:t>LEGISLATIVE REQUIREMENTS</w:t>
      </w:r>
      <w:r>
        <w:rPr>
          <w:b/>
        </w:rPr>
        <w:t xml:space="preserve"> </w:t>
      </w:r>
      <w:r w:rsidRPr="00407090">
        <w:t>Bidders must comply with Sectoral Determination 6 in the pricing Schedule. The wages and the quotation provided should NOT be less than the minimum wage rate as prescribed by the Department of Labour Sectoral Determination 6: Security Services, South Africa.</w:t>
      </w:r>
      <w:r>
        <w:t xml:space="preserve"> </w:t>
      </w:r>
      <w:r w:rsidR="00A4064C" w:rsidRPr="00A4064C">
        <w:t xml:space="preserve">Attach to Annex A </w:t>
      </w:r>
      <w:proofErr w:type="spellStart"/>
      <w:r w:rsidR="00A4064C" w:rsidRPr="00A4064C">
        <w:t>a</w:t>
      </w:r>
      <w:proofErr w:type="spellEnd"/>
      <w:r w:rsidR="00A4064C" w:rsidRPr="00A4064C">
        <w:t xml:space="preserve"> proof /copy of the Prescribed Sectoral Determination 6 Security Services South Africa as evidence of financial compliance of the bid.</w:t>
      </w:r>
    </w:p>
    <w:p w:rsidR="00A4064C" w:rsidRPr="00A4064C" w:rsidRDefault="00A4064C" w:rsidP="00407090">
      <w:pPr>
        <w:pStyle w:val="ListParagraph"/>
        <w:numPr>
          <w:ilvl w:val="0"/>
          <w:numId w:val="34"/>
        </w:numPr>
      </w:pPr>
      <w:r w:rsidRPr="00A4064C">
        <w:rPr>
          <w:b/>
          <w:bCs/>
          <w:lang w:val="en-GB"/>
        </w:rPr>
        <w:t>BIDDER EXPERIENCE AND CAPABILITY REQUIREMENTS</w:t>
      </w:r>
      <w:r>
        <w:rPr>
          <w:b/>
          <w:bCs/>
          <w:lang w:val="en-GB"/>
        </w:rPr>
        <w:t xml:space="preserve"> </w:t>
      </w:r>
      <w:r w:rsidRPr="00A4064C">
        <w:rPr>
          <w:bCs/>
          <w:lang w:val="en-GB"/>
        </w:rPr>
        <w:t>The bidder must have provided Physical Security services to at least one (1) customer in the last 5 years.</w:t>
      </w:r>
      <w:r>
        <w:rPr>
          <w:bCs/>
          <w:lang w:val="en-GB"/>
        </w:rPr>
        <w:t xml:space="preserve"> </w:t>
      </w:r>
    </w:p>
    <w:p w:rsidR="00A4064C" w:rsidRPr="00A4064C" w:rsidRDefault="00A4064C" w:rsidP="00A4064C">
      <w:pPr>
        <w:pStyle w:val="ListParagraph"/>
        <w:numPr>
          <w:ilvl w:val="0"/>
          <w:numId w:val="34"/>
        </w:numPr>
        <w:rPr>
          <w:rStyle w:val="Hyperlink"/>
          <w:color w:val="auto"/>
          <w:u w:val="none"/>
        </w:rPr>
      </w:pPr>
      <w:r w:rsidRPr="00A4064C">
        <w:rPr>
          <w:rStyle w:val="Hyperlink"/>
          <w:color w:val="auto"/>
          <w:u w:val="none"/>
        </w:rPr>
        <w:t>The Bidder must provide in Annex A reference details from at least one (1) customer to whom the Physical Security service was rendered in the last five (5) years.</w:t>
      </w:r>
    </w:p>
    <w:p w:rsidR="003D5A19" w:rsidRDefault="003D5A19" w:rsidP="00F11E46">
      <w:pPr>
        <w:pStyle w:val="ListParagraph"/>
        <w:numPr>
          <w:ilvl w:val="0"/>
          <w:numId w:val="34"/>
        </w:numPr>
        <w:rPr>
          <w:rStyle w:val="Hyperlink"/>
          <w:color w:val="auto"/>
          <w:u w:val="none"/>
        </w:rPr>
      </w:pPr>
      <w:r w:rsidRPr="007F2B21">
        <w:rPr>
          <w:rStyle w:val="Hyperlink"/>
          <w:color w:val="auto"/>
          <w:u w:val="none"/>
        </w:rPr>
        <w:t>Special Conditions of Contract</w:t>
      </w:r>
    </w:p>
    <w:p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28392804"/>
      <w:r>
        <w:t>Bidder’s disclosure (SBD 4)</w:t>
      </w:r>
      <w:bookmarkEnd w:id="57"/>
    </w:p>
    <w:p w:rsidR="001E3F54" w:rsidRPr="001E3F54" w:rsidRDefault="001E3F54" w:rsidP="001E3F54">
      <w:pPr>
        <w:pStyle w:val="Heading2"/>
        <w:rPr>
          <w:lang w:val="en-GB"/>
        </w:rPr>
      </w:pPr>
      <w:bookmarkStart w:id="58" w:name="_Toc128392805"/>
      <w:r>
        <w:rPr>
          <w:lang w:val="en-GB"/>
        </w:rPr>
        <w:t>Purpose of disclosure</w:t>
      </w:r>
      <w:bookmarkEnd w:id="58"/>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28392806"/>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28392807"/>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F11E46">
      <w:pPr>
        <w:pStyle w:val="ListParagraph"/>
        <w:numPr>
          <w:ilvl w:val="3"/>
          <w:numId w:val="39"/>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67" w:name="_Toc126567180"/>
      <w:r w:rsidRPr="002E7448">
        <w:rPr>
          <w:rFonts w:asciiTheme="majorHAnsi" w:eastAsiaTheme="majorEastAsia" w:hAnsiTheme="majorHAnsi" w:cstheme="minorBidi"/>
          <w:b/>
          <w:iCs/>
          <w:color w:val="0E1B8D"/>
          <w:sz w:val="32"/>
          <w:lang w:val="en-GB"/>
        </w:rPr>
        <w:t>Preferential Procurement Claim Form (SBD 6.1)</w:t>
      </w:r>
      <w:bookmarkEnd w:id="67"/>
    </w:p>
    <w:p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68" w:name="_Toc126567181"/>
      <w:r w:rsidRPr="002E7448">
        <w:rPr>
          <w:rFonts w:asciiTheme="majorHAnsi" w:eastAsiaTheme="majorEastAsia" w:hAnsiTheme="majorHAnsi" w:cstheme="minorBidi"/>
          <w:b/>
          <w:color w:val="0E1B8D"/>
          <w:sz w:val="28"/>
          <w:szCs w:val="26"/>
        </w:rPr>
        <w:t>Specific conditions for this bid</w:t>
      </w:r>
      <w:bookmarkEnd w:id="68"/>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rsidR="002E7448" w:rsidRPr="002E7448" w:rsidRDefault="002E7448" w:rsidP="002E7448">
      <w:pPr>
        <w:spacing w:after="0"/>
        <w:ind w:left="1701"/>
        <w:outlineLvl w:val="0"/>
        <w:rPr>
          <w:rFonts w:asciiTheme="minorHAnsi" w:hAnsiTheme="minorHAnsi" w:cstheme="minorHAnsi"/>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69"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rsidTr="002E7448">
        <w:tc>
          <w:tcPr>
            <w:tcW w:w="4957"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require of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0" w:name="_Toc126567182"/>
      <w:r w:rsidRPr="002E7448">
        <w:rPr>
          <w:rFonts w:asciiTheme="majorHAnsi" w:eastAsiaTheme="majorEastAsia" w:hAnsiTheme="majorHAnsi" w:cstheme="minorBidi"/>
          <w:b/>
          <w:color w:val="0E1B8D"/>
          <w:sz w:val="28"/>
          <w:szCs w:val="26"/>
        </w:rPr>
        <w:t>Formulae for procurement of goods and services</w:t>
      </w:r>
      <w:bookmarkEnd w:id="70"/>
    </w:p>
    <w:p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1" w:name="_Toc126567183"/>
      <w:r w:rsidRPr="002E7448">
        <w:rPr>
          <w:rFonts w:asciiTheme="majorHAnsi" w:eastAsiaTheme="majorEastAsia" w:hAnsiTheme="majorHAnsi" w:cstheme="minorBidi"/>
          <w:b/>
          <w:iCs/>
          <w:color w:val="0E1B8D"/>
          <w:sz w:val="24"/>
          <w:szCs w:val="24"/>
          <w:lang w:val="en-GB"/>
        </w:rPr>
        <w:t>Points awarded for price</w:t>
      </w:r>
      <w:bookmarkEnd w:id="71"/>
    </w:p>
    <w:p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56619875" r:id="rId18"/>
        </w:object>
      </w:r>
      <w:r w:rsidRPr="002E7448">
        <w:rPr>
          <w:rFonts w:asciiTheme="minorHAnsi" w:hAnsiTheme="minorHAnsi" w:cstheme="minorHAnsi"/>
          <w:b/>
        </w:rPr>
        <w:tab/>
      </w:r>
      <w:r w:rsidRPr="002E7448">
        <w:rPr>
          <w:rFonts w:asciiTheme="minorHAnsi" w:hAnsiTheme="minorHAnsi" w:cstheme="minorHAnsi"/>
        </w:rPr>
        <w:tab/>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2" w:name="_Toc126567184"/>
      <w:r w:rsidRPr="002E7448">
        <w:rPr>
          <w:rFonts w:asciiTheme="majorHAnsi" w:eastAsiaTheme="majorEastAsia" w:hAnsiTheme="majorHAnsi" w:cstheme="minorBidi"/>
          <w:b/>
          <w:color w:val="0E1B8D"/>
          <w:sz w:val="28"/>
          <w:szCs w:val="26"/>
        </w:rPr>
        <w:t>Preference points awarded for specific goals</w:t>
      </w:r>
      <w:bookmarkEnd w:id="72"/>
    </w:p>
    <w:p w:rsid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rsidR="00C3041C" w:rsidRDefault="00C3041C" w:rsidP="00C3041C">
      <w:pPr>
        <w:pStyle w:val="CM9"/>
        <w:spacing w:line="276" w:lineRule="auto"/>
        <w:ind w:left="567"/>
        <w:jc w:val="both"/>
        <w:rPr>
          <w:b/>
          <w:bCs/>
          <w:lang w:val="en-GB"/>
        </w:rPr>
      </w:pPr>
      <w:r w:rsidRPr="003D5A19">
        <w:rPr>
          <w:b/>
          <w:lang w:val="en-GB"/>
        </w:rPr>
        <w:t xml:space="preserve">Table </w:t>
      </w:r>
      <w:r w:rsidRPr="003D5A19">
        <w:rPr>
          <w:b/>
          <w:lang w:val="en-GB"/>
        </w:rPr>
        <w:fldChar w:fldCharType="begin"/>
      </w:r>
      <w:r w:rsidRPr="003D5A19">
        <w:rPr>
          <w:b/>
          <w:lang w:val="en-GB"/>
        </w:rPr>
        <w:instrText xml:space="preserve"> SEQ Table \* ARABIC </w:instrText>
      </w:r>
      <w:r w:rsidRPr="003D5A19">
        <w:rPr>
          <w:b/>
          <w:lang w:val="en-GB"/>
        </w:rPr>
        <w:fldChar w:fldCharType="separate"/>
      </w:r>
      <w:r w:rsidRPr="003D5A19">
        <w:rPr>
          <w:b/>
          <w:lang w:val="en-GB"/>
        </w:rPr>
        <w:t>9</w:t>
      </w:r>
      <w:r w:rsidRPr="003D5A19">
        <w:fldChar w:fldCharType="end"/>
      </w:r>
      <w:r w:rsidRPr="003D5A19">
        <w:rPr>
          <w:b/>
          <w:lang w:val="en-GB"/>
        </w:rPr>
        <w:t xml:space="preserve">: </w:t>
      </w:r>
      <w:r w:rsidR="00A4064C" w:rsidRPr="00A4064C">
        <w:rPr>
          <w:b/>
          <w:bCs/>
          <w:lang w:val="en-GB"/>
        </w:rPr>
        <w:t>Preference Goal Requirements</w:t>
      </w:r>
    </w:p>
    <w:tbl>
      <w:tblPr>
        <w:tblW w:w="10240" w:type="dxa"/>
        <w:tblInd w:w="-719" w:type="dxa"/>
        <w:tblLook w:val="04A0" w:firstRow="1" w:lastRow="0" w:firstColumn="1" w:lastColumn="0" w:noHBand="0" w:noVBand="1"/>
      </w:tblPr>
      <w:tblGrid>
        <w:gridCol w:w="2552"/>
        <w:gridCol w:w="1701"/>
        <w:gridCol w:w="3827"/>
        <w:gridCol w:w="2160"/>
      </w:tblGrid>
      <w:tr w:rsidR="00A4064C" w:rsidRPr="00A4064C" w:rsidTr="00157710">
        <w:trPr>
          <w:trHeight w:val="537"/>
        </w:trPr>
        <w:tc>
          <w:tcPr>
            <w:tcW w:w="2552" w:type="dxa"/>
            <w:tcBorders>
              <w:top w:val="single" w:sz="8" w:space="0" w:color="4F81BD"/>
              <w:left w:val="single" w:sz="8" w:space="0" w:color="4F81BD"/>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Preferential  Goal Requirements</w:t>
            </w:r>
          </w:p>
        </w:tc>
        <w:tc>
          <w:tcPr>
            <w:tcW w:w="7688" w:type="dxa"/>
            <w:gridSpan w:val="3"/>
            <w:tcBorders>
              <w:top w:val="single" w:sz="8" w:space="0" w:color="4F81BD"/>
              <w:left w:val="nil"/>
              <w:bottom w:val="single" w:sz="8" w:space="0" w:color="4F81BD"/>
              <w:right w:val="single" w:sz="8" w:space="0" w:color="4F81BD"/>
            </w:tcBorders>
            <w:shd w:val="clear" w:color="000000" w:fill="DBE5F1"/>
            <w:vAlign w:val="center"/>
            <w:hideMark/>
          </w:tcPr>
          <w:p w:rsidR="00A4064C" w:rsidRPr="00A4064C" w:rsidRDefault="00A4064C" w:rsidP="00A4064C">
            <w:pPr>
              <w:spacing w:after="0" w:line="240" w:lineRule="auto"/>
              <w:jc w:val="center"/>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Preferential  Goal Requirements for (80/20) system</w:t>
            </w:r>
          </w:p>
        </w:tc>
      </w:tr>
      <w:tr w:rsidR="00A4064C" w:rsidRPr="00A4064C" w:rsidTr="00157710">
        <w:trPr>
          <w:trHeight w:val="1551"/>
        </w:trPr>
        <w:tc>
          <w:tcPr>
            <w:tcW w:w="2552" w:type="dxa"/>
            <w:tcBorders>
              <w:top w:val="nil"/>
              <w:left w:val="single" w:sz="8" w:space="0" w:color="4F81BD"/>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Preferential Goal Requirements allocated for this  tender</w:t>
            </w:r>
          </w:p>
        </w:tc>
        <w:tc>
          <w:tcPr>
            <w:tcW w:w="1701" w:type="dxa"/>
            <w:tcBorders>
              <w:top w:val="nil"/>
              <w:left w:val="nil"/>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Number of points</w:t>
            </w:r>
            <w:r w:rsidRPr="00A4064C">
              <w:rPr>
                <w:rFonts w:ascii="Calibri" w:eastAsia="Times New Roman" w:hAnsi="Calibri" w:cs="Calibri"/>
                <w:b/>
                <w:bCs/>
                <w:color w:val="0E1B8D"/>
                <w:lang w:eastAsia="en-ZA"/>
              </w:rPr>
              <w:br/>
              <w:t>allocated</w:t>
            </w:r>
            <w:r w:rsidRPr="00A4064C">
              <w:rPr>
                <w:rFonts w:ascii="Calibri" w:eastAsia="Times New Roman" w:hAnsi="Calibri" w:cs="Calibri"/>
                <w:b/>
                <w:bCs/>
                <w:color w:val="0E1B8D"/>
                <w:lang w:eastAsia="en-ZA"/>
              </w:rPr>
              <w:br/>
            </w:r>
            <w:r w:rsidRPr="00A4064C">
              <w:rPr>
                <w:rFonts w:ascii="Calibri" w:eastAsia="Times New Roman" w:hAnsi="Calibri" w:cs="Calibri"/>
                <w:b/>
                <w:bCs/>
                <w:color w:val="44546A"/>
                <w:lang w:eastAsia="en-ZA"/>
              </w:rPr>
              <w:t>(80/20) system</w:t>
            </w:r>
            <w:r w:rsidRPr="00A4064C">
              <w:rPr>
                <w:rFonts w:ascii="Calibri" w:eastAsia="Times New Roman" w:hAnsi="Calibri" w:cs="Calibri"/>
                <w:b/>
                <w:bCs/>
                <w:color w:val="0E1B8D"/>
                <w:lang w:eastAsia="en-ZA"/>
              </w:rPr>
              <w:br/>
              <w:t>(To be completed by the organ of state)</w:t>
            </w:r>
          </w:p>
        </w:tc>
        <w:tc>
          <w:tcPr>
            <w:tcW w:w="3827" w:type="dxa"/>
            <w:tcBorders>
              <w:top w:val="nil"/>
              <w:left w:val="nil"/>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 xml:space="preserve">Substantiating evidence and evidence reference to be completed by bidder. </w:t>
            </w:r>
            <w:r w:rsidRPr="00A4064C">
              <w:rPr>
                <w:rFonts w:ascii="Calibri" w:eastAsia="Times New Roman" w:hAnsi="Calibri" w:cs="Calibri"/>
                <w:b/>
                <w:bCs/>
                <w:color w:val="0E1B8D"/>
                <w:lang w:eastAsia="en-ZA"/>
              </w:rPr>
              <w:br/>
            </w:r>
            <w:r w:rsidRPr="00A4064C">
              <w:rPr>
                <w:rFonts w:ascii="Calibri" w:eastAsia="Times New Roman" w:hAnsi="Calibri" w:cs="Calibri"/>
                <w:color w:val="0E1B8D"/>
                <w:lang w:eastAsia="en-ZA"/>
              </w:rPr>
              <w:t>Evaluation per requirement: Each requirement indicated in the tables below must be completed and points will be allocated based on the  evidence required below for the</w:t>
            </w:r>
            <w:r w:rsidRPr="00A4064C">
              <w:rPr>
                <w:rFonts w:ascii="Calibri" w:eastAsia="Times New Roman" w:hAnsi="Calibri" w:cs="Calibri"/>
                <w:b/>
                <w:bCs/>
                <w:color w:val="0E1B8D"/>
                <w:lang w:eastAsia="en-ZA"/>
              </w:rPr>
              <w:t xml:space="preserve"> </w:t>
            </w:r>
            <w:r w:rsidRPr="00A4064C">
              <w:rPr>
                <w:rFonts w:ascii="Calibri" w:eastAsia="Times New Roman" w:hAnsi="Calibri" w:cs="Calibri"/>
                <w:b/>
                <w:bCs/>
                <w:color w:val="44546A"/>
                <w:lang w:eastAsia="en-ZA"/>
              </w:rPr>
              <w:t>(80/20) system</w:t>
            </w:r>
          </w:p>
        </w:tc>
        <w:tc>
          <w:tcPr>
            <w:tcW w:w="2160" w:type="dxa"/>
            <w:tcBorders>
              <w:top w:val="nil"/>
              <w:left w:val="nil"/>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Evidence reference for the</w:t>
            </w:r>
            <w:r w:rsidRPr="00A4064C">
              <w:rPr>
                <w:rFonts w:ascii="Calibri" w:eastAsia="Times New Roman" w:hAnsi="Calibri" w:cs="Calibri"/>
                <w:b/>
                <w:bCs/>
                <w:color w:val="FF0000"/>
                <w:lang w:eastAsia="en-ZA"/>
              </w:rPr>
              <w:t xml:space="preserve"> </w:t>
            </w:r>
            <w:r w:rsidRPr="00A4064C">
              <w:rPr>
                <w:rFonts w:ascii="Calibri" w:eastAsia="Times New Roman" w:hAnsi="Calibri" w:cs="Calibri"/>
                <w:b/>
                <w:bCs/>
                <w:color w:val="FF0000"/>
                <w:lang w:eastAsia="en-ZA"/>
              </w:rPr>
              <w:br/>
            </w:r>
            <w:r w:rsidRPr="00A4064C">
              <w:rPr>
                <w:rFonts w:ascii="Calibri" w:eastAsia="Times New Roman" w:hAnsi="Calibri" w:cs="Calibri"/>
                <w:b/>
                <w:bCs/>
                <w:color w:val="44546A"/>
                <w:lang w:eastAsia="en-ZA"/>
              </w:rPr>
              <w:t>(80/20) system</w:t>
            </w:r>
          </w:p>
        </w:tc>
      </w:tr>
      <w:tr w:rsidR="00A4064C" w:rsidRPr="00A4064C" w:rsidTr="00157710">
        <w:trPr>
          <w:trHeight w:val="376"/>
        </w:trPr>
        <w:tc>
          <w:tcPr>
            <w:tcW w:w="10240" w:type="dxa"/>
            <w:gridSpan w:val="4"/>
            <w:tcBorders>
              <w:top w:val="nil"/>
              <w:left w:val="single" w:sz="8" w:space="0" w:color="4F81BD"/>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305496"/>
                <w:lang w:eastAsia="en-ZA"/>
              </w:rPr>
            </w:pPr>
            <w:r w:rsidRPr="00A4064C">
              <w:rPr>
                <w:rFonts w:ascii="Calibri" w:eastAsia="Times New Roman" w:hAnsi="Calibri" w:cs="Calibri"/>
                <w:b/>
                <w:bCs/>
                <w:color w:val="305496"/>
                <w:lang w:eastAsia="en-ZA"/>
              </w:rPr>
              <w:t xml:space="preserve">Specific goals </w:t>
            </w:r>
          </w:p>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 </w:t>
            </w:r>
          </w:p>
        </w:tc>
      </w:tr>
      <w:tr w:rsidR="00A4064C" w:rsidRPr="00A4064C" w:rsidTr="00157710">
        <w:trPr>
          <w:trHeight w:val="3072"/>
        </w:trPr>
        <w:tc>
          <w:tcPr>
            <w:tcW w:w="2552" w:type="dxa"/>
            <w:tcBorders>
              <w:top w:val="nil"/>
              <w:left w:val="single" w:sz="8" w:space="0" w:color="4F81BD"/>
              <w:bottom w:val="single" w:sz="8" w:space="0" w:color="4F81BD"/>
              <w:right w:val="single" w:sz="8" w:space="0" w:color="4F81BD"/>
            </w:tcBorders>
            <w:shd w:val="clear" w:color="000000" w:fill="92D050"/>
            <w:hideMark/>
          </w:tcPr>
          <w:p w:rsidR="00A4064C" w:rsidRPr="00A4064C" w:rsidRDefault="00A4064C" w:rsidP="00A4064C">
            <w:pPr>
              <w:spacing w:after="0" w:line="240" w:lineRule="auto"/>
              <w:jc w:val="left"/>
              <w:rPr>
                <w:rFonts w:ascii="Calibri" w:eastAsia="Times New Roman" w:hAnsi="Calibri" w:cs="Calibri"/>
                <w:color w:val="0E1B8D"/>
                <w:lang w:eastAsia="en-ZA"/>
              </w:rPr>
            </w:pPr>
            <w:r w:rsidRPr="00A4064C">
              <w:rPr>
                <w:rFonts w:ascii="Calibri" w:eastAsia="Times New Roman" w:hAnsi="Calibri" w:cs="Calibri"/>
                <w:color w:val="0E1B8D"/>
                <w:lang w:eastAsia="en-ZA"/>
              </w:rPr>
              <w:t>The allocation of points for bidders that meet a certain</w:t>
            </w:r>
            <w:r w:rsidRPr="00A4064C">
              <w:rPr>
                <w:rFonts w:ascii="Calibri" w:eastAsia="Times New Roman" w:hAnsi="Calibri" w:cs="Calibri"/>
                <w:b/>
                <w:bCs/>
                <w:color w:val="0E1B8D"/>
                <w:lang w:eastAsia="en-ZA"/>
              </w:rPr>
              <w:t xml:space="preserve"> B-BBEE level</w:t>
            </w:r>
            <w:r w:rsidRPr="00A4064C">
              <w:rPr>
                <w:rFonts w:ascii="Calibri" w:eastAsia="Times New Roman" w:hAnsi="Calibri" w:cs="Calibri"/>
                <w:color w:val="0E1B8D"/>
                <w:lang w:eastAsia="en-ZA"/>
              </w:rPr>
              <w:t xml:space="preserve"> as defined in the Broad-Based Black Economic Empowerment Act; </w:t>
            </w:r>
          </w:p>
        </w:tc>
        <w:tc>
          <w:tcPr>
            <w:tcW w:w="1701" w:type="dxa"/>
            <w:tcBorders>
              <w:top w:val="nil"/>
              <w:left w:val="nil"/>
              <w:bottom w:val="single" w:sz="8" w:space="0" w:color="4F81BD"/>
              <w:right w:val="single" w:sz="8" w:space="0" w:color="4F81BD"/>
            </w:tcBorders>
            <w:shd w:val="clear" w:color="auto" w:fill="auto"/>
            <w:vAlign w:val="center"/>
            <w:hideMark/>
          </w:tcPr>
          <w:p w:rsidR="00A4064C" w:rsidRPr="00A4064C" w:rsidRDefault="00A4064C" w:rsidP="00A4064C">
            <w:pPr>
              <w:spacing w:after="0" w:line="240" w:lineRule="auto"/>
              <w:jc w:val="center"/>
              <w:rPr>
                <w:rFonts w:ascii="Calibri" w:eastAsia="Times New Roman" w:hAnsi="Calibri" w:cs="Calibri"/>
                <w:color w:val="FF0000"/>
                <w:lang w:eastAsia="en-ZA"/>
              </w:rPr>
            </w:pPr>
            <w:r w:rsidRPr="00A4064C">
              <w:rPr>
                <w:rFonts w:ascii="Calibri" w:eastAsia="Times New Roman" w:hAnsi="Calibri" w:cs="Calibri"/>
                <w:color w:val="FF0000"/>
                <w:lang w:eastAsia="en-ZA"/>
              </w:rPr>
              <w:t>10,0</w:t>
            </w:r>
          </w:p>
        </w:tc>
        <w:tc>
          <w:tcPr>
            <w:tcW w:w="3827" w:type="dxa"/>
            <w:tcBorders>
              <w:top w:val="nil"/>
              <w:left w:val="nil"/>
              <w:bottom w:val="single" w:sz="8" w:space="0" w:color="4F81BD"/>
              <w:right w:val="single" w:sz="8" w:space="0" w:color="4F81BD"/>
            </w:tcBorders>
            <w:shd w:val="clear" w:color="auto" w:fill="auto"/>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Evidence:</w:t>
            </w:r>
            <w:r w:rsidRPr="00A4064C">
              <w:rPr>
                <w:rFonts w:ascii="Calibri" w:eastAsia="Times New Roman" w:hAnsi="Calibri" w:cs="Calibri"/>
                <w:b/>
                <w:bCs/>
                <w:color w:val="0E1B8D"/>
                <w:lang w:eastAsia="en-ZA"/>
              </w:rPr>
              <w:br/>
            </w:r>
            <w:r w:rsidRPr="00A4064C">
              <w:rPr>
                <w:rFonts w:ascii="Calibri" w:eastAsia="Times New Roman" w:hAnsi="Calibri" w:cs="Calibri"/>
                <w:color w:val="0E1B8D"/>
                <w:lang w:eastAsia="en-ZA"/>
              </w:rPr>
              <w:t>The Bidder must provide a copy of relevant proof of B-BBEE status level of contributor level as defined in the Broad-Based Black Economic Empowerment Act.</w:t>
            </w:r>
            <w:r w:rsidRPr="00A4064C">
              <w:rPr>
                <w:rFonts w:ascii="Calibri" w:eastAsia="Times New Roman" w:hAnsi="Calibri" w:cs="Calibri"/>
                <w:color w:val="0E1B8D"/>
                <w:lang w:eastAsia="en-ZA"/>
              </w:rPr>
              <w:br/>
            </w:r>
            <w:r w:rsidRPr="00A4064C">
              <w:rPr>
                <w:rFonts w:ascii="Calibri" w:eastAsia="Times New Roman" w:hAnsi="Calibri" w:cs="Calibri"/>
                <w:color w:val="0E1B8D"/>
                <w:lang w:eastAsia="en-ZA"/>
              </w:rPr>
              <w:br/>
            </w:r>
            <w:r w:rsidRPr="00A4064C">
              <w:rPr>
                <w:rFonts w:ascii="Calibri" w:eastAsia="Times New Roman" w:hAnsi="Calibri" w:cs="Calibri"/>
                <w:b/>
                <w:bCs/>
                <w:color w:val="0E1B8D"/>
                <w:lang w:eastAsia="en-ZA"/>
              </w:rPr>
              <w:t>Points allocation:</w:t>
            </w:r>
            <w:r w:rsidRPr="00A4064C">
              <w:rPr>
                <w:rFonts w:ascii="Calibri" w:eastAsia="Times New Roman" w:hAnsi="Calibri" w:cs="Calibri"/>
                <w:b/>
                <w:bCs/>
                <w:color w:val="0E1B8D"/>
                <w:lang w:eastAsia="en-ZA"/>
              </w:rPr>
              <w:br/>
            </w:r>
            <w:r w:rsidRPr="00A4064C">
              <w:rPr>
                <w:rFonts w:ascii="Calibri" w:eastAsia="Times New Roman" w:hAnsi="Calibri" w:cs="Calibri"/>
                <w:color w:val="0E1B8D"/>
                <w:lang w:eastAsia="en-ZA"/>
              </w:rPr>
              <w:t>Points will be allocated in line with the BBBEE table in section 5.6.1</w:t>
            </w:r>
            <w:r w:rsidRPr="00A4064C">
              <w:rPr>
                <w:rFonts w:ascii="Calibri" w:eastAsia="Times New Roman" w:hAnsi="Calibri" w:cs="Calibri"/>
                <w:color w:val="FF0000"/>
                <w:lang w:eastAsia="en-ZA"/>
              </w:rPr>
              <w:t>.</w:t>
            </w:r>
          </w:p>
        </w:tc>
        <w:tc>
          <w:tcPr>
            <w:tcW w:w="2160" w:type="dxa"/>
            <w:tcBorders>
              <w:top w:val="nil"/>
              <w:left w:val="nil"/>
              <w:bottom w:val="single" w:sz="8" w:space="0" w:color="4F81BD"/>
              <w:right w:val="single" w:sz="8" w:space="0" w:color="4F81BD"/>
            </w:tcBorders>
            <w:shd w:val="clear" w:color="auto" w:fill="auto"/>
            <w:hideMark/>
          </w:tcPr>
          <w:p w:rsidR="00A4064C" w:rsidRPr="00A4064C" w:rsidRDefault="00A4064C" w:rsidP="00A4064C">
            <w:pPr>
              <w:spacing w:after="0" w:line="240" w:lineRule="auto"/>
              <w:jc w:val="left"/>
              <w:rPr>
                <w:rFonts w:ascii="Calibri" w:eastAsia="Times New Roman" w:hAnsi="Calibri" w:cs="Calibri"/>
                <w:color w:val="FF0000"/>
                <w:lang w:eastAsia="en-ZA"/>
              </w:rPr>
            </w:pPr>
            <w:r w:rsidRPr="00A4064C">
              <w:rPr>
                <w:rFonts w:ascii="Calibri" w:eastAsia="Times New Roman" w:hAnsi="Calibri" w:cs="Calibri"/>
                <w:color w:val="4472C4"/>
                <w:lang w:eastAsia="en-ZA"/>
              </w:rPr>
              <w:t>&lt;provide unique reference to locate (</w:t>
            </w:r>
            <w:r w:rsidRPr="00A4064C">
              <w:rPr>
                <w:rFonts w:ascii="Calibri" w:eastAsia="Times New Roman" w:hAnsi="Calibri" w:cs="Calibri"/>
                <w:b/>
                <w:bCs/>
                <w:color w:val="44546A"/>
                <w:lang w:eastAsia="en-ZA"/>
              </w:rPr>
              <w:t>80/20) system</w:t>
            </w:r>
            <w:r w:rsidRPr="00A4064C">
              <w:rPr>
                <w:rFonts w:ascii="Calibri" w:eastAsia="Times New Roman" w:hAnsi="Calibri" w:cs="Calibri"/>
                <w:b/>
                <w:bCs/>
                <w:color w:val="4472C4"/>
                <w:lang w:eastAsia="en-ZA"/>
              </w:rPr>
              <w:t xml:space="preserve"> </w:t>
            </w:r>
            <w:r w:rsidRPr="00A4064C">
              <w:rPr>
                <w:rFonts w:ascii="Calibri" w:eastAsia="Times New Roman" w:hAnsi="Calibri" w:cs="Calibri"/>
                <w:color w:val="4472C4"/>
                <w:lang w:eastAsia="en-ZA"/>
              </w:rPr>
              <w:t>substantiating evidence in the bid response – Annex A, section</w:t>
            </w:r>
            <w:r w:rsidRPr="00A4064C">
              <w:rPr>
                <w:rFonts w:ascii="Calibri" w:eastAsia="Times New Roman" w:hAnsi="Calibri" w:cs="Calibri"/>
                <w:color w:val="FF0000"/>
                <w:lang w:eastAsia="en-ZA"/>
              </w:rPr>
              <w:t xml:space="preserve"> 6</w:t>
            </w:r>
            <w:r w:rsidRPr="00A4064C">
              <w:rPr>
                <w:rFonts w:ascii="Calibri" w:eastAsia="Times New Roman" w:hAnsi="Calibri" w:cs="Calibri"/>
                <w:color w:val="4472C4"/>
                <w:lang w:eastAsia="en-ZA"/>
              </w:rPr>
              <w:t>&gt;</w:t>
            </w:r>
          </w:p>
        </w:tc>
      </w:tr>
      <w:tr w:rsidR="00A4064C" w:rsidRPr="00A4064C" w:rsidTr="00157710">
        <w:trPr>
          <w:trHeight w:val="4514"/>
        </w:trPr>
        <w:tc>
          <w:tcPr>
            <w:tcW w:w="2552" w:type="dxa"/>
            <w:tcBorders>
              <w:top w:val="nil"/>
              <w:left w:val="single" w:sz="8" w:space="0" w:color="4F81BD"/>
              <w:bottom w:val="single" w:sz="8" w:space="0" w:color="4F81BD"/>
              <w:right w:val="single" w:sz="8" w:space="0" w:color="4F81BD"/>
            </w:tcBorders>
            <w:shd w:val="clear" w:color="auto" w:fill="auto"/>
            <w:hideMark/>
          </w:tcPr>
          <w:p w:rsidR="00A4064C" w:rsidRPr="00A4064C" w:rsidRDefault="00A4064C" w:rsidP="00A4064C">
            <w:pPr>
              <w:spacing w:after="0" w:line="240" w:lineRule="auto"/>
              <w:jc w:val="left"/>
              <w:rPr>
                <w:rFonts w:ascii="Calibri" w:eastAsia="Times New Roman" w:hAnsi="Calibri" w:cs="Calibri"/>
                <w:color w:val="0E1B8D"/>
                <w:lang w:eastAsia="en-ZA"/>
              </w:rPr>
            </w:pPr>
            <w:r w:rsidRPr="00A4064C">
              <w:rPr>
                <w:rFonts w:ascii="Calibri" w:eastAsia="Times New Roman" w:hAnsi="Calibri" w:cs="Calibri"/>
                <w:color w:val="0E1B8D"/>
                <w:lang w:eastAsia="en-ZA"/>
              </w:rPr>
              <w:t xml:space="preserve">The promotion of enterprises located in a </w:t>
            </w:r>
            <w:r w:rsidRPr="00A4064C">
              <w:rPr>
                <w:rFonts w:ascii="Calibri" w:eastAsia="Times New Roman" w:hAnsi="Calibri" w:cs="Calibri"/>
                <w:b/>
                <w:bCs/>
                <w:color w:val="0E1B8D"/>
                <w:lang w:eastAsia="en-ZA"/>
              </w:rPr>
              <w:t>specific province</w:t>
            </w:r>
            <w:r w:rsidRPr="00A4064C">
              <w:rPr>
                <w:rFonts w:ascii="Calibri" w:eastAsia="Times New Roman" w:hAnsi="Calibri" w:cs="Calibri"/>
                <w:color w:val="0E1B8D"/>
                <w:lang w:eastAsia="en-ZA"/>
              </w:rPr>
              <w:t xml:space="preserve"> for work to be done, or services to be rendered in that region. </w:t>
            </w:r>
          </w:p>
        </w:tc>
        <w:tc>
          <w:tcPr>
            <w:tcW w:w="1701" w:type="dxa"/>
            <w:tcBorders>
              <w:top w:val="nil"/>
              <w:left w:val="nil"/>
              <w:bottom w:val="single" w:sz="8" w:space="0" w:color="4F81BD"/>
              <w:right w:val="single" w:sz="8" w:space="0" w:color="4F81BD"/>
            </w:tcBorders>
            <w:shd w:val="clear" w:color="auto" w:fill="auto"/>
            <w:vAlign w:val="center"/>
            <w:hideMark/>
          </w:tcPr>
          <w:p w:rsidR="00A4064C" w:rsidRPr="00A4064C" w:rsidRDefault="00A4064C" w:rsidP="00A4064C">
            <w:pPr>
              <w:spacing w:after="0" w:line="240" w:lineRule="auto"/>
              <w:jc w:val="center"/>
              <w:rPr>
                <w:rFonts w:ascii="Calibri" w:eastAsia="Times New Roman" w:hAnsi="Calibri" w:cs="Calibri"/>
                <w:color w:val="FF0000"/>
                <w:lang w:eastAsia="en-ZA"/>
              </w:rPr>
            </w:pPr>
            <w:r w:rsidRPr="00A4064C">
              <w:rPr>
                <w:rFonts w:ascii="Calibri" w:eastAsia="Times New Roman" w:hAnsi="Calibri" w:cs="Calibri"/>
                <w:color w:val="FF0000"/>
                <w:lang w:eastAsia="en-ZA"/>
              </w:rPr>
              <w:t>10,0</w:t>
            </w:r>
          </w:p>
        </w:tc>
        <w:tc>
          <w:tcPr>
            <w:tcW w:w="3827" w:type="dxa"/>
            <w:tcBorders>
              <w:top w:val="nil"/>
              <w:left w:val="nil"/>
              <w:bottom w:val="single" w:sz="8" w:space="0" w:color="4F81BD"/>
              <w:right w:val="single" w:sz="8" w:space="0" w:color="4F81BD"/>
            </w:tcBorders>
            <w:shd w:val="clear" w:color="auto" w:fill="auto"/>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Evidence:</w:t>
            </w:r>
            <w:r w:rsidRPr="00A4064C">
              <w:rPr>
                <w:rFonts w:ascii="Calibri" w:eastAsia="Times New Roman" w:hAnsi="Calibri" w:cs="Calibri"/>
                <w:color w:val="FF0000"/>
                <w:lang w:eastAsia="en-ZA"/>
              </w:rPr>
              <w:br/>
            </w:r>
            <w:r w:rsidRPr="00A4064C">
              <w:rPr>
                <w:rFonts w:ascii="Calibri" w:eastAsia="Times New Roman" w:hAnsi="Calibri" w:cs="Calibri"/>
                <w:color w:val="305496"/>
                <w:lang w:eastAsia="en-ZA"/>
              </w:rPr>
              <w:t xml:space="preserve">The Bidder needs to provide a narrative section as part of their </w:t>
            </w:r>
            <w:r w:rsidRPr="00A4064C">
              <w:rPr>
                <w:rFonts w:ascii="Calibri" w:eastAsia="Times New Roman" w:hAnsi="Calibri" w:cs="Calibri"/>
                <w:b/>
                <w:bCs/>
                <w:color w:val="305496"/>
                <w:lang w:eastAsia="en-ZA"/>
              </w:rPr>
              <w:t>Preferential Goals Plan</w:t>
            </w:r>
            <w:r w:rsidRPr="00A4064C">
              <w:rPr>
                <w:rFonts w:ascii="Calibri" w:eastAsia="Times New Roman" w:hAnsi="Calibri" w:cs="Calibri"/>
                <w:color w:val="305496"/>
                <w:lang w:eastAsia="en-ZA"/>
              </w:rPr>
              <w:t xml:space="preserve"> and also include this in the </w:t>
            </w:r>
            <w:r w:rsidRPr="00A4064C">
              <w:rPr>
                <w:rFonts w:ascii="Calibri" w:eastAsia="Times New Roman" w:hAnsi="Calibri" w:cs="Calibri"/>
                <w:b/>
                <w:bCs/>
                <w:color w:val="305496"/>
                <w:lang w:eastAsia="en-ZA"/>
              </w:rPr>
              <w:t>Activity Plan with clear milestones</w:t>
            </w:r>
            <w:r w:rsidRPr="00A4064C">
              <w:rPr>
                <w:rFonts w:ascii="Calibri" w:eastAsia="Times New Roman" w:hAnsi="Calibri" w:cs="Calibri"/>
                <w:color w:val="305496"/>
                <w:lang w:eastAsia="en-ZA"/>
              </w:rPr>
              <w:t xml:space="preserve"> indicating the </w:t>
            </w:r>
            <w:r w:rsidRPr="00A4064C">
              <w:rPr>
                <w:rFonts w:ascii="Calibri" w:eastAsia="Times New Roman" w:hAnsi="Calibri" w:cs="Calibri"/>
                <w:b/>
                <w:bCs/>
                <w:color w:val="305496"/>
                <w:lang w:eastAsia="en-ZA"/>
              </w:rPr>
              <w:t>commitment</w:t>
            </w:r>
            <w:r w:rsidRPr="00A4064C">
              <w:rPr>
                <w:rFonts w:ascii="Calibri" w:eastAsia="Times New Roman" w:hAnsi="Calibri" w:cs="Calibri"/>
                <w:color w:val="305496"/>
                <w:lang w:eastAsia="en-ZA"/>
              </w:rPr>
              <w:t xml:space="preserve"> by the Bidder to promote </w:t>
            </w:r>
            <w:r w:rsidRPr="00A4064C">
              <w:rPr>
                <w:rFonts w:ascii="Calibri" w:eastAsia="Times New Roman" w:hAnsi="Calibri" w:cs="Calibri"/>
                <w:b/>
                <w:bCs/>
                <w:color w:val="305496"/>
                <w:lang w:eastAsia="en-ZA"/>
              </w:rPr>
              <w:t>enterprises located in a specific province for work to be done, or services to be rendered in that region</w:t>
            </w:r>
            <w:r w:rsidRPr="00A4064C">
              <w:rPr>
                <w:rFonts w:ascii="Calibri" w:eastAsia="Times New Roman" w:hAnsi="Calibri" w:cs="Calibri"/>
                <w:color w:val="305496"/>
                <w:lang w:eastAsia="en-ZA"/>
              </w:rPr>
              <w:t xml:space="preserve"> for the duration of the contact. </w:t>
            </w:r>
            <w:r w:rsidRPr="00A4064C">
              <w:rPr>
                <w:rFonts w:ascii="Calibri" w:eastAsia="Times New Roman" w:hAnsi="Calibri" w:cs="Calibri"/>
                <w:color w:val="0E1B8D"/>
                <w:lang w:eastAsia="en-ZA"/>
              </w:rPr>
              <w:br/>
            </w:r>
            <w:r w:rsidRPr="00A4064C">
              <w:rPr>
                <w:rFonts w:ascii="Calibri" w:eastAsia="Times New Roman" w:hAnsi="Calibri" w:cs="Calibri"/>
                <w:color w:val="0E1B8D"/>
                <w:lang w:eastAsia="en-ZA"/>
              </w:rPr>
              <w:br/>
            </w:r>
            <w:r w:rsidRPr="00A4064C">
              <w:rPr>
                <w:rFonts w:ascii="Calibri" w:eastAsia="Times New Roman" w:hAnsi="Calibri" w:cs="Calibri"/>
                <w:b/>
                <w:bCs/>
                <w:color w:val="0E1B8D"/>
                <w:lang w:eastAsia="en-ZA"/>
              </w:rPr>
              <w:t>Points allocation:</w:t>
            </w:r>
            <w:r w:rsidRPr="00A4064C">
              <w:rPr>
                <w:rFonts w:ascii="Calibri" w:eastAsia="Times New Roman" w:hAnsi="Calibri" w:cs="Calibri"/>
                <w:b/>
                <w:bCs/>
                <w:color w:val="0E1B8D"/>
                <w:lang w:eastAsia="en-ZA"/>
              </w:rPr>
              <w:br/>
            </w:r>
            <w:r w:rsidRPr="00A4064C">
              <w:rPr>
                <w:rFonts w:ascii="Calibri" w:eastAsia="Times New Roman" w:hAnsi="Calibri" w:cs="Calibri"/>
                <w:color w:val="FF0000"/>
                <w:lang w:eastAsia="en-ZA"/>
              </w:rPr>
              <w:t>0 points = Outside Mpumalanga</w:t>
            </w:r>
            <w:r w:rsidRPr="00A4064C">
              <w:rPr>
                <w:rFonts w:ascii="Calibri" w:eastAsia="Times New Roman" w:hAnsi="Calibri" w:cs="Calibri"/>
                <w:color w:val="FF0000"/>
                <w:lang w:eastAsia="en-ZA"/>
              </w:rPr>
              <w:br/>
              <w:t>10 points = Within Mpumalanga (proof will be utility bill, title deeds or proof of ownership).</w:t>
            </w:r>
          </w:p>
        </w:tc>
        <w:tc>
          <w:tcPr>
            <w:tcW w:w="2160" w:type="dxa"/>
            <w:tcBorders>
              <w:top w:val="nil"/>
              <w:left w:val="nil"/>
              <w:bottom w:val="single" w:sz="8" w:space="0" w:color="4F81BD"/>
              <w:right w:val="single" w:sz="8" w:space="0" w:color="4F81BD"/>
            </w:tcBorders>
            <w:shd w:val="clear" w:color="auto" w:fill="auto"/>
            <w:hideMark/>
          </w:tcPr>
          <w:p w:rsidR="00A4064C" w:rsidRPr="00A4064C" w:rsidRDefault="00A4064C" w:rsidP="00A4064C">
            <w:pPr>
              <w:spacing w:after="0" w:line="240" w:lineRule="auto"/>
              <w:jc w:val="left"/>
              <w:rPr>
                <w:rFonts w:ascii="Calibri" w:eastAsia="Times New Roman" w:hAnsi="Calibri" w:cs="Calibri"/>
                <w:color w:val="FF0000"/>
                <w:lang w:eastAsia="en-ZA"/>
              </w:rPr>
            </w:pPr>
            <w:r w:rsidRPr="00A4064C">
              <w:rPr>
                <w:rFonts w:ascii="Calibri" w:eastAsia="Times New Roman" w:hAnsi="Calibri" w:cs="Calibri"/>
                <w:color w:val="4472C4"/>
                <w:lang w:eastAsia="en-ZA"/>
              </w:rPr>
              <w:t>&lt;provide unique reference to locate (</w:t>
            </w:r>
            <w:r w:rsidRPr="00A4064C">
              <w:rPr>
                <w:rFonts w:ascii="Calibri" w:eastAsia="Times New Roman" w:hAnsi="Calibri" w:cs="Calibri"/>
                <w:b/>
                <w:bCs/>
                <w:color w:val="44546A"/>
                <w:lang w:eastAsia="en-ZA"/>
              </w:rPr>
              <w:t>80/20) system</w:t>
            </w:r>
            <w:r w:rsidRPr="00A4064C">
              <w:rPr>
                <w:rFonts w:ascii="Calibri" w:eastAsia="Times New Roman" w:hAnsi="Calibri" w:cs="Calibri"/>
                <w:b/>
                <w:bCs/>
                <w:color w:val="4472C4"/>
                <w:lang w:eastAsia="en-ZA"/>
              </w:rPr>
              <w:t xml:space="preserve"> </w:t>
            </w:r>
            <w:r w:rsidRPr="00A4064C">
              <w:rPr>
                <w:rFonts w:ascii="Calibri" w:eastAsia="Times New Roman" w:hAnsi="Calibri" w:cs="Calibri"/>
                <w:color w:val="4472C4"/>
                <w:lang w:eastAsia="en-ZA"/>
              </w:rPr>
              <w:t>substantiating evidence in the bid response – Annex A, section</w:t>
            </w:r>
            <w:r w:rsidRPr="00A4064C">
              <w:rPr>
                <w:rFonts w:ascii="Calibri" w:eastAsia="Times New Roman" w:hAnsi="Calibri" w:cs="Calibri"/>
                <w:color w:val="FF0000"/>
                <w:lang w:eastAsia="en-ZA"/>
              </w:rPr>
              <w:t xml:space="preserve"> 6</w:t>
            </w:r>
            <w:r w:rsidRPr="00A4064C">
              <w:rPr>
                <w:rFonts w:ascii="Calibri" w:eastAsia="Times New Roman" w:hAnsi="Calibri" w:cs="Calibri"/>
                <w:color w:val="4472C4"/>
                <w:lang w:eastAsia="en-ZA"/>
              </w:rPr>
              <w:t>&gt;</w:t>
            </w:r>
          </w:p>
        </w:tc>
      </w:tr>
      <w:tr w:rsidR="00A4064C" w:rsidRPr="00A4064C" w:rsidTr="00157710">
        <w:trPr>
          <w:trHeight w:val="564"/>
        </w:trPr>
        <w:tc>
          <w:tcPr>
            <w:tcW w:w="2552" w:type="dxa"/>
            <w:tcBorders>
              <w:top w:val="nil"/>
              <w:left w:val="single" w:sz="8" w:space="0" w:color="4F81BD"/>
              <w:bottom w:val="single" w:sz="8" w:space="0" w:color="4F81BD"/>
              <w:right w:val="single" w:sz="8" w:space="0" w:color="4F81BD"/>
            </w:tcBorders>
            <w:shd w:val="clear" w:color="000000" w:fill="DBE5F1"/>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Total Point Allocation:</w:t>
            </w:r>
          </w:p>
        </w:tc>
        <w:tc>
          <w:tcPr>
            <w:tcW w:w="1701" w:type="dxa"/>
            <w:tcBorders>
              <w:top w:val="nil"/>
              <w:left w:val="nil"/>
              <w:bottom w:val="single" w:sz="8" w:space="0" w:color="4F81BD"/>
              <w:right w:val="single" w:sz="8" w:space="0" w:color="4F81BD"/>
            </w:tcBorders>
            <w:shd w:val="clear" w:color="000000" w:fill="DBE5F1"/>
            <w:vAlign w:val="center"/>
            <w:hideMark/>
          </w:tcPr>
          <w:p w:rsidR="00A4064C" w:rsidRPr="00A4064C" w:rsidRDefault="00A4064C" w:rsidP="00A4064C">
            <w:pPr>
              <w:spacing w:after="0" w:line="240" w:lineRule="auto"/>
              <w:jc w:val="center"/>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20,0</w:t>
            </w:r>
          </w:p>
        </w:tc>
        <w:tc>
          <w:tcPr>
            <w:tcW w:w="5987" w:type="dxa"/>
            <w:gridSpan w:val="2"/>
            <w:tcBorders>
              <w:top w:val="single" w:sz="8" w:space="0" w:color="4F81BD"/>
              <w:left w:val="nil"/>
              <w:bottom w:val="nil"/>
              <w:right w:val="nil"/>
            </w:tcBorders>
            <w:shd w:val="clear" w:color="auto" w:fill="auto"/>
            <w:hideMark/>
          </w:tcPr>
          <w:p w:rsidR="00A4064C" w:rsidRPr="00A4064C" w:rsidRDefault="00A4064C" w:rsidP="00A4064C">
            <w:pPr>
              <w:spacing w:after="0" w:line="240" w:lineRule="auto"/>
              <w:jc w:val="left"/>
              <w:rPr>
                <w:rFonts w:ascii="Calibri" w:eastAsia="Times New Roman" w:hAnsi="Calibri" w:cs="Calibri"/>
                <w:b/>
                <w:bCs/>
                <w:color w:val="0E1B8D"/>
                <w:lang w:eastAsia="en-ZA"/>
              </w:rPr>
            </w:pPr>
            <w:r w:rsidRPr="00A4064C">
              <w:rPr>
                <w:rFonts w:ascii="Calibri" w:eastAsia="Times New Roman" w:hAnsi="Calibri" w:cs="Calibri"/>
                <w:b/>
                <w:bCs/>
                <w:color w:val="0E1B8D"/>
                <w:lang w:eastAsia="en-ZA"/>
              </w:rPr>
              <w:t> </w:t>
            </w:r>
          </w:p>
        </w:tc>
      </w:tr>
    </w:tbl>
    <w:p w:rsidR="00DE7BAA" w:rsidRDefault="00DE7BAA">
      <w:pPr>
        <w:jc w:val="left"/>
        <w:rPr>
          <w:rFonts w:cs="Calibri"/>
          <w:b/>
          <w:bCs/>
          <w:szCs w:val="24"/>
          <w:lang w:eastAsia="en-GB"/>
        </w:rPr>
      </w:pPr>
      <w:r>
        <w:rPr>
          <w:rFonts w:cs="Calibri"/>
          <w:b/>
          <w:bCs/>
          <w:szCs w:val="24"/>
          <w:lang w:eastAsia="en-GB"/>
        </w:rPr>
        <w:br w:type="page"/>
      </w:r>
    </w:p>
    <w:p w:rsidR="00DE7BAA" w:rsidRPr="00AC621E" w:rsidRDefault="00DE7BAA" w:rsidP="00DE7BAA">
      <w:pPr>
        <w:ind w:firstLine="567"/>
        <w:rPr>
          <w:rFonts w:cs="Calibri"/>
          <w:b/>
          <w:bCs/>
          <w:szCs w:val="24"/>
          <w:lang w:eastAsia="en-GB"/>
        </w:rPr>
      </w:pPr>
      <w:r w:rsidRPr="00AC621E">
        <w:rPr>
          <w:rFonts w:cs="Calibri"/>
          <w:b/>
          <w:bCs/>
          <w:szCs w:val="24"/>
          <w:lang w:eastAsia="en-GB"/>
        </w:rPr>
        <w:t>Table 2: B-BBEE Points as part of the Preference Goal requirements</w:t>
      </w:r>
    </w:p>
    <w:tbl>
      <w:tblPr>
        <w:tblW w:w="7230" w:type="dxa"/>
        <w:tblInd w:w="557" w:type="dxa"/>
        <w:tblLook w:val="04A0" w:firstRow="1" w:lastRow="0" w:firstColumn="1" w:lastColumn="0" w:noHBand="0" w:noVBand="1"/>
      </w:tblPr>
      <w:tblGrid>
        <w:gridCol w:w="4962"/>
        <w:gridCol w:w="2268"/>
      </w:tblGrid>
      <w:tr w:rsidR="00DE7BAA" w:rsidRPr="00AC621E" w:rsidTr="00757D3C">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Number of Points</w:t>
            </w:r>
          </w:p>
        </w:tc>
      </w:tr>
      <w:tr w:rsidR="00DE7BAA" w:rsidRPr="00AC621E" w:rsidTr="00757D3C">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rsidR="00DE7BAA" w:rsidRPr="00AC621E" w:rsidRDefault="00DE7BAA" w:rsidP="00757D3C">
            <w:pPr>
              <w:rPr>
                <w:rFonts w:cs="Calibri"/>
                <w:b/>
                <w:bCs/>
                <w:color w:val="0E1B8D"/>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w:t>
            </w:r>
            <w:r>
              <w:rPr>
                <w:rFonts w:cs="Calibri"/>
                <w:b/>
                <w:bCs/>
                <w:color w:val="0E1B8D"/>
                <w:szCs w:val="24"/>
                <w:lang w:eastAsia="en-GB"/>
              </w:rPr>
              <w:t>8</w:t>
            </w:r>
            <w:r w:rsidRPr="00AC621E">
              <w:rPr>
                <w:rFonts w:cs="Calibri"/>
                <w:b/>
                <w:bCs/>
                <w:color w:val="0E1B8D"/>
                <w:szCs w:val="24"/>
                <w:lang w:eastAsia="en-GB"/>
              </w:rPr>
              <w:t>0/</w:t>
            </w:r>
            <w:r>
              <w:rPr>
                <w:rFonts w:cs="Calibri"/>
                <w:b/>
                <w:bCs/>
                <w:color w:val="0E1B8D"/>
                <w:szCs w:val="24"/>
                <w:lang w:eastAsia="en-GB"/>
              </w:rPr>
              <w:t>2</w:t>
            </w:r>
            <w:r w:rsidRPr="00AC621E">
              <w:rPr>
                <w:rFonts w:cs="Calibri"/>
                <w:b/>
                <w:bCs/>
                <w:color w:val="0E1B8D"/>
                <w:szCs w:val="24"/>
                <w:lang w:eastAsia="en-GB"/>
              </w:rPr>
              <w:t>0 system)</w:t>
            </w:r>
          </w:p>
        </w:tc>
      </w:tr>
      <w:tr w:rsidR="00DE7BAA" w:rsidRPr="00AC621E" w:rsidTr="00757D3C">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rsidR="00DE7BAA" w:rsidRPr="00AC621E" w:rsidRDefault="00DE7BAA" w:rsidP="00757D3C">
            <w:pPr>
              <w:rPr>
                <w:rFonts w:cs="Calibri"/>
                <w:b/>
                <w:bCs/>
                <w:color w:val="0E1B8D"/>
                <w:szCs w:val="24"/>
                <w:lang w:eastAsia="en-GB"/>
              </w:rPr>
            </w:pPr>
            <w:r w:rsidRPr="00AC621E">
              <w:rPr>
                <w:rFonts w:cs="Calibri"/>
                <w:b/>
                <w:bCs/>
                <w:color w:val="0E1B8D"/>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10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10,0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Pr>
                <w:rFonts w:cs="Calibri"/>
                <w:lang w:eastAsia="en-GB"/>
              </w:rPr>
              <w:t>9</w:t>
            </w:r>
            <w:r w:rsidRPr="00AC621E">
              <w:rPr>
                <w:rFonts w:cs="Calibri"/>
                <w:lang w:eastAsia="en-GB"/>
              </w:rPr>
              <w:t>,0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6,0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5,0</w:t>
            </w:r>
          </w:p>
        </w:tc>
      </w:tr>
      <w:tr w:rsidR="00DE7BAA" w:rsidRPr="00AC621E" w:rsidTr="00757D3C">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4,0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3,0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2,0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1,0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0,0</w:t>
            </w:r>
          </w:p>
        </w:tc>
      </w:tr>
    </w:tbl>
    <w:p w:rsidR="00DE7BAA" w:rsidRPr="002E7448"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3" w:name="_Toc126567185"/>
      <w:r w:rsidRPr="002E7448">
        <w:rPr>
          <w:rFonts w:asciiTheme="majorHAnsi" w:eastAsiaTheme="majorEastAsia" w:hAnsiTheme="majorHAnsi" w:cstheme="minorBidi"/>
          <w:b/>
          <w:color w:val="0E1B8D"/>
          <w:sz w:val="28"/>
          <w:szCs w:val="26"/>
        </w:rP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rsidTr="002E7448">
        <w:tc>
          <w:tcPr>
            <w:tcW w:w="514"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rsidR="002E7448" w:rsidRPr="002E7448" w:rsidRDefault="002E7448" w:rsidP="002E7448">
            <w:pPr>
              <w:widowControl w:val="0"/>
              <w:tabs>
                <w:tab w:val="left" w:pos="-963"/>
                <w:tab w:val="left" w:pos="-720"/>
              </w:tabs>
              <w:rPr>
                <w:rFonts w:asciiTheme="minorHAnsi" w:hAnsiTheme="minorHAnsi" w:cs="Arial"/>
                <w:b/>
                <w:lang w:val="en-GB"/>
              </w:rPr>
            </w:pPr>
          </w:p>
        </w:tc>
      </w:tr>
    </w:tbl>
    <w:p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If Yes please complete the following information</w:t>
      </w:r>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4" w:name="_Toc126567186"/>
      <w:r w:rsidRPr="002E7448">
        <w:rPr>
          <w:rFonts w:asciiTheme="majorHAnsi" w:eastAsiaTheme="majorEastAsia" w:hAnsiTheme="majorHAnsi" w:cstheme="minorBidi"/>
          <w:b/>
          <w:color w:val="0E1B8D"/>
          <w:sz w:val="28"/>
          <w:szCs w:val="26"/>
        </w:rPr>
        <w:t>Declaration with regard to Company / Firm</w:t>
      </w:r>
      <w:bookmarkEnd w:id="74"/>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rsidTr="002E7448">
        <w:tc>
          <w:tcPr>
            <w:tcW w:w="3209" w:type="dxa"/>
          </w:tcPr>
          <w:p w:rsidR="002E7448" w:rsidRPr="002E7448" w:rsidRDefault="002E7448" w:rsidP="002E7448">
            <w:r w:rsidRPr="002E7448">
              <w:t>Name of Company / Firm</w:t>
            </w:r>
          </w:p>
        </w:tc>
        <w:tc>
          <w:tcPr>
            <w:tcW w:w="6419" w:type="dxa"/>
            <w:gridSpan w:val="2"/>
          </w:tcPr>
          <w:p w:rsidR="002E7448" w:rsidRPr="002E7448" w:rsidRDefault="002E7448" w:rsidP="002E7448"/>
          <w:p w:rsidR="002E7448" w:rsidRPr="002E7448" w:rsidRDefault="002E7448" w:rsidP="002E7448"/>
        </w:tc>
      </w:tr>
      <w:tr w:rsidR="002E7448" w:rsidRPr="002E7448" w:rsidTr="002E7448">
        <w:tc>
          <w:tcPr>
            <w:tcW w:w="3209" w:type="dxa"/>
          </w:tcPr>
          <w:p w:rsidR="002E7448" w:rsidRPr="002E7448" w:rsidRDefault="002E7448" w:rsidP="002E7448">
            <w:r w:rsidRPr="002E7448">
              <w:t>Company Registration number</w:t>
            </w:r>
          </w:p>
        </w:tc>
        <w:tc>
          <w:tcPr>
            <w:tcW w:w="6419" w:type="dxa"/>
            <w:gridSpan w:val="2"/>
          </w:tcPr>
          <w:p w:rsidR="002E7448" w:rsidRPr="002E7448" w:rsidRDefault="002E7448" w:rsidP="002E7448">
            <w:pPr>
              <w:jc w:val="left"/>
            </w:pPr>
          </w:p>
          <w:p w:rsidR="002E7448" w:rsidRPr="002E7448" w:rsidRDefault="002E7448" w:rsidP="002E7448"/>
        </w:tc>
      </w:tr>
      <w:tr w:rsidR="002E7448" w:rsidRPr="002E7448" w:rsidTr="002E7448">
        <w:tc>
          <w:tcPr>
            <w:tcW w:w="3209" w:type="dxa"/>
          </w:tcPr>
          <w:p w:rsidR="002E7448" w:rsidRPr="002E7448" w:rsidRDefault="002E7448" w:rsidP="002E7448">
            <w:r w:rsidRPr="002E7448">
              <w:t>Type of Company / Firm (mark the applicable option with X)</w:t>
            </w:r>
          </w:p>
        </w:tc>
        <w:tc>
          <w:tcPr>
            <w:tcW w:w="5291" w:type="dxa"/>
          </w:tcPr>
          <w:p w:rsidR="002E7448" w:rsidRPr="002E7448" w:rsidRDefault="002E7448" w:rsidP="002E7448">
            <w:pPr>
              <w:jc w:val="left"/>
            </w:pPr>
            <w:r w:rsidRPr="002E7448">
              <w:t>Partnership / Joint Venture / Consortium</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proofErr w:type="gramStart"/>
            <w:r w:rsidRPr="002E7448">
              <w:t>One person</w:t>
            </w:r>
            <w:proofErr w:type="gramEnd"/>
            <w:r w:rsidRPr="002E7448">
              <w:t xml:space="preserve"> business / Sole proprietor</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Closed Corporation</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Public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Personal Liability Company</w:t>
            </w: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(Pty) Limited</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Non-profit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State Owned Company</w:t>
            </w:r>
          </w:p>
          <w:p w:rsidR="002E7448" w:rsidRPr="002E7448" w:rsidRDefault="002E7448" w:rsidP="002E7448">
            <w:pPr>
              <w:jc w:val="left"/>
            </w:pPr>
          </w:p>
        </w:tc>
        <w:tc>
          <w:tcPr>
            <w:tcW w:w="1128" w:type="dxa"/>
          </w:tcPr>
          <w:p w:rsidR="002E7448" w:rsidRPr="002E7448" w:rsidRDefault="002E7448" w:rsidP="002E7448"/>
        </w:tc>
      </w:tr>
    </w:tbl>
    <w:p w:rsidR="002E7448" w:rsidRPr="002E7448" w:rsidRDefault="002E7448" w:rsidP="002E7448">
      <w:pPr>
        <w:tabs>
          <w:tab w:val="left" w:pos="900"/>
        </w:tabs>
        <w:spacing w:line="312" w:lineRule="auto"/>
        <w:ind w:left="1571"/>
        <w:rPr>
          <w:rFonts w:ascii="Arial" w:hAnsi="Arial" w:cs="Arial"/>
          <w:sz w:val="20"/>
          <w:szCs w:val="20"/>
          <w:lang w:val="en-GB"/>
        </w:rPr>
      </w:pP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2E7448">
        <w:rPr>
          <w:rFonts w:asciiTheme="minorHAnsi" w:eastAsia="Times New Roman" w:hAnsiTheme="minorHAnsi" w:cstheme="minorHAnsi"/>
          <w:lang w:val="en-GB"/>
        </w:rPr>
        <w:t>that::</w:t>
      </w:r>
      <w:proofErr w:type="gramEnd"/>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preference points claimed are in accordance with the General Conditions as indicated in paragraph 4.1  of this document;</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4.3  the contractor may be required to furnish documentary proof to the satisfaction of the purchaser that the claims are correct; </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If the preference points for specific goals have been claimed or obtained on a fraudulent basis or any of the conditions of contract have not been fulfilled, the purchaser may, in addition to any other remedy it may have –</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rsidR="002E7448" w:rsidRPr="002E7448" w:rsidRDefault="002E7448" w:rsidP="002E7448">
      <w:pPr>
        <w:rPr>
          <w:rFonts w:ascii="Arial" w:hAnsi="Arial" w:cs="Arial"/>
          <w:sz w:val="20"/>
          <w:szCs w:val="20"/>
          <w:lang w:val="en-GB"/>
        </w:rPr>
      </w:pPr>
    </w:p>
    <w:p w:rsidR="002E7448" w:rsidRPr="002E7448" w:rsidRDefault="002E7448" w:rsidP="002E7448">
      <w:pPr>
        <w:rPr>
          <w:rFonts w:ascii="Arial" w:hAnsi="Arial" w:cs="Arial"/>
          <w:sz w:val="20"/>
          <w:szCs w:val="20"/>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t>1)______________________________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rsidR="002E7448" w:rsidRPr="002E7448" w:rsidRDefault="002E7448" w:rsidP="002E7448">
      <w:pPr>
        <w:spacing w:after="0"/>
        <w:ind w:left="1701"/>
        <w:outlineLvl w:val="0"/>
        <w:rPr>
          <w:rFonts w:ascii="Arial" w:hAnsi="Arial" w:cs="Arial"/>
          <w:sz w:val="20"/>
          <w:szCs w:val="20"/>
          <w:lang w:val="en-GB"/>
        </w:rPr>
      </w:pPr>
    </w:p>
    <w:p w:rsidR="00716354" w:rsidRDefault="00716354" w:rsidP="008C2D3B">
      <w:pPr>
        <w:pStyle w:val="Default"/>
        <w:rPr>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5" w:name="_Toc128392815"/>
      <w:r w:rsidRPr="007531A4">
        <w:t>Government Procurement: General Conditions of Contract</w:t>
      </w:r>
      <w:r w:rsidR="009C21F4">
        <w:t xml:space="preserve"> (GCC)</w:t>
      </w:r>
      <w:bookmarkEnd w:id="75"/>
    </w:p>
    <w:p w:rsidR="00B21670" w:rsidRPr="008A2B1A" w:rsidRDefault="00B21670" w:rsidP="00B21670">
      <w:pPr>
        <w:pStyle w:val="Heading2"/>
        <w:rPr>
          <w:lang w:val="en-GB"/>
        </w:rPr>
      </w:pPr>
      <w:bookmarkStart w:id="76" w:name="_Toc128392816"/>
      <w:r>
        <w:rPr>
          <w:lang w:val="en-GB"/>
        </w:rPr>
        <w:t>Purpose</w:t>
      </w:r>
      <w:bookmarkEnd w:id="76"/>
    </w:p>
    <w:p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7" w:name="_Toc128392817"/>
      <w:r w:rsidRPr="0056332A">
        <w:t>Application</w:t>
      </w:r>
      <w:bookmarkEnd w:id="77"/>
    </w:p>
    <w:p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78" w:name="_Toc128392818"/>
      <w:r w:rsidRPr="0056332A">
        <w:t>General</w:t>
      </w:r>
      <w:bookmarkEnd w:id="78"/>
    </w:p>
    <w:p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79" w:name="_Toc128392819"/>
      <w:r w:rsidRPr="0056332A">
        <w:t>Standards</w:t>
      </w:r>
      <w:bookmarkEnd w:id="79"/>
    </w:p>
    <w:p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0" w:name="_Toc128392820"/>
      <w:r w:rsidRPr="0056332A">
        <w:t>Use of contract documents</w:t>
      </w:r>
      <w:r w:rsidR="00C32641">
        <w:t>,</w:t>
      </w:r>
      <w:r w:rsidRPr="0056332A">
        <w:t xml:space="preserve"> information</w:t>
      </w:r>
      <w:r w:rsidR="00C32641">
        <w:t xml:space="preserve"> and</w:t>
      </w:r>
      <w:r w:rsidRPr="0056332A">
        <w:t xml:space="preserve"> inspection</w:t>
      </w:r>
      <w:bookmarkEnd w:id="80"/>
    </w:p>
    <w:p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1" w:name="_Toc128392821"/>
      <w:r w:rsidRPr="0056332A">
        <w:t>Patent rights</w:t>
      </w:r>
      <w:bookmarkEnd w:id="81"/>
    </w:p>
    <w:p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2" w:name="_Toc128392822"/>
      <w:r w:rsidRPr="0056332A">
        <w:t>Performance security</w:t>
      </w:r>
      <w:bookmarkEnd w:id="82"/>
    </w:p>
    <w:p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3" w:name="_Toc128392823"/>
      <w:r w:rsidRPr="0056332A">
        <w:t>Inspections, tests and analyses</w:t>
      </w:r>
      <w:bookmarkEnd w:id="83"/>
    </w:p>
    <w:p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4" w:name="_Toc128392824"/>
      <w:r w:rsidRPr="0056332A">
        <w:t>Packing</w:t>
      </w:r>
      <w:bookmarkEnd w:id="84"/>
    </w:p>
    <w:p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5" w:name="_Toc128392825"/>
      <w:r w:rsidRPr="0056332A">
        <w:t>Delivery and documents</w:t>
      </w:r>
      <w:bookmarkEnd w:id="85"/>
      <w:r w:rsidRPr="0056332A">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6" w:name="_Toc128392826"/>
      <w:r w:rsidRPr="000A01AD">
        <w:t>Insurance</w:t>
      </w:r>
      <w:bookmarkEnd w:id="86"/>
    </w:p>
    <w:p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7" w:name="_Toc128392827"/>
      <w:r w:rsidRPr="000A01AD">
        <w:t>Transportation</w:t>
      </w:r>
      <w:bookmarkEnd w:id="87"/>
    </w:p>
    <w:p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88" w:name="_Toc128392828"/>
      <w:r>
        <w:t>I</w:t>
      </w:r>
      <w:r w:rsidRPr="000A01AD">
        <w:t>ncidental services</w:t>
      </w:r>
      <w:bookmarkEnd w:id="88"/>
    </w:p>
    <w:p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89" w:name="_Toc128392829"/>
      <w:r w:rsidRPr="000A01AD">
        <w:t>Spare parts</w:t>
      </w:r>
      <w:bookmarkEnd w:id="89"/>
    </w:p>
    <w:p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0" w:name="_Toc128392830"/>
      <w:r w:rsidRPr="00A56683">
        <w:t>Warranty</w:t>
      </w:r>
      <w:bookmarkEnd w:id="90"/>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1" w:name="_Toc128392831"/>
      <w:r w:rsidRPr="00A56683">
        <w:t>Payment</w:t>
      </w:r>
      <w:bookmarkEnd w:id="91"/>
    </w:p>
    <w:p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2" w:name="_Toc128392832"/>
      <w:r w:rsidRPr="00A56683">
        <w:t>Prices</w:t>
      </w:r>
      <w:bookmarkEnd w:id="92"/>
    </w:p>
    <w:p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3" w:name="_Toc128392833"/>
      <w:r w:rsidRPr="005721E2">
        <w:t>Contract amendments</w:t>
      </w:r>
      <w:bookmarkEnd w:id="93"/>
      <w:r w:rsidRPr="005721E2">
        <w:t xml:space="preserve"> </w:t>
      </w:r>
    </w:p>
    <w:p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4" w:name="_Toc128392834"/>
      <w:r w:rsidRPr="005721E2">
        <w:t>Assignment</w:t>
      </w:r>
      <w:bookmarkEnd w:id="94"/>
      <w:r w:rsidRPr="005721E2">
        <w:t xml:space="preserve"> </w:t>
      </w:r>
    </w:p>
    <w:p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5" w:name="_Toc128392835"/>
      <w:r w:rsidRPr="005721E2">
        <w:t>Subcontracts</w:t>
      </w:r>
      <w:bookmarkEnd w:id="95"/>
      <w:r w:rsidRPr="005721E2">
        <w:t xml:space="preserve"> </w:t>
      </w:r>
    </w:p>
    <w:p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6" w:name="_Toc128392836"/>
      <w:r w:rsidRPr="005721E2">
        <w:t>Delays in the supplier’s performance</w:t>
      </w:r>
      <w:bookmarkEnd w:id="96"/>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7" w:name="_Toc128392837"/>
      <w:r w:rsidRPr="005721E2">
        <w:t>Penalties</w:t>
      </w:r>
      <w:bookmarkEnd w:id="97"/>
    </w:p>
    <w:p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98" w:name="_Toc128392838"/>
      <w:r w:rsidRPr="005721E2">
        <w:t>Termination for default</w:t>
      </w:r>
      <w:bookmarkEnd w:id="98"/>
      <w:r w:rsidRPr="005721E2">
        <w:t xml:space="preserve"> </w:t>
      </w:r>
    </w:p>
    <w:p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99" w:name="_Toc128392839"/>
      <w:r w:rsidRPr="005721E2">
        <w:t>Anti-dumping and countervailing duties and rights</w:t>
      </w:r>
      <w:bookmarkEnd w:id="99"/>
      <w:r w:rsidRPr="005721E2">
        <w:t xml:space="preserve"> </w:t>
      </w:r>
    </w:p>
    <w:p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0" w:name="_Toc128392840"/>
      <w:r w:rsidRPr="005721E2">
        <w:t>Force majeure</w:t>
      </w:r>
      <w:bookmarkEnd w:id="100"/>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1" w:name="_Toc128392841"/>
      <w:r w:rsidRPr="005721E2">
        <w:t>Termination for insolvency</w:t>
      </w:r>
      <w:bookmarkEnd w:id="101"/>
    </w:p>
    <w:p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2" w:name="_Toc128392842"/>
      <w:r w:rsidRPr="005721E2">
        <w:t>Settlement of disputes</w:t>
      </w:r>
      <w:bookmarkEnd w:id="102"/>
      <w:r w:rsidRPr="005721E2">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3" w:name="_Toc128392843"/>
      <w:r w:rsidRPr="005721E2">
        <w:t>Limitation of liability</w:t>
      </w:r>
      <w:bookmarkEnd w:id="103"/>
    </w:p>
    <w:p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4" w:name="_Toc128392844"/>
      <w:r w:rsidRPr="005721E2">
        <w:t>Governing language</w:t>
      </w:r>
      <w:bookmarkEnd w:id="104"/>
      <w:r w:rsidRPr="005721E2">
        <w:t xml:space="preserve"> </w:t>
      </w:r>
    </w:p>
    <w:p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5" w:name="_Toc128392845"/>
      <w:r w:rsidRPr="005721E2">
        <w:t>Applicable law</w:t>
      </w:r>
      <w:bookmarkEnd w:id="105"/>
      <w:r w:rsidRPr="005721E2">
        <w:t xml:space="preserve"> </w:t>
      </w:r>
    </w:p>
    <w:p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6" w:name="_Toc128392846"/>
      <w:r w:rsidRPr="005721E2">
        <w:t>Notices</w:t>
      </w:r>
      <w:bookmarkEnd w:id="106"/>
    </w:p>
    <w:p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7" w:name="_Toc128392847"/>
      <w:r w:rsidRPr="005721E2">
        <w:t>Taxes and duties</w:t>
      </w:r>
      <w:bookmarkEnd w:id="107"/>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08" w:name="_Toc128392848"/>
      <w:r w:rsidRPr="005721E2">
        <w:t>National Industrial Participation (</w:t>
      </w:r>
      <w:r w:rsidR="00B313D3">
        <w:t>NIPP</w:t>
      </w:r>
      <w:r w:rsidRPr="005721E2">
        <w:t>) Programme</w:t>
      </w:r>
      <w:bookmarkEnd w:id="108"/>
    </w:p>
    <w:p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09" w:name="_Toc128392849"/>
      <w:r w:rsidRPr="005721E2">
        <w:t>Prohibition of restrictive practices</w:t>
      </w:r>
      <w:bookmarkEnd w:id="109"/>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8F6DB7" w:rsidRPr="00E528A5" w:rsidRDefault="00B21670" w:rsidP="00E528A5">
      <w:pPr>
        <w:jc w:val="left"/>
        <w:rPr>
          <w:highlight w:val="yellow"/>
          <w:lang w:val="en-GB"/>
        </w:rPr>
      </w:pPr>
      <w:r>
        <w:rPr>
          <w:highlight w:val="yellow"/>
          <w:lang w:val="en-GB"/>
        </w:rPr>
        <w:br w:type="page"/>
      </w:r>
    </w:p>
    <w:p w:rsidR="001313AD" w:rsidRPr="00B7255B" w:rsidRDefault="001313AD" w:rsidP="00B7255B">
      <w:pPr>
        <w:pStyle w:val="AnnexH1"/>
      </w:pPr>
      <w:bookmarkStart w:id="110" w:name="_Toc488498846"/>
      <w:bookmarkStart w:id="111" w:name="_Toc128392850"/>
      <w:bookmarkEnd w:id="2"/>
      <w:bookmarkEnd w:id="3"/>
      <w:bookmarkEnd w:id="4"/>
      <w:bookmarkEnd w:id="5"/>
      <w:bookmarkEnd w:id="6"/>
      <w:r w:rsidRPr="00B7255B">
        <w:t>Abbreviations, Terms and Definitions</w:t>
      </w:r>
      <w:bookmarkEnd w:id="110"/>
      <w:bookmarkEnd w:id="111"/>
    </w:p>
    <w:p w:rsidR="001313AD" w:rsidRDefault="001313AD" w:rsidP="00710F8D">
      <w:pPr>
        <w:pStyle w:val="AnnexH2"/>
      </w:pPr>
      <w:bookmarkStart w:id="112" w:name="_Toc498843319"/>
      <w:bookmarkStart w:id="113" w:name="_Toc505652266"/>
      <w:bookmarkStart w:id="114" w:name="_Toc394778368"/>
      <w:bookmarkStart w:id="115" w:name="_Toc488498847"/>
      <w:bookmarkStart w:id="116" w:name="_Toc128392851"/>
      <w:bookmarkEnd w:id="7"/>
      <w:bookmarkEnd w:id="8"/>
      <w:r w:rsidRPr="00B80FF6">
        <w:t>Abbreviations</w:t>
      </w:r>
      <w:bookmarkEnd w:id="112"/>
      <w:bookmarkEnd w:id="113"/>
      <w:bookmarkEnd w:id="114"/>
      <w:bookmarkEnd w:id="115"/>
      <w:r w:rsidR="00D41F1F">
        <w:t xml:space="preserve"> and Acronyms</w:t>
      </w:r>
      <w:bookmarkEnd w:id="11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17" w:name="_Toc488498848"/>
      <w:bookmarkStart w:id="118" w:name="_Toc128392852"/>
      <w:r>
        <w:t>Terms and Definitions</w:t>
      </w:r>
      <w:bookmarkEnd w:id="117"/>
      <w:bookmarkEnd w:id="11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A4064C">
        <w:rPr>
          <w:rFonts w:asciiTheme="minorHAnsi" w:hAnsiTheme="minorHAnsi" w:cstheme="minorHAnsi"/>
          <w:snapToGrid w:val="0"/>
        </w:rPr>
        <w:t>a</w:t>
      </w:r>
      <w:bookmarkStart w:id="119" w:name="_GoBack"/>
      <w:bookmarkEnd w:id="119"/>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BE0" w:rsidRDefault="00805BE0" w:rsidP="000C56A7">
      <w:pPr>
        <w:spacing w:after="0" w:line="240" w:lineRule="auto"/>
      </w:pPr>
      <w:r>
        <w:separator/>
      </w:r>
    </w:p>
  </w:endnote>
  <w:endnote w:type="continuationSeparator" w:id="0">
    <w:p w:rsidR="00805BE0" w:rsidRDefault="00805BE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56D" w:rsidRDefault="0032356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2356D" w:rsidRPr="00CB4B80" w:rsidRDefault="0032356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BE0" w:rsidRDefault="00805BE0" w:rsidP="000C56A7">
      <w:pPr>
        <w:spacing w:after="0" w:line="240" w:lineRule="auto"/>
      </w:pPr>
      <w:r>
        <w:separator/>
      </w:r>
    </w:p>
  </w:footnote>
  <w:footnote w:type="continuationSeparator" w:id="0">
    <w:p w:rsidR="00805BE0" w:rsidRDefault="00805BE0" w:rsidP="000C56A7">
      <w:pPr>
        <w:spacing w:after="0" w:line="240" w:lineRule="auto"/>
      </w:pPr>
      <w:r>
        <w:continuationSeparator/>
      </w:r>
    </w:p>
  </w:footnote>
  <w:footnote w:id="1">
    <w:p w:rsidR="0032356D" w:rsidRPr="00A21FCD" w:rsidRDefault="0032356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2356D" w:rsidRDefault="0032356D" w:rsidP="009F515B">
      <w:pPr>
        <w:pStyle w:val="FootnoteText"/>
      </w:pPr>
    </w:p>
    <w:p w:rsidR="0032356D" w:rsidRDefault="0032356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56D" w:rsidRPr="00F37BD6" w:rsidRDefault="0032356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4"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48"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3"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4"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2"/>
  </w:num>
  <w:num w:numId="2">
    <w:abstractNumId w:val="10"/>
  </w:num>
  <w:num w:numId="3">
    <w:abstractNumId w:val="0"/>
  </w:num>
  <w:num w:numId="4">
    <w:abstractNumId w:val="11"/>
  </w:num>
  <w:num w:numId="5">
    <w:abstractNumId w:val="95"/>
  </w:num>
  <w:num w:numId="6">
    <w:abstractNumId w:val="7"/>
  </w:num>
  <w:num w:numId="7">
    <w:abstractNumId w:val="30"/>
  </w:num>
  <w:num w:numId="8">
    <w:abstractNumId w:val="47"/>
  </w:num>
  <w:num w:numId="9">
    <w:abstractNumId w:val="18"/>
  </w:num>
  <w:num w:numId="10">
    <w:abstractNumId w:val="43"/>
  </w:num>
  <w:num w:numId="11">
    <w:abstractNumId w:val="91"/>
  </w:num>
  <w:num w:numId="12">
    <w:abstractNumId w:val="73"/>
  </w:num>
  <w:num w:numId="13">
    <w:abstractNumId w:val="71"/>
  </w:num>
  <w:num w:numId="14">
    <w:abstractNumId w:val="42"/>
  </w:num>
  <w:num w:numId="15">
    <w:abstractNumId w:val="61"/>
  </w:num>
  <w:num w:numId="16">
    <w:abstractNumId w:val="68"/>
  </w:num>
  <w:num w:numId="17">
    <w:abstractNumId w:val="17"/>
  </w:num>
  <w:num w:numId="18">
    <w:abstractNumId w:val="29"/>
  </w:num>
  <w:num w:numId="19">
    <w:abstractNumId w:val="35"/>
  </w:num>
  <w:num w:numId="20">
    <w:abstractNumId w:val="28"/>
  </w:num>
  <w:num w:numId="21">
    <w:abstractNumId w:val="87"/>
  </w:num>
  <w:num w:numId="22">
    <w:abstractNumId w:val="78"/>
  </w:num>
  <w:num w:numId="23">
    <w:abstractNumId w:val="60"/>
  </w:num>
  <w:num w:numId="24">
    <w:abstractNumId w:val="55"/>
  </w:num>
  <w:num w:numId="25">
    <w:abstractNumId w:val="12"/>
  </w:num>
  <w:num w:numId="26">
    <w:abstractNumId w:val="86"/>
  </w:num>
  <w:num w:numId="27">
    <w:abstractNumId w:val="66"/>
  </w:num>
  <w:num w:numId="28">
    <w:abstractNumId w:val="15"/>
  </w:num>
  <w:num w:numId="29">
    <w:abstractNumId w:val="67"/>
  </w:num>
  <w:num w:numId="30">
    <w:abstractNumId w:val="26"/>
  </w:num>
  <w:num w:numId="31">
    <w:abstractNumId w:val="53"/>
  </w:num>
  <w:num w:numId="32">
    <w:abstractNumId w:val="57"/>
  </w:num>
  <w:num w:numId="33">
    <w:abstractNumId w:val="5"/>
  </w:num>
  <w:num w:numId="34">
    <w:abstractNumId w:val="93"/>
  </w:num>
  <w:num w:numId="35">
    <w:abstractNumId w:val="38"/>
  </w:num>
  <w:num w:numId="36">
    <w:abstractNumId w:val="34"/>
  </w:num>
  <w:num w:numId="37">
    <w:abstractNumId w:val="27"/>
  </w:num>
  <w:num w:numId="38">
    <w:abstractNumId w:val="3"/>
  </w:num>
  <w:num w:numId="39">
    <w:abstractNumId w:val="46"/>
  </w:num>
  <w:num w:numId="40">
    <w:abstractNumId w:val="6"/>
  </w:num>
  <w:num w:numId="41">
    <w:abstractNumId w:val="13"/>
  </w:num>
  <w:num w:numId="42">
    <w:abstractNumId w:val="8"/>
  </w:num>
  <w:num w:numId="43">
    <w:abstractNumId w:val="70"/>
  </w:num>
  <w:num w:numId="44">
    <w:abstractNumId w:val="85"/>
  </w:num>
  <w:num w:numId="45">
    <w:abstractNumId w:val="4"/>
  </w:num>
  <w:num w:numId="46">
    <w:abstractNumId w:val="80"/>
  </w:num>
  <w:num w:numId="47">
    <w:abstractNumId w:val="14"/>
  </w:num>
  <w:num w:numId="48">
    <w:abstractNumId w:val="49"/>
  </w:num>
  <w:num w:numId="49">
    <w:abstractNumId w:val="33"/>
  </w:num>
  <w:num w:numId="50">
    <w:abstractNumId w:val="25"/>
  </w:num>
  <w:num w:numId="51">
    <w:abstractNumId w:val="24"/>
  </w:num>
  <w:num w:numId="52">
    <w:abstractNumId w:val="44"/>
  </w:num>
  <w:num w:numId="53">
    <w:abstractNumId w:val="40"/>
  </w:num>
  <w:num w:numId="54">
    <w:abstractNumId w:val="88"/>
  </w:num>
  <w:num w:numId="55">
    <w:abstractNumId w:val="72"/>
  </w:num>
  <w:num w:numId="56">
    <w:abstractNumId w:val="64"/>
  </w:num>
  <w:num w:numId="57">
    <w:abstractNumId w:val="79"/>
  </w:num>
  <w:num w:numId="58">
    <w:abstractNumId w:val="74"/>
  </w:num>
  <w:num w:numId="59">
    <w:abstractNumId w:val="58"/>
  </w:num>
  <w:num w:numId="60">
    <w:abstractNumId w:val="48"/>
  </w:num>
  <w:num w:numId="61">
    <w:abstractNumId w:val="56"/>
  </w:num>
  <w:num w:numId="62">
    <w:abstractNumId w:val="77"/>
  </w:num>
  <w:num w:numId="63">
    <w:abstractNumId w:val="89"/>
  </w:num>
  <w:num w:numId="64">
    <w:abstractNumId w:val="39"/>
  </w:num>
  <w:num w:numId="65">
    <w:abstractNumId w:val="83"/>
  </w:num>
  <w:num w:numId="66">
    <w:abstractNumId w:val="81"/>
  </w:num>
  <w:num w:numId="67">
    <w:abstractNumId w:val="16"/>
  </w:num>
  <w:num w:numId="68">
    <w:abstractNumId w:val="63"/>
  </w:num>
  <w:num w:numId="69">
    <w:abstractNumId w:val="54"/>
  </w:num>
  <w:num w:numId="70">
    <w:abstractNumId w:val="94"/>
  </w:num>
  <w:num w:numId="71">
    <w:abstractNumId w:val="37"/>
  </w:num>
  <w:num w:numId="72">
    <w:abstractNumId w:val="23"/>
  </w:num>
  <w:num w:numId="73">
    <w:abstractNumId w:val="52"/>
  </w:num>
  <w:num w:numId="74">
    <w:abstractNumId w:val="2"/>
  </w:num>
  <w:num w:numId="75">
    <w:abstractNumId w:val="84"/>
  </w:num>
  <w:num w:numId="76">
    <w:abstractNumId w:val="31"/>
  </w:num>
  <w:num w:numId="77">
    <w:abstractNumId w:val="22"/>
  </w:num>
  <w:num w:numId="78">
    <w:abstractNumId w:val="65"/>
  </w:num>
  <w:num w:numId="79">
    <w:abstractNumId w:val="19"/>
  </w:num>
  <w:num w:numId="80">
    <w:abstractNumId w:val="36"/>
  </w:num>
  <w:num w:numId="81">
    <w:abstractNumId w:val="21"/>
  </w:num>
  <w:num w:numId="82">
    <w:abstractNumId w:val="76"/>
  </w:num>
  <w:num w:numId="83">
    <w:abstractNumId w:val="92"/>
  </w:num>
  <w:num w:numId="84">
    <w:abstractNumId w:val="90"/>
  </w:num>
  <w:num w:numId="85">
    <w:abstractNumId w:val="20"/>
  </w:num>
  <w:num w:numId="86">
    <w:abstractNumId w:val="9"/>
  </w:num>
  <w:num w:numId="87">
    <w:abstractNumId w:val="82"/>
  </w:num>
  <w:num w:numId="88">
    <w:abstractNumId w:val="75"/>
  </w:num>
  <w:num w:numId="89">
    <w:abstractNumId w:val="59"/>
  </w:num>
  <w:num w:numId="90">
    <w:abstractNumId w:val="1"/>
  </w:num>
  <w:num w:numId="91">
    <w:abstractNumId w:val="51"/>
  </w:num>
  <w:num w:numId="92">
    <w:abstractNumId w:val="32"/>
  </w:num>
  <w:num w:numId="93">
    <w:abstractNumId w:val="45"/>
  </w:num>
  <w:num w:numId="94">
    <w:abstractNumId w:val="69"/>
  </w:num>
  <w:num w:numId="95">
    <w:abstractNumId w:val="5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7504"/>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69BA"/>
    <w:rsid w:val="00227CFB"/>
    <w:rsid w:val="00257E51"/>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E7448"/>
    <w:rsid w:val="00302F45"/>
    <w:rsid w:val="00312B9B"/>
    <w:rsid w:val="003210AE"/>
    <w:rsid w:val="0032356D"/>
    <w:rsid w:val="003238E8"/>
    <w:rsid w:val="003531F7"/>
    <w:rsid w:val="00355E9B"/>
    <w:rsid w:val="0036296B"/>
    <w:rsid w:val="0036570B"/>
    <w:rsid w:val="003672E8"/>
    <w:rsid w:val="00381611"/>
    <w:rsid w:val="003B190C"/>
    <w:rsid w:val="003C12EB"/>
    <w:rsid w:val="003C2D74"/>
    <w:rsid w:val="003C58AF"/>
    <w:rsid w:val="003D0BE9"/>
    <w:rsid w:val="003D5A19"/>
    <w:rsid w:val="003E0A27"/>
    <w:rsid w:val="003E54A0"/>
    <w:rsid w:val="003F762F"/>
    <w:rsid w:val="003F7BFE"/>
    <w:rsid w:val="00400714"/>
    <w:rsid w:val="0040563F"/>
    <w:rsid w:val="00407090"/>
    <w:rsid w:val="0042144E"/>
    <w:rsid w:val="00423854"/>
    <w:rsid w:val="00432E70"/>
    <w:rsid w:val="004419A0"/>
    <w:rsid w:val="004452B2"/>
    <w:rsid w:val="00445B91"/>
    <w:rsid w:val="004533CB"/>
    <w:rsid w:val="00453E9D"/>
    <w:rsid w:val="004553A5"/>
    <w:rsid w:val="00471487"/>
    <w:rsid w:val="004814E8"/>
    <w:rsid w:val="0048160C"/>
    <w:rsid w:val="00481F91"/>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22921"/>
    <w:rsid w:val="00625CDD"/>
    <w:rsid w:val="00634C43"/>
    <w:rsid w:val="006374D3"/>
    <w:rsid w:val="00641D13"/>
    <w:rsid w:val="0064528D"/>
    <w:rsid w:val="00646787"/>
    <w:rsid w:val="00655805"/>
    <w:rsid w:val="00656073"/>
    <w:rsid w:val="0068658C"/>
    <w:rsid w:val="006875BE"/>
    <w:rsid w:val="006A4C28"/>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57D3C"/>
    <w:rsid w:val="00760521"/>
    <w:rsid w:val="0076701F"/>
    <w:rsid w:val="007750E3"/>
    <w:rsid w:val="00786C19"/>
    <w:rsid w:val="00791129"/>
    <w:rsid w:val="00792D4C"/>
    <w:rsid w:val="007A76D4"/>
    <w:rsid w:val="007B3879"/>
    <w:rsid w:val="007B689E"/>
    <w:rsid w:val="007C59A9"/>
    <w:rsid w:val="007C6533"/>
    <w:rsid w:val="007D6919"/>
    <w:rsid w:val="007E0070"/>
    <w:rsid w:val="007E6FC0"/>
    <w:rsid w:val="007F2F8F"/>
    <w:rsid w:val="00805BE0"/>
    <w:rsid w:val="00805BE2"/>
    <w:rsid w:val="00820499"/>
    <w:rsid w:val="00820BBC"/>
    <w:rsid w:val="0083551A"/>
    <w:rsid w:val="00837D22"/>
    <w:rsid w:val="00840E16"/>
    <w:rsid w:val="00842404"/>
    <w:rsid w:val="0086160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4C"/>
    <w:rsid w:val="00A406DF"/>
    <w:rsid w:val="00A44D99"/>
    <w:rsid w:val="00A56683"/>
    <w:rsid w:val="00A651AE"/>
    <w:rsid w:val="00A7704A"/>
    <w:rsid w:val="00A87B4D"/>
    <w:rsid w:val="00A90C74"/>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82DC8"/>
    <w:rsid w:val="00B9152C"/>
    <w:rsid w:val="00BA256A"/>
    <w:rsid w:val="00BA276C"/>
    <w:rsid w:val="00BA33F1"/>
    <w:rsid w:val="00BB048D"/>
    <w:rsid w:val="00BB365B"/>
    <w:rsid w:val="00BC35B1"/>
    <w:rsid w:val="00BD6091"/>
    <w:rsid w:val="00BE50C6"/>
    <w:rsid w:val="00BF6DEC"/>
    <w:rsid w:val="00C026C6"/>
    <w:rsid w:val="00C0619F"/>
    <w:rsid w:val="00C15393"/>
    <w:rsid w:val="00C20D74"/>
    <w:rsid w:val="00C2646C"/>
    <w:rsid w:val="00C3041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3F26"/>
    <w:rsid w:val="00D35D88"/>
    <w:rsid w:val="00D41F1F"/>
    <w:rsid w:val="00D42328"/>
    <w:rsid w:val="00D44BDF"/>
    <w:rsid w:val="00D51798"/>
    <w:rsid w:val="00D61DC6"/>
    <w:rsid w:val="00D6227C"/>
    <w:rsid w:val="00D64DC3"/>
    <w:rsid w:val="00D730BF"/>
    <w:rsid w:val="00D7773B"/>
    <w:rsid w:val="00D80519"/>
    <w:rsid w:val="00D80938"/>
    <w:rsid w:val="00D92412"/>
    <w:rsid w:val="00D94A2E"/>
    <w:rsid w:val="00DA2545"/>
    <w:rsid w:val="00DC2B91"/>
    <w:rsid w:val="00DC36C3"/>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300AB"/>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A6A84"/>
    <w:rsid w:val="00EA7FD9"/>
    <w:rsid w:val="00EB29DD"/>
    <w:rsid w:val="00EB2C53"/>
    <w:rsid w:val="00EB4B6A"/>
    <w:rsid w:val="00EC49AA"/>
    <w:rsid w:val="00EC6F7C"/>
    <w:rsid w:val="00EE5364"/>
    <w:rsid w:val="00EE5BC5"/>
    <w:rsid w:val="00EE7571"/>
    <w:rsid w:val="00EF6482"/>
    <w:rsid w:val="00F111A0"/>
    <w:rsid w:val="00F11E46"/>
    <w:rsid w:val="00F15602"/>
    <w:rsid w:val="00F17892"/>
    <w:rsid w:val="00F2293B"/>
    <w:rsid w:val="00F34F50"/>
    <w:rsid w:val="00F37BD6"/>
    <w:rsid w:val="00F41519"/>
    <w:rsid w:val="00F54CE2"/>
    <w:rsid w:val="00F551EA"/>
    <w:rsid w:val="00F57298"/>
    <w:rsid w:val="00F61C86"/>
    <w:rsid w:val="00F6669C"/>
    <w:rsid w:val="00F70A16"/>
    <w:rsid w:val="00F73867"/>
    <w:rsid w:val="00F77F1B"/>
    <w:rsid w:val="00F91DE2"/>
    <w:rsid w:val="00F951FD"/>
    <w:rsid w:val="00FA3847"/>
    <w:rsid w:val="00FA6CF6"/>
    <w:rsid w:val="00FC2616"/>
    <w:rsid w:val="00FC5021"/>
    <w:rsid w:val="00FC576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03A1F"/>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M5ZDA3MzQtMWQ1Ny00NjFiLWJmY2EtNzM4YTVkNWY5MjM5%40thread.v2/0?context=%7b%22Tid%22%3a%2248cd5724-88c7-48c3-a665-945436edd7fc%22%2c%22Oid%22%3a%223817e3e4-4f27-4913-8086-645157349ed5%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sipho.moya@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sipho.moya@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1E0EAF"/>
    <w:rsid w:val="00312AE0"/>
    <w:rsid w:val="00392163"/>
    <w:rsid w:val="00393E6D"/>
    <w:rsid w:val="00880B42"/>
    <w:rsid w:val="009B09E3"/>
    <w:rsid w:val="00A022CE"/>
    <w:rsid w:val="00A512CC"/>
    <w:rsid w:val="00C711A2"/>
    <w:rsid w:val="00EA11BD"/>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76AB2E9-3A09-4DB6-9FC2-5AF43441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TotalTime>
  <Pages>33</Pages>
  <Words>12084</Words>
  <Characters>68882</Characters>
  <Application>Microsoft Office Word</Application>
  <DocSecurity>0</DocSecurity>
  <Lines>574</Lines>
  <Paragraphs>161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BIDDER CERTIFICATION/ AFFILIATION REQUIREMENTS </vt:lpstr>
      <vt:lpstr>The bidder’s company must be registered with Physical Security Industry Regulato</vt:lpstr>
      <vt:lpstr>The company director(s) must be registered with Physical Security Industry Regul</vt:lpstr>
      <vt:lpstr>The bidder must provide a letter of good standing from Department of Labour or a</vt:lpstr>
      <vt:lpstr>LEGISLATIVE REQUIREMENTS Bidders must comply with Sectoral Determination 6 in th</vt:lpstr>
      <vt:lpstr>BIDDER EXPERIENCE AND CAPABILITY REQUIREMENTS The bidder must have provided Phys</vt:lpstr>
      <vt:lpstr>The Bidder must provide in Annex A reference details from at least one (1) custo</vt:lpstr>
      <vt:lpstr>Special Conditions of Contract</vt:lpstr>
      <vt:lpstr>Valid B-BBEE certificate/ Sworn Affidavit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vector>
  </TitlesOfParts>
  <Company>SITA</Company>
  <LinksUpToDate>false</LinksUpToDate>
  <CharactersWithSpaces>80805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Nosipho Moya</cp:lastModifiedBy>
  <cp:revision>2</cp:revision>
  <cp:lastPrinted>2017-11-22T15:08:00Z</cp:lastPrinted>
  <dcterms:created xsi:type="dcterms:W3CDTF">2023-09-19T07:12:00Z</dcterms:created>
  <dcterms:modified xsi:type="dcterms:W3CDTF">2023-09-19T07:12:00Z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