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EC26" w14:textId="31A934FE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4362D3CF" w14:textId="77777777" w:rsidR="005F49E9" w:rsidRDefault="005F49E9" w:rsidP="003A45B0">
      <w:pPr>
        <w:rPr>
          <w:rFonts w:ascii="Arial" w:hAnsi="Arial" w:cs="Arial"/>
          <w:sz w:val="20"/>
          <w:szCs w:val="20"/>
        </w:rPr>
      </w:pPr>
    </w:p>
    <w:p w14:paraId="15E6CBB0" w14:textId="1FF742E5" w:rsidR="007B5E82" w:rsidRPr="008D0EBB" w:rsidRDefault="00E25F08" w:rsidP="008D0EBB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690DA391" wp14:editId="4B48F34D">
            <wp:extent cx="4267200" cy="1247775"/>
            <wp:effectExtent l="0" t="0" r="0" b="9525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54BB" w14:textId="48360C72" w:rsidR="00DB39D8" w:rsidRPr="00E06F8E" w:rsidRDefault="00AA57CE" w:rsidP="006C485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APPOINTMENT OF </w:t>
      </w:r>
      <w:r w:rsidR="00E5477F">
        <w:rPr>
          <w:rFonts w:ascii="Arial" w:hAnsi="Arial" w:cs="Arial"/>
          <w:b/>
          <w:sz w:val="20"/>
          <w:szCs w:val="20"/>
        </w:rPr>
        <w:t>A SERVICE PROVIDER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43CDD">
        <w:rPr>
          <w:rFonts w:ascii="Arial" w:hAnsi="Arial" w:cs="Arial"/>
          <w:b/>
          <w:sz w:val="20"/>
          <w:szCs w:val="20"/>
        </w:rPr>
        <w:t>TO RENDER INSURANCE SERVICE FOR THE</w:t>
      </w:r>
      <w:r>
        <w:rPr>
          <w:rFonts w:ascii="Arial" w:hAnsi="Arial" w:cs="Arial"/>
          <w:b/>
          <w:sz w:val="20"/>
          <w:szCs w:val="20"/>
        </w:rPr>
        <w:t xml:space="preserve"> KWAZULU-NATAL SHARKS BOARD MARITIME CENTRE OF EXCELLENCE</w:t>
      </w:r>
      <w:r w:rsidR="00F43CDD">
        <w:rPr>
          <w:rFonts w:ascii="Arial" w:hAnsi="Arial" w:cs="Arial"/>
          <w:b/>
          <w:sz w:val="20"/>
          <w:szCs w:val="20"/>
        </w:rPr>
        <w:t xml:space="preserve"> FOR A PERIOD OF THREE (3) YEARS.</w:t>
      </w:r>
    </w:p>
    <w:p w14:paraId="1811729C" w14:textId="77777777" w:rsidR="00DB39D8" w:rsidRPr="00E06F8E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06F8E">
        <w:rPr>
          <w:rFonts w:ascii="Arial" w:eastAsia="Calibri" w:hAnsi="Arial" w:cs="Arial"/>
          <w:b/>
          <w:sz w:val="20"/>
          <w:szCs w:val="20"/>
          <w:lang w:val="en-US"/>
        </w:rPr>
        <w:t>Notification of Tender</w:t>
      </w:r>
    </w:p>
    <w:p w14:paraId="70669AFE" w14:textId="77777777" w:rsidR="000F3CEE" w:rsidRPr="00E82873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The KwaZulu-Natal Sharks Board </w:t>
      </w:r>
      <w:r w:rsidR="00AA57CE" w:rsidRPr="00E82873">
        <w:rPr>
          <w:rFonts w:ascii="Arial" w:eastAsia="Calibri" w:hAnsi="Arial" w:cs="Arial"/>
          <w:sz w:val="20"/>
          <w:szCs w:val="20"/>
          <w:lang w:val="en-US"/>
        </w:rPr>
        <w:t xml:space="preserve">Maritime Centre of Excellence </w:t>
      </w:r>
      <w:r w:rsidRPr="00E82873">
        <w:rPr>
          <w:rFonts w:ascii="Arial" w:eastAsia="Calibri" w:hAnsi="Arial" w:cs="Arial"/>
          <w:sz w:val="20"/>
          <w:szCs w:val="20"/>
          <w:lang w:val="en-US"/>
        </w:rPr>
        <w:t>invites tenders for the following: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1701"/>
        <w:gridCol w:w="1842"/>
        <w:gridCol w:w="993"/>
      </w:tblGrid>
      <w:tr w:rsidR="00205EFB" w:rsidRPr="00E82873" w14:paraId="3B74E0B9" w14:textId="77777777" w:rsidTr="00534BBD">
        <w:trPr>
          <w:trHeight w:val="586"/>
        </w:trPr>
        <w:tc>
          <w:tcPr>
            <w:tcW w:w="3402" w:type="dxa"/>
          </w:tcPr>
          <w:p w14:paraId="2B54F7B0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127" w:type="dxa"/>
          </w:tcPr>
          <w:p w14:paraId="75AEE6B0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No.</w:t>
            </w:r>
          </w:p>
        </w:tc>
        <w:tc>
          <w:tcPr>
            <w:tcW w:w="1701" w:type="dxa"/>
          </w:tcPr>
          <w:p w14:paraId="51D4E047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Compulsory Briefing Date</w:t>
            </w:r>
          </w:p>
        </w:tc>
        <w:tc>
          <w:tcPr>
            <w:tcW w:w="1842" w:type="dxa"/>
          </w:tcPr>
          <w:p w14:paraId="6EACE4D3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Closing Date</w:t>
            </w:r>
          </w:p>
        </w:tc>
        <w:tc>
          <w:tcPr>
            <w:tcW w:w="993" w:type="dxa"/>
            <w:shd w:val="clear" w:color="auto" w:fill="auto"/>
          </w:tcPr>
          <w:p w14:paraId="79D3551B" w14:textId="77777777" w:rsidR="00205EFB" w:rsidRPr="00E82873" w:rsidRDefault="00773D84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Tender Closing Time</w:t>
            </w:r>
          </w:p>
        </w:tc>
      </w:tr>
      <w:tr w:rsidR="00205EFB" w:rsidRPr="00E82873" w14:paraId="20CCAEF7" w14:textId="77777777" w:rsidTr="00534BBD">
        <w:trPr>
          <w:trHeight w:val="728"/>
        </w:trPr>
        <w:tc>
          <w:tcPr>
            <w:tcW w:w="3402" w:type="dxa"/>
          </w:tcPr>
          <w:p w14:paraId="0DDDF30D" w14:textId="639A5EB9" w:rsidR="000F3CEE" w:rsidRPr="00E82873" w:rsidRDefault="00F43CDD" w:rsidP="003D378A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Insurance service for a period of three (3) years</w:t>
            </w:r>
            <w:r w:rsidR="00AA57CE" w:rsidRPr="00E8287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5959E6F9" w14:textId="77777777" w:rsidR="00086BF3" w:rsidRPr="00E82873" w:rsidRDefault="00086BF3" w:rsidP="003D378A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  <w:p w14:paraId="16C1E509" w14:textId="504B28D0" w:rsidR="00A676F0" w:rsidRPr="00E82873" w:rsidRDefault="00A676F0" w:rsidP="003D378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Evaluation will be on functionality and </w:t>
            </w:r>
            <w:r w:rsidR="007B5E82"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80/20-</w:t>
            </w:r>
            <w:r w:rsidR="00F43CD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specific goal s</w:t>
            </w:r>
            <w:r w:rsidRPr="00E8287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ystem.</w:t>
            </w:r>
          </w:p>
        </w:tc>
        <w:tc>
          <w:tcPr>
            <w:tcW w:w="2127" w:type="dxa"/>
          </w:tcPr>
          <w:p w14:paraId="277C3D4C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4485AD5" w14:textId="1E63B607" w:rsidR="000F3CEE" w:rsidRPr="00E82873" w:rsidRDefault="00AA57C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ZNT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  <w:r w:rsidR="00F43CDD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/</w:t>
            </w:r>
            <w:r w:rsidR="000F72D9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  <w:r w:rsidR="00F43CDD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KZNSB0</w:t>
            </w:r>
            <w:r w:rsidR="00F43CDD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46D18F7F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07AC71D" w14:textId="78CBBEC6" w:rsidR="000F3CEE" w:rsidRPr="00E82873" w:rsidRDefault="00534BBD" w:rsidP="00AA57CE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25</w:t>
            </w:r>
            <w:r w:rsidR="000F72D9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January 2024</w:t>
            </w:r>
          </w:p>
        </w:tc>
        <w:tc>
          <w:tcPr>
            <w:tcW w:w="1842" w:type="dxa"/>
          </w:tcPr>
          <w:p w14:paraId="3135846B" w14:textId="77777777" w:rsidR="000F3CEE" w:rsidRPr="00E82873" w:rsidRDefault="000F3CEE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D25D176" w14:textId="47FAAE51" w:rsidR="000F3CEE" w:rsidRPr="00E82873" w:rsidRDefault="00534BBD" w:rsidP="00F85A19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09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9C4984">
              <w:rPr>
                <w:rFonts w:ascii="Arial" w:eastAsia="Calibri" w:hAnsi="Arial" w:cs="Arial"/>
                <w:sz w:val="20"/>
                <w:szCs w:val="20"/>
                <w:lang w:val="en-US"/>
              </w:rPr>
              <w:t>February</w:t>
            </w:r>
            <w:r w:rsidR="00086BF3"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5EE19ED7" w14:textId="77777777" w:rsidR="00205EFB" w:rsidRPr="00E82873" w:rsidRDefault="00205EFB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0978B6E" w14:textId="77777777" w:rsidR="00773D84" w:rsidRPr="00E82873" w:rsidRDefault="00773D84" w:rsidP="003D378A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82873">
              <w:rPr>
                <w:rFonts w:ascii="Arial" w:eastAsia="Calibri" w:hAnsi="Arial" w:cs="Arial"/>
                <w:sz w:val="20"/>
                <w:szCs w:val="20"/>
                <w:lang w:val="en-US"/>
              </w:rPr>
              <w:t>11h00</w:t>
            </w:r>
          </w:p>
        </w:tc>
      </w:tr>
    </w:tbl>
    <w:p w14:paraId="0CCF180D" w14:textId="7A0A9A24" w:rsidR="00FE0C0D" w:rsidRPr="0002529E" w:rsidRDefault="00773D84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02529E">
        <w:rPr>
          <w:rFonts w:ascii="Arial" w:eastAsia="Calibri" w:hAnsi="Arial" w:cs="Arial"/>
          <w:sz w:val="20"/>
          <w:szCs w:val="20"/>
          <w:lang w:val="en-US"/>
        </w:rPr>
        <w:t xml:space="preserve">A compulsory briefing session with the representatives of the KwaZulu-Natal Sharks Board will </w:t>
      </w:r>
      <w:r w:rsidR="0084367A" w:rsidRPr="0002529E">
        <w:rPr>
          <w:rFonts w:ascii="Arial" w:eastAsia="Calibri" w:hAnsi="Arial" w:cs="Arial"/>
          <w:sz w:val="20"/>
          <w:szCs w:val="20"/>
          <w:lang w:val="en-US"/>
        </w:rPr>
        <w:t xml:space="preserve">take place at the Board Room, 1a </w:t>
      </w:r>
      <w:proofErr w:type="spellStart"/>
      <w:r w:rsidR="0084367A" w:rsidRPr="0002529E">
        <w:rPr>
          <w:rFonts w:ascii="Arial" w:eastAsia="Calibri" w:hAnsi="Arial" w:cs="Arial"/>
          <w:sz w:val="20"/>
          <w:szCs w:val="20"/>
          <w:lang w:val="en-US"/>
        </w:rPr>
        <w:t>Herrwood</w:t>
      </w:r>
      <w:proofErr w:type="spellEnd"/>
      <w:r w:rsidR="0084367A" w:rsidRPr="0002529E">
        <w:rPr>
          <w:rFonts w:ascii="Arial" w:eastAsia="Calibri" w:hAnsi="Arial" w:cs="Arial"/>
          <w:sz w:val="20"/>
          <w:szCs w:val="20"/>
          <w:lang w:val="en-US"/>
        </w:rPr>
        <w:t xml:space="preserve"> Drive </w:t>
      </w:r>
      <w:proofErr w:type="spellStart"/>
      <w:r w:rsidR="0084367A" w:rsidRPr="0002529E">
        <w:rPr>
          <w:rFonts w:ascii="Arial" w:eastAsia="Calibri" w:hAnsi="Arial" w:cs="Arial"/>
          <w:sz w:val="20"/>
          <w:szCs w:val="20"/>
          <w:lang w:val="en-US"/>
        </w:rPr>
        <w:t>uMhlanga</w:t>
      </w:r>
      <w:proofErr w:type="spellEnd"/>
      <w:r w:rsidR="0084367A" w:rsidRPr="0002529E">
        <w:rPr>
          <w:rFonts w:ascii="Arial" w:eastAsia="Calibri" w:hAnsi="Arial" w:cs="Arial"/>
          <w:sz w:val="20"/>
          <w:szCs w:val="20"/>
          <w:lang w:val="en-US"/>
        </w:rPr>
        <w:t xml:space="preserve"> Rocks at 11:00 am.</w:t>
      </w:r>
    </w:p>
    <w:p w14:paraId="124EB9E1" w14:textId="01E201D8" w:rsidR="006C4857" w:rsidRPr="0002529E" w:rsidRDefault="00632174" w:rsidP="00196E8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Proof of registration with Central Supplier Database (CSD).</w:t>
      </w:r>
    </w:p>
    <w:p w14:paraId="07910E36" w14:textId="77777777" w:rsidR="00534BBD" w:rsidRPr="0002529E" w:rsidRDefault="00534BBD" w:rsidP="00534B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Copy of company registration certificate.</w:t>
      </w:r>
    </w:p>
    <w:p w14:paraId="4405F573" w14:textId="77777777" w:rsidR="00534BBD" w:rsidRPr="0002529E" w:rsidRDefault="00534BBD" w:rsidP="00534B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Valid Operating Financial Services Board licence.</w:t>
      </w:r>
    </w:p>
    <w:p w14:paraId="0BDF6068" w14:textId="77777777" w:rsidR="00534BBD" w:rsidRPr="0002529E" w:rsidRDefault="00534BBD" w:rsidP="00534B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Valid Certificate of professional indemnity insurance (minimum of R100 million).</w:t>
      </w:r>
    </w:p>
    <w:p w14:paraId="77A5407C" w14:textId="77777777" w:rsidR="00534BBD" w:rsidRPr="0002529E" w:rsidRDefault="00534BBD" w:rsidP="00534B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Valid Financial Advisory and Intermediary Services (FAIS) compliance registration certificate (for both company and account manager).</w:t>
      </w:r>
    </w:p>
    <w:p w14:paraId="2D85F83D" w14:textId="6A68BF22" w:rsidR="00534BBD" w:rsidRPr="0002529E" w:rsidRDefault="00534BBD" w:rsidP="00534B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2529E">
        <w:rPr>
          <w:rFonts w:ascii="Arial" w:hAnsi="Arial" w:cs="Arial"/>
          <w:sz w:val="20"/>
        </w:rPr>
        <w:t>Latest audited Financial Statements.</w:t>
      </w:r>
    </w:p>
    <w:p w14:paraId="7FDA5534" w14:textId="6DB9A3AB" w:rsidR="0006427C" w:rsidRPr="00E82873" w:rsidRDefault="00FE0C0D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All Supply Chain Management inquiries must be addressed 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>to M</w:t>
      </w:r>
      <w:r w:rsidR="00D35EAB">
        <w:rPr>
          <w:rFonts w:ascii="Arial" w:eastAsia="Calibri" w:hAnsi="Arial" w:cs="Arial"/>
          <w:sz w:val="20"/>
          <w:szCs w:val="20"/>
          <w:lang w:val="en-US"/>
        </w:rPr>
        <w:t>i</w:t>
      </w:r>
      <w:r w:rsidR="00534BBD">
        <w:rPr>
          <w:rFonts w:ascii="Arial" w:eastAsia="Calibri" w:hAnsi="Arial" w:cs="Arial"/>
          <w:sz w:val="20"/>
          <w:szCs w:val="20"/>
          <w:lang w:val="en-US"/>
        </w:rPr>
        <w:t>ss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534BBD">
        <w:rPr>
          <w:rFonts w:ascii="Arial" w:eastAsia="Calibri" w:hAnsi="Arial" w:cs="Arial"/>
          <w:sz w:val="20"/>
          <w:szCs w:val="20"/>
          <w:lang w:val="en-US"/>
        </w:rPr>
        <w:t>N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="00534BBD">
        <w:rPr>
          <w:rFonts w:ascii="Arial" w:eastAsia="Calibri" w:hAnsi="Arial" w:cs="Arial"/>
          <w:sz w:val="20"/>
          <w:szCs w:val="20"/>
          <w:lang w:val="en-US"/>
        </w:rPr>
        <w:t>Khumalo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on 031 566 04</w:t>
      </w:r>
      <w:r w:rsidR="00534BBD">
        <w:rPr>
          <w:rFonts w:ascii="Arial" w:eastAsia="Calibri" w:hAnsi="Arial" w:cs="Arial"/>
          <w:sz w:val="20"/>
          <w:szCs w:val="20"/>
          <w:lang w:val="en-US"/>
        </w:rPr>
        <w:t>88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E-mail: </w:t>
      </w:r>
      <w:hyperlink r:id="rId9" w:history="1">
        <w:r w:rsidR="00534BBD" w:rsidRPr="00363E2B">
          <w:rPr>
            <w:rStyle w:val="Hyperlink"/>
            <w:rFonts w:ascii="Arial" w:hAnsi="Arial" w:cs="Arial"/>
            <w:sz w:val="20"/>
            <w:szCs w:val="20"/>
          </w:rPr>
          <w:t>nonkululeko@shark.co.za</w:t>
        </w:r>
      </w:hyperlink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 xml:space="preserve"> and all Technical queries to </w:t>
      </w:r>
      <w:proofErr w:type="spellStart"/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>M</w:t>
      </w:r>
      <w:r w:rsidR="00534BBD">
        <w:rPr>
          <w:rFonts w:ascii="Arial" w:eastAsia="Calibri" w:hAnsi="Arial" w:cs="Arial"/>
          <w:sz w:val="20"/>
          <w:szCs w:val="20"/>
          <w:lang w:val="en-US"/>
        </w:rPr>
        <w:t>r</w:t>
      </w:r>
      <w:proofErr w:type="spellEnd"/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534BBD">
        <w:rPr>
          <w:rFonts w:ascii="Arial" w:eastAsia="Calibri" w:hAnsi="Arial" w:cs="Arial"/>
          <w:sz w:val="20"/>
          <w:szCs w:val="20"/>
          <w:lang w:val="en-US"/>
        </w:rPr>
        <w:t>S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="009C4984">
        <w:rPr>
          <w:rFonts w:ascii="Arial" w:eastAsia="Calibri" w:hAnsi="Arial" w:cs="Arial"/>
          <w:sz w:val="20"/>
          <w:szCs w:val="20"/>
          <w:lang w:val="en-US"/>
        </w:rPr>
        <w:t>M</w:t>
      </w:r>
      <w:r w:rsidR="00534BBD">
        <w:rPr>
          <w:rFonts w:ascii="Arial" w:eastAsia="Calibri" w:hAnsi="Arial" w:cs="Arial"/>
          <w:sz w:val="20"/>
          <w:szCs w:val="20"/>
          <w:lang w:val="en-US"/>
        </w:rPr>
        <w:t>zelemu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 xml:space="preserve"> on 031 566 </w:t>
      </w:r>
      <w:r w:rsidR="009C4984">
        <w:rPr>
          <w:rFonts w:ascii="Arial" w:eastAsia="Calibri" w:hAnsi="Arial" w:cs="Arial"/>
          <w:sz w:val="20"/>
          <w:szCs w:val="20"/>
          <w:lang w:val="en-US"/>
        </w:rPr>
        <w:t>04</w:t>
      </w:r>
      <w:r w:rsidR="00534BBD">
        <w:rPr>
          <w:rFonts w:ascii="Arial" w:eastAsia="Calibri" w:hAnsi="Arial" w:cs="Arial"/>
          <w:sz w:val="20"/>
          <w:szCs w:val="20"/>
          <w:lang w:val="en-US"/>
        </w:rPr>
        <w:t>22</w:t>
      </w:r>
      <w:r w:rsidR="003D378A" w:rsidRPr="00E82873">
        <w:rPr>
          <w:rFonts w:ascii="Arial" w:eastAsia="Calibri" w:hAnsi="Arial" w:cs="Arial"/>
          <w:sz w:val="20"/>
          <w:szCs w:val="20"/>
          <w:lang w:val="en-US"/>
        </w:rPr>
        <w:t xml:space="preserve"> E-</w:t>
      </w:r>
      <w:r w:rsidR="00E60D5D" w:rsidRPr="00E82873">
        <w:rPr>
          <w:rFonts w:ascii="Arial" w:eastAsia="Calibri" w:hAnsi="Arial" w:cs="Arial"/>
          <w:sz w:val="20"/>
          <w:szCs w:val="20"/>
          <w:lang w:val="en-US"/>
        </w:rPr>
        <w:t>mail:</w:t>
      </w:r>
      <w:r w:rsidR="003D378A" w:rsidRPr="00E82873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hyperlink r:id="rId10" w:history="1">
        <w:r w:rsidR="00534BBD" w:rsidRPr="00363E2B">
          <w:rPr>
            <w:rStyle w:val="Hyperlink"/>
            <w:rFonts w:ascii="Arial" w:hAnsi="Arial" w:cs="Arial"/>
            <w:sz w:val="20"/>
            <w:szCs w:val="20"/>
          </w:rPr>
          <w:t>mzelemu@shark.co.za</w:t>
        </w:r>
      </w:hyperlink>
      <w:r w:rsidR="00571282" w:rsidRPr="00E82873">
        <w:rPr>
          <w:rFonts w:ascii="Arial" w:hAnsi="Arial" w:cs="Arial"/>
          <w:color w:val="0070C0"/>
          <w:sz w:val="20"/>
          <w:szCs w:val="20"/>
          <w:lang w:val="en-US"/>
        </w:rPr>
        <w:t>.</w:t>
      </w:r>
    </w:p>
    <w:tbl>
      <w:tblPr>
        <w:tblpPr w:leftFromText="180" w:rightFromText="180" w:vertAnchor="text" w:horzAnchor="margin" w:tblpY="39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2836"/>
      </w:tblGrid>
      <w:tr w:rsidR="00534BBD" w:rsidRPr="00052D9F" w14:paraId="2B859CCD" w14:textId="77777777" w:rsidTr="00534BBD">
        <w:trPr>
          <w:trHeight w:val="69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</w:tcPr>
          <w:p w14:paraId="76D57EAD" w14:textId="77777777" w:rsidR="00534BBD" w:rsidRPr="00052D9F" w:rsidRDefault="00534BBD" w:rsidP="00534BBD">
            <w:pPr>
              <w:keepNext/>
              <w:snapToGrid w:val="0"/>
              <w:spacing w:before="100" w:after="100" w:line="312" w:lineRule="auto"/>
              <w:ind w:right="360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Criteria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9A902" w14:textId="77777777" w:rsidR="00534BBD" w:rsidRPr="00052D9F" w:rsidRDefault="00534BBD" w:rsidP="00534BBD">
            <w:pPr>
              <w:keepNext/>
              <w:spacing w:line="312" w:lineRule="auto"/>
              <w:jc w:val="both"/>
              <w:rPr>
                <w:rFonts w:cs="Arial"/>
                <w:b/>
                <w:sz w:val="20"/>
                <w:highlight w:val="yellow"/>
              </w:rPr>
            </w:pPr>
            <w:r w:rsidRPr="00052D9F">
              <w:rPr>
                <w:rFonts w:cs="Arial"/>
                <w:b/>
                <w:sz w:val="20"/>
              </w:rPr>
              <w:t xml:space="preserve">Maximum points </w:t>
            </w:r>
          </w:p>
        </w:tc>
      </w:tr>
      <w:tr w:rsidR="00534BBD" w:rsidRPr="00052D9F" w14:paraId="3E2BB5F6" w14:textId="77777777" w:rsidTr="00534BBD">
        <w:trPr>
          <w:trHeight w:val="837"/>
        </w:trPr>
        <w:tc>
          <w:tcPr>
            <w:tcW w:w="694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DD2DAE" w14:textId="77777777" w:rsidR="00534BBD" w:rsidRPr="00052D9F" w:rsidRDefault="00534BBD" w:rsidP="00534BBD">
            <w:pPr>
              <w:keepNext/>
              <w:numPr>
                <w:ilvl w:val="0"/>
                <w:numId w:val="9"/>
              </w:numPr>
              <w:spacing w:after="0" w:line="312" w:lineRule="auto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Experience in providing short- term cover of R100 million in government entity/local government, three (3) written letters from those institutions.</w:t>
            </w:r>
          </w:p>
        </w:tc>
        <w:tc>
          <w:tcPr>
            <w:tcW w:w="28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E3172" w14:textId="77777777" w:rsidR="00534BBD" w:rsidRPr="00052D9F" w:rsidRDefault="00534BBD" w:rsidP="00534BBD">
            <w:pPr>
              <w:keepNext/>
              <w:spacing w:line="312" w:lineRule="auto"/>
              <w:ind w:left="60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60</w:t>
            </w:r>
          </w:p>
        </w:tc>
      </w:tr>
      <w:tr w:rsidR="00534BBD" w:rsidRPr="00052D9F" w14:paraId="5AF9F032" w14:textId="77777777" w:rsidTr="00534BBD">
        <w:trPr>
          <w:trHeight w:val="2218"/>
        </w:trPr>
        <w:tc>
          <w:tcPr>
            <w:tcW w:w="69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2DF06626" w14:textId="77777777" w:rsidR="00534BBD" w:rsidRPr="00052D9F" w:rsidRDefault="00534BBD" w:rsidP="00534BBD">
            <w:pPr>
              <w:keepNext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textAlignment w:val="baseline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Three or more letters confirming cover of R100 million or more in short-term insurance cover to a government entity/local government institution. Max 60 points</w:t>
            </w:r>
          </w:p>
          <w:p w14:paraId="7A8B9A17" w14:textId="77777777" w:rsidR="00534BBD" w:rsidRPr="00052D9F" w:rsidRDefault="00534BBD" w:rsidP="00534BBD">
            <w:pPr>
              <w:keepNext/>
              <w:numPr>
                <w:ilvl w:val="0"/>
                <w:numId w:val="7"/>
              </w:numPr>
              <w:spacing w:after="0" w:line="312" w:lineRule="auto"/>
              <w:jc w:val="both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Three letters: 60 points</w:t>
            </w:r>
          </w:p>
          <w:p w14:paraId="58A35FD6" w14:textId="77777777" w:rsidR="00534BBD" w:rsidRPr="00052D9F" w:rsidRDefault="00534BBD" w:rsidP="00534BBD">
            <w:pPr>
              <w:keepNext/>
              <w:numPr>
                <w:ilvl w:val="0"/>
                <w:numId w:val="7"/>
              </w:numPr>
              <w:spacing w:after="0" w:line="312" w:lineRule="auto"/>
              <w:jc w:val="both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Two letters:   40 points</w:t>
            </w:r>
          </w:p>
          <w:p w14:paraId="0EA07BC6" w14:textId="77777777" w:rsidR="00534BBD" w:rsidRPr="00052D9F" w:rsidRDefault="00534BBD" w:rsidP="00534BBD">
            <w:pPr>
              <w:keepNext/>
              <w:numPr>
                <w:ilvl w:val="0"/>
                <w:numId w:val="7"/>
              </w:numPr>
              <w:spacing w:after="0" w:line="312" w:lineRule="auto"/>
              <w:jc w:val="both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 xml:space="preserve">One letter:     20 points </w:t>
            </w:r>
          </w:p>
          <w:p w14:paraId="3DB9050A" w14:textId="77777777" w:rsidR="00534BBD" w:rsidRPr="00052D9F" w:rsidRDefault="00534BBD" w:rsidP="00534BBD">
            <w:pPr>
              <w:keepNext/>
              <w:numPr>
                <w:ilvl w:val="0"/>
                <w:numId w:val="7"/>
              </w:numPr>
              <w:spacing w:after="0" w:line="312" w:lineRule="auto"/>
              <w:jc w:val="both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No letters:       0 points</w:t>
            </w:r>
          </w:p>
        </w:tc>
        <w:tc>
          <w:tcPr>
            <w:tcW w:w="2836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7E032D9E" w14:textId="77777777" w:rsidR="00534BBD" w:rsidRPr="00052D9F" w:rsidRDefault="00534BBD" w:rsidP="00534BBD">
            <w:pPr>
              <w:keepNext/>
              <w:spacing w:line="312" w:lineRule="auto"/>
              <w:ind w:left="720"/>
              <w:jc w:val="both"/>
              <w:rPr>
                <w:rFonts w:cs="Arial"/>
                <w:sz w:val="20"/>
              </w:rPr>
            </w:pPr>
          </w:p>
        </w:tc>
      </w:tr>
      <w:tr w:rsidR="00534BBD" w:rsidRPr="00052D9F" w14:paraId="4103FFFB" w14:textId="77777777" w:rsidTr="00534BBD">
        <w:trPr>
          <w:trHeight w:val="1002"/>
        </w:trPr>
        <w:tc>
          <w:tcPr>
            <w:tcW w:w="69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41809A49" w14:textId="77777777" w:rsidR="00534BBD" w:rsidRPr="00052D9F" w:rsidRDefault="00534BBD" w:rsidP="00534BBD">
            <w:pPr>
              <w:keepNext/>
              <w:numPr>
                <w:ilvl w:val="0"/>
                <w:numId w:val="9"/>
              </w:numPr>
              <w:spacing w:after="0" w:line="312" w:lineRule="auto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Resume of an Account Manager who will handle the account. The account manager should have a minimum of 3 years’ experience in short term industry.</w:t>
            </w:r>
          </w:p>
        </w:tc>
        <w:tc>
          <w:tcPr>
            <w:tcW w:w="2836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7DABC07A" w14:textId="77777777" w:rsidR="00534BBD" w:rsidRPr="00052D9F" w:rsidRDefault="00534BBD" w:rsidP="00534BBD">
            <w:pPr>
              <w:keepNext/>
              <w:spacing w:line="312" w:lineRule="auto"/>
              <w:ind w:left="420"/>
              <w:jc w:val="both"/>
              <w:rPr>
                <w:rFonts w:cs="Arial"/>
                <w:sz w:val="20"/>
              </w:rPr>
            </w:pPr>
          </w:p>
        </w:tc>
      </w:tr>
      <w:tr w:rsidR="00534BBD" w:rsidRPr="00052D9F" w14:paraId="7AEB6EA0" w14:textId="77777777" w:rsidTr="00534BBD">
        <w:trPr>
          <w:trHeight w:val="1835"/>
        </w:trPr>
        <w:tc>
          <w:tcPr>
            <w:tcW w:w="694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801D2B" w14:textId="77777777" w:rsidR="00534BBD" w:rsidRPr="00052D9F" w:rsidRDefault="00534BBD" w:rsidP="00534BBD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textAlignment w:val="baseline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lastRenderedPageBreak/>
              <w:t>C.V of an account manager with a minimum of 3 years’ experience in handling short-term insurance accounts worth 100 million Rands, or more. Max 40 points</w:t>
            </w:r>
          </w:p>
          <w:p w14:paraId="3AEBE46C" w14:textId="77777777" w:rsidR="00534BBD" w:rsidRPr="00052D9F" w:rsidRDefault="00534BBD" w:rsidP="00534BBD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textAlignment w:val="baseline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More than three years: 40 points</w:t>
            </w:r>
          </w:p>
          <w:p w14:paraId="06A6C8FF" w14:textId="77777777" w:rsidR="00534BBD" w:rsidRPr="00052D9F" w:rsidRDefault="00534BBD" w:rsidP="00534BBD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textAlignment w:val="baseline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Three years:                 20 points</w:t>
            </w:r>
          </w:p>
          <w:p w14:paraId="4779963C" w14:textId="77777777" w:rsidR="00534BBD" w:rsidRPr="00534BBD" w:rsidRDefault="00534BBD" w:rsidP="00534BBD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textAlignment w:val="baseline"/>
              <w:rPr>
                <w:rFonts w:cs="Arial"/>
                <w:sz w:val="20"/>
              </w:rPr>
            </w:pPr>
            <w:r w:rsidRPr="00052D9F">
              <w:rPr>
                <w:rFonts w:cs="Arial"/>
                <w:sz w:val="20"/>
              </w:rPr>
              <w:t>Less than three years:   0 points</w:t>
            </w:r>
          </w:p>
        </w:tc>
        <w:tc>
          <w:tcPr>
            <w:tcW w:w="28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854D19" w14:textId="77777777" w:rsidR="00534BBD" w:rsidRPr="00052D9F" w:rsidRDefault="00534BBD" w:rsidP="00534BBD">
            <w:pPr>
              <w:keepNext/>
              <w:spacing w:line="312" w:lineRule="auto"/>
              <w:jc w:val="both"/>
              <w:rPr>
                <w:rFonts w:cs="Arial"/>
                <w:color w:val="FF0000"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40</w:t>
            </w:r>
          </w:p>
        </w:tc>
      </w:tr>
      <w:tr w:rsidR="00534BBD" w:rsidRPr="00052D9F" w14:paraId="52368F76" w14:textId="77777777" w:rsidTr="00534BBD">
        <w:trPr>
          <w:trHeight w:val="36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</w:tcPr>
          <w:p w14:paraId="5B0C88BE" w14:textId="11B65F56" w:rsidR="00534BBD" w:rsidRPr="00052D9F" w:rsidRDefault="00534BBD" w:rsidP="00534BBD">
            <w:pPr>
              <w:keepNext/>
              <w:spacing w:line="312" w:lineRule="auto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14:paraId="0AE6C595" w14:textId="77777777" w:rsidR="00534BBD" w:rsidRPr="00052D9F" w:rsidRDefault="00534BBD" w:rsidP="00534BBD">
            <w:pPr>
              <w:keepNext/>
              <w:spacing w:line="312" w:lineRule="auto"/>
              <w:jc w:val="both"/>
              <w:rPr>
                <w:rFonts w:cs="Arial"/>
                <w:b/>
                <w:sz w:val="20"/>
              </w:rPr>
            </w:pPr>
            <w:r w:rsidRPr="00052D9F">
              <w:rPr>
                <w:rFonts w:cs="Arial"/>
                <w:b/>
                <w:sz w:val="20"/>
              </w:rPr>
              <w:t>100</w:t>
            </w:r>
          </w:p>
        </w:tc>
      </w:tr>
    </w:tbl>
    <w:p w14:paraId="7603ABB7" w14:textId="7602E1B5" w:rsidR="00AA57CE" w:rsidRPr="00E82873" w:rsidRDefault="0006427C" w:rsidP="00196E8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Telegraphic, telephonic, telex, facsimile </w:t>
      </w:r>
      <w:r w:rsidR="00534BBD">
        <w:rPr>
          <w:rFonts w:ascii="Arial" w:eastAsia="Calibri" w:hAnsi="Arial" w:cs="Arial"/>
          <w:sz w:val="20"/>
          <w:szCs w:val="20"/>
          <w:lang w:val="en-US"/>
        </w:rPr>
        <w:t>a</w:t>
      </w:r>
      <w:r w:rsidRPr="00E82873">
        <w:rPr>
          <w:rFonts w:ascii="Arial" w:eastAsia="Calibri" w:hAnsi="Arial" w:cs="Arial"/>
          <w:sz w:val="20"/>
          <w:szCs w:val="20"/>
          <w:lang w:val="en-US"/>
        </w:rPr>
        <w:t xml:space="preserve">nd late tenders </w:t>
      </w:r>
      <w:r w:rsidR="00DB073B" w:rsidRPr="00E82873">
        <w:rPr>
          <w:rFonts w:ascii="Arial" w:eastAsia="Calibri" w:hAnsi="Arial" w:cs="Arial"/>
          <w:sz w:val="20"/>
          <w:szCs w:val="20"/>
          <w:lang w:val="en-US"/>
        </w:rPr>
        <w:t>will not be accepted.</w:t>
      </w:r>
    </w:p>
    <w:p w14:paraId="31F40D38" w14:textId="77777777" w:rsidR="00E5477F" w:rsidRPr="00E82873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20"/>
          <w:szCs w:val="20"/>
          <w:lang w:eastAsia="en-ZA"/>
        </w:rPr>
      </w:pPr>
    </w:p>
    <w:p w14:paraId="7B7A3FE2" w14:textId="6BD1812D" w:rsidR="00E5477F" w:rsidRPr="00E82873" w:rsidRDefault="00E5477F" w:rsidP="00196E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n-ZA"/>
        </w:rPr>
      </w:pP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</w:t>
      </w:r>
      <w:r w:rsidRPr="00E82873">
        <w:rPr>
          <w:rFonts w:ascii="Arial" w:hAnsi="Arial" w:cs="Arial"/>
          <w:color w:val="070707"/>
          <w:spacing w:val="4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bidder that 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c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ores</w:t>
      </w:r>
      <w:r w:rsidRPr="00E82873">
        <w:rPr>
          <w:rFonts w:ascii="Arial" w:hAnsi="Arial" w:cs="Arial"/>
          <w:color w:val="070707"/>
          <w:spacing w:val="2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less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than</w:t>
      </w:r>
      <w:r w:rsidRPr="00E82873">
        <w:rPr>
          <w:rFonts w:ascii="Arial" w:hAnsi="Arial" w:cs="Arial"/>
          <w:color w:val="070707"/>
          <w:spacing w:val="28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171717"/>
          <w:sz w:val="20"/>
          <w:szCs w:val="20"/>
          <w:lang w:eastAsia="en-ZA"/>
        </w:rPr>
        <w:t>(</w:t>
      </w:r>
      <w:r w:rsidR="00534BBD">
        <w:rPr>
          <w:rFonts w:ascii="Arial" w:hAnsi="Arial" w:cs="Arial"/>
          <w:b/>
          <w:color w:val="070707"/>
          <w:sz w:val="20"/>
          <w:szCs w:val="20"/>
          <w:lang w:eastAsia="en-ZA"/>
        </w:rPr>
        <w:t>7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0</w:t>
      </w:r>
      <w:r w:rsidRPr="00E82873">
        <w:rPr>
          <w:rFonts w:ascii="Arial" w:hAnsi="Arial" w:cs="Arial"/>
          <w:b/>
          <w:color w:val="171717"/>
          <w:sz w:val="20"/>
          <w:szCs w:val="20"/>
          <w:lang w:eastAsia="en-ZA"/>
        </w:rPr>
        <w:t>%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)</w:t>
      </w:r>
      <w:r w:rsidRPr="00E82873">
        <w:rPr>
          <w:rFonts w:ascii="Arial" w:hAnsi="Arial" w:cs="Arial"/>
          <w:b/>
          <w:color w:val="070707"/>
          <w:spacing w:val="-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b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the</w:t>
      </w:r>
      <w:r w:rsidRPr="00E82873">
        <w:rPr>
          <w:rFonts w:ascii="Arial" w:hAnsi="Arial" w:cs="Arial"/>
          <w:b/>
          <w:color w:val="070707"/>
          <w:spacing w:val="39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b/>
          <w:color w:val="070707"/>
          <w:sz w:val="20"/>
          <w:szCs w:val="20"/>
          <w:lang w:eastAsia="en-ZA"/>
        </w:rPr>
        <w:t>100</w:t>
      </w:r>
      <w:r w:rsidRPr="00E82873">
        <w:rPr>
          <w:rFonts w:ascii="Arial" w:hAnsi="Arial" w:cs="Arial"/>
          <w:color w:val="070707"/>
          <w:spacing w:val="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po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nt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s</w:t>
      </w:r>
      <w:r w:rsidRPr="00E82873">
        <w:rPr>
          <w:rFonts w:ascii="Arial" w:hAnsi="Arial" w:cs="Arial"/>
          <w:color w:val="17171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allocated </w:t>
      </w:r>
      <w:r w:rsidRPr="00E82873">
        <w:rPr>
          <w:rFonts w:ascii="Arial" w:hAnsi="Arial" w:cs="Arial"/>
          <w:color w:val="070707"/>
          <w:spacing w:val="29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in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r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esp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ec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t</w:t>
      </w:r>
      <w:r w:rsidRPr="00E82873">
        <w:rPr>
          <w:rFonts w:ascii="Arial" w:hAnsi="Arial" w:cs="Arial"/>
          <w:color w:val="282828"/>
          <w:spacing w:val="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"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func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ti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ona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l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ity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"</w:t>
      </w:r>
      <w:r w:rsidRPr="00E82873">
        <w:rPr>
          <w:rFonts w:ascii="Arial" w:hAnsi="Arial" w:cs="Arial"/>
          <w:color w:val="282828"/>
          <w:spacing w:val="-1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ll be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rega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r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ded</w:t>
      </w:r>
      <w:r w:rsidRPr="00E82873">
        <w:rPr>
          <w:rFonts w:ascii="Arial" w:hAnsi="Arial" w:cs="Arial"/>
          <w:color w:val="070707"/>
          <w:spacing w:val="6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as 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submitting</w:t>
      </w:r>
      <w:r w:rsidRPr="00E82873">
        <w:rPr>
          <w:rFonts w:ascii="Arial" w:hAnsi="Arial" w:cs="Arial"/>
          <w:color w:val="070707"/>
          <w:spacing w:val="6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a </w:t>
      </w:r>
      <w:r w:rsidRPr="00E82873">
        <w:rPr>
          <w:rFonts w:ascii="Arial" w:hAnsi="Arial" w:cs="Arial"/>
          <w:color w:val="070707"/>
          <w:spacing w:val="21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non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-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re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s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ponsive 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d  and </w:t>
      </w:r>
      <w:r w:rsidRPr="00E82873">
        <w:rPr>
          <w:rFonts w:ascii="Arial" w:hAnsi="Arial" w:cs="Arial"/>
          <w:color w:val="070707"/>
          <w:spacing w:val="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will 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be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 xml:space="preserve">disqualified </w:t>
      </w:r>
      <w:r w:rsidRPr="00E82873">
        <w:rPr>
          <w:rFonts w:ascii="Arial" w:hAnsi="Arial" w:cs="Arial"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and therefore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will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not</w:t>
      </w:r>
      <w:r w:rsidRPr="00E82873">
        <w:rPr>
          <w:rFonts w:ascii="Arial" w:hAnsi="Arial" w:cs="Arial"/>
          <w:color w:val="070707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be</w:t>
      </w:r>
      <w:r w:rsidRPr="00E82873">
        <w:rPr>
          <w:rFonts w:ascii="Arial" w:hAnsi="Arial" w:cs="Arial"/>
          <w:color w:val="070707"/>
          <w:spacing w:val="1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cons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dered for</w:t>
      </w:r>
      <w:r w:rsidRPr="00E82873">
        <w:rPr>
          <w:rFonts w:ascii="Arial" w:hAnsi="Arial" w:cs="Arial"/>
          <w:color w:val="070707"/>
          <w:spacing w:val="12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the</w:t>
      </w:r>
      <w:r w:rsidRPr="00E82873">
        <w:rPr>
          <w:rFonts w:ascii="Arial" w:hAnsi="Arial" w:cs="Arial"/>
          <w:color w:val="070707"/>
          <w:spacing w:val="2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last</w:t>
      </w:r>
      <w:r w:rsidRPr="00E82873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phase</w:t>
      </w:r>
      <w:r w:rsidRPr="00E82873">
        <w:rPr>
          <w:rFonts w:ascii="Arial" w:hAnsi="Arial" w:cs="Arial"/>
          <w:color w:val="070707"/>
          <w:spacing w:val="16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of</w:t>
      </w:r>
      <w:r w:rsidRPr="00E82873">
        <w:rPr>
          <w:rFonts w:ascii="Arial" w:hAnsi="Arial" w:cs="Arial"/>
          <w:color w:val="070707"/>
          <w:spacing w:val="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evaluat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i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on</w:t>
      </w:r>
      <w:r w:rsidRPr="00E82873">
        <w:rPr>
          <w:rFonts w:ascii="Arial" w:hAnsi="Arial" w:cs="Arial"/>
          <w:color w:val="282828"/>
          <w:sz w:val="20"/>
          <w:szCs w:val="20"/>
          <w:lang w:eastAsia="en-ZA"/>
        </w:rPr>
        <w:t>,</w:t>
      </w:r>
      <w:r w:rsidRPr="00E82873">
        <w:rPr>
          <w:rFonts w:ascii="Arial" w:hAnsi="Arial" w:cs="Arial"/>
          <w:color w:val="282828"/>
          <w:spacing w:val="5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where</w:t>
      </w:r>
      <w:r w:rsidRPr="00E82873">
        <w:rPr>
          <w:rFonts w:ascii="Arial" w:hAnsi="Arial" w:cs="Arial"/>
          <w:color w:val="070707"/>
          <w:spacing w:val="9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t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h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 xml:space="preserve">e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suc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c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essful</w:t>
      </w:r>
      <w:r w:rsidRPr="00E82873">
        <w:rPr>
          <w:rFonts w:ascii="Arial" w:hAnsi="Arial" w:cs="Arial"/>
          <w:color w:val="070707"/>
          <w:spacing w:val="7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bidders</w:t>
      </w:r>
      <w:r w:rsidRPr="00E82873">
        <w:rPr>
          <w:rFonts w:ascii="Arial" w:hAnsi="Arial" w:cs="Arial"/>
          <w:color w:val="070707"/>
          <w:spacing w:val="-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will</w:t>
      </w:r>
      <w:r w:rsidRPr="00E82873">
        <w:rPr>
          <w:rFonts w:ascii="Arial" w:hAnsi="Arial" w:cs="Arial"/>
          <w:color w:val="070707"/>
          <w:spacing w:val="3"/>
          <w:sz w:val="20"/>
          <w:szCs w:val="20"/>
          <w:lang w:eastAsia="en-ZA"/>
        </w:rPr>
        <w:t xml:space="preserve"> be scored on </w:t>
      </w:r>
      <w:r w:rsidRPr="00E82873">
        <w:rPr>
          <w:rFonts w:ascii="Arial" w:hAnsi="Arial" w:cs="Arial"/>
          <w:color w:val="070707"/>
          <w:spacing w:val="10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pric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e</w:t>
      </w:r>
      <w:r w:rsidRPr="00E82873">
        <w:rPr>
          <w:rFonts w:ascii="Arial" w:hAnsi="Arial" w:cs="Arial"/>
          <w:color w:val="171717"/>
          <w:spacing w:val="4"/>
          <w:sz w:val="20"/>
          <w:szCs w:val="20"/>
          <w:lang w:eastAsia="en-ZA"/>
        </w:rPr>
        <w:t xml:space="preserve"> </w:t>
      </w:r>
      <w:r w:rsidRPr="00E82873">
        <w:rPr>
          <w:rFonts w:ascii="Arial" w:hAnsi="Arial" w:cs="Arial"/>
          <w:color w:val="070707"/>
          <w:sz w:val="20"/>
          <w:szCs w:val="20"/>
          <w:lang w:eastAsia="en-ZA"/>
        </w:rPr>
        <w:t>and</w:t>
      </w:r>
      <w:r w:rsidRPr="00E82873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 xml:space="preserve"> </w:t>
      </w:r>
      <w:r w:rsidR="00534BBD">
        <w:rPr>
          <w:rFonts w:ascii="Arial" w:hAnsi="Arial" w:cs="Arial"/>
          <w:color w:val="070707"/>
          <w:spacing w:val="8"/>
          <w:sz w:val="20"/>
          <w:szCs w:val="20"/>
          <w:lang w:eastAsia="en-ZA"/>
        </w:rPr>
        <w:t>specific goal</w:t>
      </w:r>
      <w:r w:rsidRPr="00E82873">
        <w:rPr>
          <w:rFonts w:ascii="Arial" w:hAnsi="Arial" w:cs="Arial"/>
          <w:color w:val="171717"/>
          <w:spacing w:val="-10"/>
          <w:sz w:val="20"/>
          <w:szCs w:val="20"/>
          <w:lang w:eastAsia="en-ZA"/>
        </w:rPr>
        <w:t xml:space="preserve"> status</w:t>
      </w:r>
      <w:r w:rsidRPr="00E82873">
        <w:rPr>
          <w:rFonts w:ascii="Arial" w:hAnsi="Arial" w:cs="Arial"/>
          <w:color w:val="171717"/>
          <w:sz w:val="20"/>
          <w:szCs w:val="20"/>
          <w:lang w:eastAsia="en-ZA"/>
        </w:rPr>
        <w:t>.</w:t>
      </w:r>
    </w:p>
    <w:p w14:paraId="1BF1B6F7" w14:textId="7554197C" w:rsidR="00886632" w:rsidRPr="00E82873" w:rsidRDefault="00886632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Bids Documents Av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ailable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at 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KwaZulu – Natal Sharks Board, 1a </w:t>
      </w:r>
      <w:proofErr w:type="spellStart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Herrwood</w:t>
      </w:r>
      <w:proofErr w:type="spellEnd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Drive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, </w:t>
      </w:r>
      <w:proofErr w:type="spellStart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Umhlang</w:t>
      </w:r>
      <w:proofErr w:type="spellEnd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5C2F30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      </w:t>
      </w:r>
      <w:r w:rsidR="00EF1F07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       </w:t>
      </w:r>
    </w:p>
    <w:p w14:paraId="2304F0EF" w14:textId="77777777" w:rsidR="00063026" w:rsidRPr="00E82873" w:rsidRDefault="00886632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Submission of Bids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: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Sealed envelopes clearly marked with the relevant bid 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>n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umber, Closing date and time and Bidders name must be deposited into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the bid box at the Sharks Board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premises at the Ground Floo</w:t>
      </w:r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r, 1a </w:t>
      </w:r>
      <w:proofErr w:type="spellStart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>Herrwood</w:t>
      </w:r>
      <w:proofErr w:type="spellEnd"/>
      <w:r w:rsidR="00122481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Drive Mhlanga, 4320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0F9BB414" w14:textId="54245AA5" w:rsidR="007C6EA3" w:rsidRPr="00E82873" w:rsidRDefault="00C12F24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NB: A</w:t>
      </w:r>
      <w:r w:rsidR="00C94B2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non – refundable deposit of R30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0.00 for the tender document is payable into KwaZulu – Natal Sharks Board bank account as mentioned below with reference “Tender”</w:t>
      </w:r>
      <w:r w:rsidR="009D5F86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The tend</w:t>
      </w:r>
      <w:r w:rsidR="002419B8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er document will be available </w:t>
      </w:r>
      <w:r w:rsidR="00DF21A1">
        <w:rPr>
          <w:rFonts w:ascii="Arial" w:eastAsia="Calibri" w:hAnsi="Arial" w:cs="Arial"/>
          <w:b/>
          <w:sz w:val="20"/>
          <w:szCs w:val="20"/>
          <w:lang w:val="en-US"/>
        </w:rPr>
        <w:t>1</w:t>
      </w:r>
      <w:r w:rsidR="00707DCB">
        <w:rPr>
          <w:rFonts w:ascii="Arial" w:eastAsia="Calibri" w:hAnsi="Arial" w:cs="Arial"/>
          <w:b/>
          <w:sz w:val="20"/>
          <w:szCs w:val="20"/>
          <w:lang w:val="en-US"/>
        </w:rPr>
        <w:t>8</w:t>
      </w:r>
      <w:r w:rsidR="00E25F08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707DCB">
        <w:rPr>
          <w:rFonts w:ascii="Arial" w:eastAsia="Calibri" w:hAnsi="Arial" w:cs="Arial"/>
          <w:b/>
          <w:sz w:val="20"/>
          <w:szCs w:val="20"/>
          <w:lang w:val="en-US"/>
        </w:rPr>
        <w:t>January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20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>2</w:t>
      </w:r>
      <w:r w:rsidR="00707DCB">
        <w:rPr>
          <w:rFonts w:ascii="Arial" w:eastAsia="Calibri" w:hAnsi="Arial" w:cs="Arial"/>
          <w:b/>
          <w:sz w:val="20"/>
          <w:szCs w:val="20"/>
          <w:lang w:val="en-US"/>
        </w:rPr>
        <w:t>4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and may be collected upon </w:t>
      </w:r>
      <w:r w:rsidR="009454CA" w:rsidRPr="00E82873">
        <w:rPr>
          <w:rFonts w:ascii="Arial" w:eastAsia="Calibri" w:hAnsi="Arial" w:cs="Arial"/>
          <w:b/>
          <w:sz w:val="20"/>
          <w:szCs w:val="20"/>
          <w:lang w:val="en-US"/>
        </w:rPr>
        <w:t>producing proof of payment (deposit slip: no cash will be accepted)</w:t>
      </w:r>
    </w:p>
    <w:p w14:paraId="63582008" w14:textId="77777777" w:rsidR="009D5F86" w:rsidRPr="00E82873" w:rsidRDefault="009D5F86" w:rsidP="00196E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The Banking details are as follows: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Bank: ABSA, Account Number 1012341080,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Account Holder: KZN Sharks Board</w:t>
      </w:r>
      <w:r w:rsidR="0057128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, Branch: La Lucia 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Ridge</w:t>
      </w:r>
      <w:r w:rsidR="00E25F08"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46D1B8A9" w14:textId="56DE6C73" w:rsidR="00C94B22" w:rsidRPr="00E82873" w:rsidRDefault="00C94B22" w:rsidP="00196E8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An original valid Tax Clearance Certificate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with Pin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,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original valid B-BBEE Status Level Verification Certificate</w:t>
      </w:r>
      <w:r w:rsidR="002F52E2" w:rsidRPr="00E82873">
        <w:rPr>
          <w:rFonts w:ascii="Arial" w:eastAsia="Calibri" w:hAnsi="Arial" w:cs="Arial"/>
          <w:b/>
          <w:sz w:val="20"/>
          <w:szCs w:val="20"/>
          <w:lang w:val="en-US"/>
        </w:rPr>
        <w:t>/Sworn Affidavit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>, registration with NT Central Supplier Database, and 1 original and four (4) copies of bound proposal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247C1F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must </w:t>
      </w:r>
      <w:r w:rsidR="005517DF" w:rsidRPr="00E82873">
        <w:rPr>
          <w:rFonts w:ascii="Arial" w:eastAsia="Calibri" w:hAnsi="Arial" w:cs="Arial"/>
          <w:b/>
          <w:sz w:val="20"/>
          <w:szCs w:val="20"/>
          <w:lang w:val="en-US"/>
        </w:rPr>
        <w:t xml:space="preserve">be submitted with </w:t>
      </w:r>
      <w:r w:rsidR="00247C1F" w:rsidRPr="00E82873">
        <w:rPr>
          <w:rFonts w:ascii="Arial" w:eastAsia="Calibri" w:hAnsi="Arial" w:cs="Arial"/>
          <w:b/>
          <w:sz w:val="20"/>
          <w:szCs w:val="20"/>
          <w:lang w:val="en-US"/>
        </w:rPr>
        <w:t>the bid</w:t>
      </w:r>
      <w:r w:rsidRPr="00E82873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14:paraId="1296267B" w14:textId="4846F663" w:rsidR="006A71EE" w:rsidRPr="0002529E" w:rsidRDefault="006A71EE" w:rsidP="00196E8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  <w:r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 xml:space="preserve">NB: Tender documents </w:t>
      </w:r>
      <w:r w:rsidR="002F52E2"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won’t</w:t>
      </w:r>
      <w:r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 xml:space="preserve"> be </w:t>
      </w:r>
      <w:r w:rsidR="00411958"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issued</w:t>
      </w:r>
      <w:r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/collected on the briefing day</w:t>
      </w:r>
      <w:r w:rsidR="00411958" w:rsidRPr="0002529E">
        <w:rPr>
          <w:rFonts w:ascii="Arial" w:eastAsia="Calibri" w:hAnsi="Arial" w:cs="Arial"/>
          <w:b/>
          <w:color w:val="FF0000"/>
          <w:sz w:val="20"/>
          <w:szCs w:val="20"/>
          <w:lang w:val="en-US"/>
        </w:rPr>
        <w:t>.</w:t>
      </w:r>
    </w:p>
    <w:p w14:paraId="76A5F87E" w14:textId="77777777" w:rsidR="00C94B22" w:rsidRPr="00E06F8E" w:rsidRDefault="00C94B22" w:rsidP="003D378A">
      <w:pPr>
        <w:jc w:val="both"/>
        <w:rPr>
          <w:rFonts w:ascii="Arial" w:hAnsi="Arial" w:cs="Arial"/>
          <w:sz w:val="20"/>
          <w:szCs w:val="20"/>
        </w:rPr>
      </w:pPr>
    </w:p>
    <w:p w14:paraId="583AF674" w14:textId="77777777" w:rsidR="00C94B22" w:rsidRPr="00E06F8E" w:rsidRDefault="00C94B22">
      <w:pPr>
        <w:rPr>
          <w:rFonts w:ascii="Arial" w:hAnsi="Arial" w:cs="Arial"/>
          <w:sz w:val="20"/>
          <w:szCs w:val="20"/>
        </w:rPr>
      </w:pPr>
    </w:p>
    <w:sectPr w:rsidR="00C94B22" w:rsidRPr="00E06F8E" w:rsidSect="006A7AEC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8BFD" w14:textId="77777777" w:rsidR="006A7AEC" w:rsidRDefault="006A7AEC" w:rsidP="00711471">
      <w:pPr>
        <w:spacing w:after="0" w:line="240" w:lineRule="auto"/>
      </w:pPr>
      <w:r>
        <w:separator/>
      </w:r>
    </w:p>
  </w:endnote>
  <w:endnote w:type="continuationSeparator" w:id="0">
    <w:p w14:paraId="1B7B8D3B" w14:textId="77777777" w:rsidR="006A7AEC" w:rsidRDefault="006A7AEC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D56E34F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43F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695B3420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0278" w14:textId="77777777" w:rsidR="006A7AEC" w:rsidRDefault="006A7AEC" w:rsidP="00711471">
      <w:pPr>
        <w:spacing w:after="0" w:line="240" w:lineRule="auto"/>
      </w:pPr>
      <w:r>
        <w:separator/>
      </w:r>
    </w:p>
  </w:footnote>
  <w:footnote w:type="continuationSeparator" w:id="0">
    <w:p w14:paraId="625428FE" w14:textId="77777777" w:rsidR="006A7AEC" w:rsidRDefault="006A7AEC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115"/>
    <w:multiLevelType w:val="hybridMultilevel"/>
    <w:tmpl w:val="E3CC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A8C"/>
    <w:multiLevelType w:val="hybridMultilevel"/>
    <w:tmpl w:val="B8D09B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3BE1"/>
    <w:multiLevelType w:val="hybridMultilevel"/>
    <w:tmpl w:val="3F1C82D0"/>
    <w:lvl w:ilvl="0" w:tplc="0CCAE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191402E"/>
    <w:multiLevelType w:val="hybridMultilevel"/>
    <w:tmpl w:val="BFEC4F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3C68"/>
    <w:multiLevelType w:val="hybridMultilevel"/>
    <w:tmpl w:val="43267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24398"/>
    <w:multiLevelType w:val="hybridMultilevel"/>
    <w:tmpl w:val="EE6E7D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3F0881"/>
    <w:multiLevelType w:val="hybridMultilevel"/>
    <w:tmpl w:val="46102A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011DD"/>
    <w:multiLevelType w:val="hybridMultilevel"/>
    <w:tmpl w:val="FE28F3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03368"/>
    <w:multiLevelType w:val="hybridMultilevel"/>
    <w:tmpl w:val="AA6A5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821BE4"/>
    <w:multiLevelType w:val="hybridMultilevel"/>
    <w:tmpl w:val="49AC99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7961">
    <w:abstractNumId w:val="4"/>
  </w:num>
  <w:num w:numId="2" w16cid:durableId="1371997790">
    <w:abstractNumId w:val="1"/>
  </w:num>
  <w:num w:numId="3" w16cid:durableId="694422132">
    <w:abstractNumId w:val="3"/>
  </w:num>
  <w:num w:numId="4" w16cid:durableId="789738596">
    <w:abstractNumId w:val="6"/>
  </w:num>
  <w:num w:numId="5" w16cid:durableId="2058583941">
    <w:abstractNumId w:val="5"/>
  </w:num>
  <w:num w:numId="6" w16cid:durableId="607350015">
    <w:abstractNumId w:val="7"/>
  </w:num>
  <w:num w:numId="7" w16cid:durableId="1955403008">
    <w:abstractNumId w:val="9"/>
  </w:num>
  <w:num w:numId="8" w16cid:durableId="1185098739">
    <w:abstractNumId w:val="0"/>
  </w:num>
  <w:num w:numId="9" w16cid:durableId="2139881546">
    <w:abstractNumId w:val="2"/>
  </w:num>
  <w:num w:numId="10" w16cid:durableId="167938775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344D"/>
    <w:rsid w:val="00021218"/>
    <w:rsid w:val="0002234A"/>
    <w:rsid w:val="0002529E"/>
    <w:rsid w:val="000405E4"/>
    <w:rsid w:val="000472B5"/>
    <w:rsid w:val="00055A02"/>
    <w:rsid w:val="00063026"/>
    <w:rsid w:val="0006427C"/>
    <w:rsid w:val="00065B59"/>
    <w:rsid w:val="000666FE"/>
    <w:rsid w:val="00084018"/>
    <w:rsid w:val="00086BF3"/>
    <w:rsid w:val="00095515"/>
    <w:rsid w:val="000C0B69"/>
    <w:rsid w:val="000C3EF7"/>
    <w:rsid w:val="000C5637"/>
    <w:rsid w:val="000C5944"/>
    <w:rsid w:val="000C7ECC"/>
    <w:rsid w:val="000E0A27"/>
    <w:rsid w:val="000F3CEE"/>
    <w:rsid w:val="000F72D9"/>
    <w:rsid w:val="0010333A"/>
    <w:rsid w:val="00122481"/>
    <w:rsid w:val="00133947"/>
    <w:rsid w:val="00133F31"/>
    <w:rsid w:val="00135F18"/>
    <w:rsid w:val="00143DC3"/>
    <w:rsid w:val="001456C2"/>
    <w:rsid w:val="00170007"/>
    <w:rsid w:val="0017365F"/>
    <w:rsid w:val="00196E80"/>
    <w:rsid w:val="001A2DB2"/>
    <w:rsid w:val="001B57C0"/>
    <w:rsid w:val="001C7357"/>
    <w:rsid w:val="001E614E"/>
    <w:rsid w:val="00202B09"/>
    <w:rsid w:val="00205EFB"/>
    <w:rsid w:val="00231A2B"/>
    <w:rsid w:val="002419B8"/>
    <w:rsid w:val="00243D71"/>
    <w:rsid w:val="0024686F"/>
    <w:rsid w:val="00247C1F"/>
    <w:rsid w:val="00262BB8"/>
    <w:rsid w:val="002637AA"/>
    <w:rsid w:val="00284919"/>
    <w:rsid w:val="002B4957"/>
    <w:rsid w:val="002B5F11"/>
    <w:rsid w:val="002E0907"/>
    <w:rsid w:val="002E3336"/>
    <w:rsid w:val="002E37AB"/>
    <w:rsid w:val="002E5B54"/>
    <w:rsid w:val="002F52E2"/>
    <w:rsid w:val="003300A6"/>
    <w:rsid w:val="00334CCA"/>
    <w:rsid w:val="00380CE6"/>
    <w:rsid w:val="00384E91"/>
    <w:rsid w:val="003A45B0"/>
    <w:rsid w:val="003D378A"/>
    <w:rsid w:val="003D61A1"/>
    <w:rsid w:val="00400332"/>
    <w:rsid w:val="00411958"/>
    <w:rsid w:val="00425F55"/>
    <w:rsid w:val="00431709"/>
    <w:rsid w:val="00446F3B"/>
    <w:rsid w:val="00456972"/>
    <w:rsid w:val="004678C0"/>
    <w:rsid w:val="00471D0A"/>
    <w:rsid w:val="004763B5"/>
    <w:rsid w:val="00476BA0"/>
    <w:rsid w:val="00492D60"/>
    <w:rsid w:val="004B6271"/>
    <w:rsid w:val="004C5241"/>
    <w:rsid w:val="004F09F5"/>
    <w:rsid w:val="005104C6"/>
    <w:rsid w:val="005133CD"/>
    <w:rsid w:val="00515926"/>
    <w:rsid w:val="00521339"/>
    <w:rsid w:val="005315D0"/>
    <w:rsid w:val="00534BBD"/>
    <w:rsid w:val="005517DF"/>
    <w:rsid w:val="00562948"/>
    <w:rsid w:val="00571282"/>
    <w:rsid w:val="0057304D"/>
    <w:rsid w:val="005A2B7E"/>
    <w:rsid w:val="005B4B0F"/>
    <w:rsid w:val="005C2F30"/>
    <w:rsid w:val="005C7990"/>
    <w:rsid w:val="005D46F8"/>
    <w:rsid w:val="005E6BCA"/>
    <w:rsid w:val="005E7EB9"/>
    <w:rsid w:val="005F2466"/>
    <w:rsid w:val="005F49E9"/>
    <w:rsid w:val="0060741F"/>
    <w:rsid w:val="0061164A"/>
    <w:rsid w:val="00614D03"/>
    <w:rsid w:val="006212BA"/>
    <w:rsid w:val="0062358A"/>
    <w:rsid w:val="00632174"/>
    <w:rsid w:val="00644A53"/>
    <w:rsid w:val="0066023F"/>
    <w:rsid w:val="00660FF2"/>
    <w:rsid w:val="00667972"/>
    <w:rsid w:val="006828D4"/>
    <w:rsid w:val="00692E5E"/>
    <w:rsid w:val="006A71EE"/>
    <w:rsid w:val="006A7AEC"/>
    <w:rsid w:val="006B5E1D"/>
    <w:rsid w:val="006C4857"/>
    <w:rsid w:val="006C4A67"/>
    <w:rsid w:val="006F778F"/>
    <w:rsid w:val="00704A5B"/>
    <w:rsid w:val="00707DCB"/>
    <w:rsid w:val="00711471"/>
    <w:rsid w:val="0072250F"/>
    <w:rsid w:val="00724195"/>
    <w:rsid w:val="00725B62"/>
    <w:rsid w:val="00730F60"/>
    <w:rsid w:val="00731F2A"/>
    <w:rsid w:val="0077118D"/>
    <w:rsid w:val="00773D84"/>
    <w:rsid w:val="00794965"/>
    <w:rsid w:val="007B08AE"/>
    <w:rsid w:val="007B5E82"/>
    <w:rsid w:val="007B65AB"/>
    <w:rsid w:val="007C29AE"/>
    <w:rsid w:val="007C6EA3"/>
    <w:rsid w:val="007D22AF"/>
    <w:rsid w:val="007D3FA7"/>
    <w:rsid w:val="007D4A14"/>
    <w:rsid w:val="007E7F6D"/>
    <w:rsid w:val="007F0EE5"/>
    <w:rsid w:val="00804BFD"/>
    <w:rsid w:val="00825B9B"/>
    <w:rsid w:val="0084051F"/>
    <w:rsid w:val="00840780"/>
    <w:rsid w:val="0084367A"/>
    <w:rsid w:val="0084630F"/>
    <w:rsid w:val="00886632"/>
    <w:rsid w:val="00890AF1"/>
    <w:rsid w:val="008948A3"/>
    <w:rsid w:val="008A39DD"/>
    <w:rsid w:val="008C7598"/>
    <w:rsid w:val="008D0EBB"/>
    <w:rsid w:val="008D616A"/>
    <w:rsid w:val="008F1680"/>
    <w:rsid w:val="00906193"/>
    <w:rsid w:val="0091263F"/>
    <w:rsid w:val="009173CC"/>
    <w:rsid w:val="00922786"/>
    <w:rsid w:val="00926D94"/>
    <w:rsid w:val="00933C43"/>
    <w:rsid w:val="009368B6"/>
    <w:rsid w:val="009454CA"/>
    <w:rsid w:val="0098346E"/>
    <w:rsid w:val="009859FA"/>
    <w:rsid w:val="00994467"/>
    <w:rsid w:val="009C14BF"/>
    <w:rsid w:val="009C4984"/>
    <w:rsid w:val="009D4895"/>
    <w:rsid w:val="009D5F86"/>
    <w:rsid w:val="009D69DF"/>
    <w:rsid w:val="009F54A1"/>
    <w:rsid w:val="00A12BB7"/>
    <w:rsid w:val="00A214AD"/>
    <w:rsid w:val="00A36839"/>
    <w:rsid w:val="00A676F0"/>
    <w:rsid w:val="00A72DC9"/>
    <w:rsid w:val="00A90DAE"/>
    <w:rsid w:val="00A9230A"/>
    <w:rsid w:val="00A943DB"/>
    <w:rsid w:val="00AA57CE"/>
    <w:rsid w:val="00AB192F"/>
    <w:rsid w:val="00AB2445"/>
    <w:rsid w:val="00AB36D7"/>
    <w:rsid w:val="00AB4357"/>
    <w:rsid w:val="00AB538E"/>
    <w:rsid w:val="00AE235A"/>
    <w:rsid w:val="00B03F3A"/>
    <w:rsid w:val="00B05063"/>
    <w:rsid w:val="00B066CB"/>
    <w:rsid w:val="00B13FA0"/>
    <w:rsid w:val="00B30534"/>
    <w:rsid w:val="00B338A1"/>
    <w:rsid w:val="00B372AB"/>
    <w:rsid w:val="00B400EE"/>
    <w:rsid w:val="00B46420"/>
    <w:rsid w:val="00B533C7"/>
    <w:rsid w:val="00B63117"/>
    <w:rsid w:val="00B7399D"/>
    <w:rsid w:val="00B97DA1"/>
    <w:rsid w:val="00BA232A"/>
    <w:rsid w:val="00BB05C4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6F35"/>
    <w:rsid w:val="00C57CDA"/>
    <w:rsid w:val="00C82FB8"/>
    <w:rsid w:val="00C94B22"/>
    <w:rsid w:val="00CC0A06"/>
    <w:rsid w:val="00CC2FF9"/>
    <w:rsid w:val="00CD29C2"/>
    <w:rsid w:val="00CD715D"/>
    <w:rsid w:val="00CE793D"/>
    <w:rsid w:val="00D01C66"/>
    <w:rsid w:val="00D1223F"/>
    <w:rsid w:val="00D35EAB"/>
    <w:rsid w:val="00D4443F"/>
    <w:rsid w:val="00D50D86"/>
    <w:rsid w:val="00D57F38"/>
    <w:rsid w:val="00D61B76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DF21A1"/>
    <w:rsid w:val="00E06F8E"/>
    <w:rsid w:val="00E1721A"/>
    <w:rsid w:val="00E25F08"/>
    <w:rsid w:val="00E5477F"/>
    <w:rsid w:val="00E60D5D"/>
    <w:rsid w:val="00E61CDE"/>
    <w:rsid w:val="00E62E58"/>
    <w:rsid w:val="00E665AD"/>
    <w:rsid w:val="00E67B3A"/>
    <w:rsid w:val="00E74F6C"/>
    <w:rsid w:val="00E82873"/>
    <w:rsid w:val="00E829BF"/>
    <w:rsid w:val="00E940E8"/>
    <w:rsid w:val="00EB34F0"/>
    <w:rsid w:val="00EB6FD6"/>
    <w:rsid w:val="00EF0726"/>
    <w:rsid w:val="00EF1F07"/>
    <w:rsid w:val="00EF359C"/>
    <w:rsid w:val="00EF7588"/>
    <w:rsid w:val="00EF7EE3"/>
    <w:rsid w:val="00F40D72"/>
    <w:rsid w:val="00F422C8"/>
    <w:rsid w:val="00F43CDD"/>
    <w:rsid w:val="00F55C32"/>
    <w:rsid w:val="00F67372"/>
    <w:rsid w:val="00F75FC4"/>
    <w:rsid w:val="00F85A19"/>
    <w:rsid w:val="00F85CEA"/>
    <w:rsid w:val="00FB5B9A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5239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paragraph" w:customStyle="1" w:styleId="Default">
    <w:name w:val="Default"/>
    <w:rsid w:val="00086BF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0E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3217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3217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zelemu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nkululeko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BA28-BAE3-4FE8-990B-1463966E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3</cp:revision>
  <cp:lastPrinted>2015-11-05T09:37:00Z</cp:lastPrinted>
  <dcterms:created xsi:type="dcterms:W3CDTF">2024-01-16T07:33:00Z</dcterms:created>
  <dcterms:modified xsi:type="dcterms:W3CDTF">2024-01-16T07:38:00Z</dcterms:modified>
</cp:coreProperties>
</file>