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454" w:rsidRDefault="00155454" w:rsidP="00E3687F">
      <w:pPr>
        <w:jc w:val="center"/>
        <w:rPr>
          <w:rFonts w:ascii="Arial" w:hAnsi="Arial" w:cs="Arial"/>
          <w:b/>
          <w:sz w:val="24"/>
          <w:u w:val="single"/>
        </w:rPr>
      </w:pPr>
    </w:p>
    <w:p w:rsidR="00155454" w:rsidRDefault="00155454" w:rsidP="00E3687F">
      <w:pPr>
        <w:jc w:val="center"/>
        <w:rPr>
          <w:rFonts w:ascii="Arial" w:hAnsi="Arial" w:cs="Arial"/>
          <w:b/>
          <w:sz w:val="24"/>
          <w:u w:val="single"/>
        </w:rPr>
      </w:pPr>
    </w:p>
    <w:p w:rsidR="00155454" w:rsidRDefault="00155454" w:rsidP="00E3687F">
      <w:pPr>
        <w:jc w:val="center"/>
        <w:rPr>
          <w:rFonts w:ascii="Arial" w:hAnsi="Arial" w:cs="Arial"/>
          <w:b/>
          <w:sz w:val="24"/>
          <w:u w:val="single"/>
        </w:rPr>
      </w:pPr>
    </w:p>
    <w:p w:rsidR="00155454" w:rsidRDefault="00155454" w:rsidP="00E3687F">
      <w:pPr>
        <w:jc w:val="center"/>
        <w:rPr>
          <w:rFonts w:ascii="Arial" w:hAnsi="Arial" w:cs="Arial"/>
          <w:b/>
          <w:sz w:val="24"/>
          <w:u w:val="single"/>
        </w:rPr>
      </w:pPr>
    </w:p>
    <w:p w:rsidR="00155454" w:rsidRDefault="00155454" w:rsidP="00E3687F">
      <w:pPr>
        <w:jc w:val="center"/>
        <w:rPr>
          <w:rFonts w:ascii="Arial" w:hAnsi="Arial" w:cs="Arial"/>
          <w:b/>
          <w:sz w:val="24"/>
          <w:u w:val="single"/>
        </w:rPr>
      </w:pPr>
    </w:p>
    <w:p w:rsidR="00155454" w:rsidRDefault="00155454" w:rsidP="00E3687F">
      <w:pPr>
        <w:jc w:val="center"/>
        <w:rPr>
          <w:rFonts w:ascii="Arial" w:hAnsi="Arial" w:cs="Arial"/>
          <w:b/>
          <w:sz w:val="24"/>
          <w:u w:val="single"/>
        </w:rPr>
      </w:pPr>
    </w:p>
    <w:p w:rsidR="00155454" w:rsidRDefault="00155454" w:rsidP="00E3687F">
      <w:pPr>
        <w:jc w:val="center"/>
        <w:rPr>
          <w:rFonts w:ascii="Arial" w:hAnsi="Arial" w:cs="Arial"/>
          <w:b/>
          <w:sz w:val="24"/>
          <w:u w:val="single"/>
        </w:rPr>
      </w:pPr>
    </w:p>
    <w:p w:rsidR="00155454" w:rsidRDefault="00155454" w:rsidP="00E3687F">
      <w:pPr>
        <w:jc w:val="center"/>
        <w:rPr>
          <w:rFonts w:ascii="Arial" w:hAnsi="Arial" w:cs="Arial"/>
          <w:b/>
          <w:sz w:val="24"/>
          <w:u w:val="single"/>
        </w:rPr>
      </w:pPr>
    </w:p>
    <w:p w:rsidR="00155454" w:rsidRDefault="00155454" w:rsidP="00E3687F">
      <w:pPr>
        <w:jc w:val="center"/>
        <w:rPr>
          <w:rFonts w:ascii="Arial" w:hAnsi="Arial" w:cs="Arial"/>
          <w:b/>
          <w:sz w:val="24"/>
          <w:u w:val="single"/>
        </w:rPr>
      </w:pPr>
    </w:p>
    <w:p w:rsidR="00155454" w:rsidRDefault="00155454" w:rsidP="00E3687F">
      <w:pPr>
        <w:jc w:val="center"/>
        <w:rPr>
          <w:rFonts w:ascii="Arial" w:hAnsi="Arial" w:cs="Arial"/>
          <w:b/>
          <w:sz w:val="24"/>
          <w:u w:val="single"/>
        </w:rPr>
      </w:pPr>
    </w:p>
    <w:p w:rsidR="00155454" w:rsidRDefault="00155454" w:rsidP="00E3687F">
      <w:pPr>
        <w:jc w:val="center"/>
        <w:rPr>
          <w:rFonts w:ascii="Arial" w:hAnsi="Arial" w:cs="Arial"/>
          <w:b/>
          <w:sz w:val="24"/>
          <w:u w:val="single"/>
        </w:rPr>
      </w:pPr>
    </w:p>
    <w:p w:rsidR="00155454" w:rsidRDefault="00155454" w:rsidP="00E3687F">
      <w:pPr>
        <w:jc w:val="center"/>
        <w:rPr>
          <w:rFonts w:ascii="Arial" w:hAnsi="Arial" w:cs="Arial"/>
          <w:b/>
          <w:sz w:val="24"/>
          <w:u w:val="single"/>
        </w:rPr>
      </w:pPr>
    </w:p>
    <w:p w:rsidR="00155454" w:rsidRDefault="00155454" w:rsidP="00E3687F">
      <w:pPr>
        <w:jc w:val="center"/>
        <w:rPr>
          <w:rFonts w:ascii="Arial" w:hAnsi="Arial" w:cs="Arial"/>
          <w:b/>
          <w:sz w:val="24"/>
          <w:u w:val="single"/>
        </w:rPr>
      </w:pPr>
    </w:p>
    <w:p w:rsidR="00155454" w:rsidRDefault="00155454" w:rsidP="00E3687F">
      <w:pPr>
        <w:jc w:val="center"/>
        <w:rPr>
          <w:rFonts w:ascii="Arial" w:hAnsi="Arial" w:cs="Arial"/>
          <w:b/>
          <w:sz w:val="24"/>
          <w:u w:val="single"/>
        </w:rPr>
      </w:pPr>
    </w:p>
    <w:p w:rsidR="00155454" w:rsidRDefault="00155454" w:rsidP="00E3687F">
      <w:pPr>
        <w:jc w:val="center"/>
        <w:rPr>
          <w:rFonts w:ascii="Arial" w:hAnsi="Arial" w:cs="Arial"/>
          <w:b/>
          <w:sz w:val="24"/>
          <w:u w:val="single"/>
        </w:rPr>
      </w:pPr>
    </w:p>
    <w:p w:rsidR="00A12F4B" w:rsidRPr="00E3687F" w:rsidRDefault="00E3687F" w:rsidP="00E3687F">
      <w:pPr>
        <w:jc w:val="center"/>
        <w:rPr>
          <w:rFonts w:ascii="Arial" w:hAnsi="Arial" w:cs="Arial"/>
          <w:b/>
          <w:sz w:val="24"/>
          <w:u w:val="single"/>
        </w:rPr>
      </w:pPr>
      <w:r w:rsidRPr="00E3687F">
        <w:rPr>
          <w:rFonts w:ascii="Arial" w:hAnsi="Arial" w:cs="Arial"/>
          <w:b/>
          <w:sz w:val="24"/>
          <w:u w:val="single"/>
        </w:rPr>
        <w:t xml:space="preserve">ANNEXURE </w:t>
      </w:r>
      <w:r w:rsidR="00D4276D">
        <w:rPr>
          <w:rFonts w:ascii="Arial" w:hAnsi="Arial" w:cs="Arial"/>
          <w:b/>
          <w:sz w:val="24"/>
          <w:u w:val="single"/>
        </w:rPr>
        <w:t>A</w:t>
      </w:r>
    </w:p>
    <w:p w:rsidR="00E3687F" w:rsidRPr="00E3687F" w:rsidRDefault="00E3687F" w:rsidP="00E3687F">
      <w:pPr>
        <w:jc w:val="center"/>
        <w:rPr>
          <w:rFonts w:ascii="Arial" w:hAnsi="Arial" w:cs="Arial"/>
          <w:b/>
          <w:sz w:val="24"/>
        </w:rPr>
      </w:pPr>
      <w:r w:rsidRPr="00E3687F">
        <w:rPr>
          <w:rFonts w:ascii="Arial" w:hAnsi="Arial" w:cs="Arial"/>
          <w:b/>
          <w:sz w:val="24"/>
        </w:rPr>
        <w:t>PBMR TRANSFER CONSOLIDATED DUE DILIGENCE REPORT</w:t>
      </w:r>
      <w:r w:rsidR="00D4276D">
        <w:rPr>
          <w:rFonts w:ascii="Arial" w:hAnsi="Arial" w:cs="Arial"/>
          <w:b/>
          <w:sz w:val="24"/>
        </w:rPr>
        <w:t xml:space="preserve"> METHODOLOG</w:t>
      </w:r>
      <w:r w:rsidR="00155454">
        <w:rPr>
          <w:rFonts w:ascii="Arial" w:hAnsi="Arial" w:cs="Arial"/>
          <w:b/>
          <w:sz w:val="24"/>
        </w:rPr>
        <w:t>IES</w:t>
      </w:r>
    </w:p>
    <w:p w:rsidR="00E3687F" w:rsidRDefault="00E3687F" w:rsidP="00E3687F">
      <w:pPr>
        <w:jc w:val="center"/>
      </w:pPr>
    </w:p>
    <w:p w:rsidR="00E3687F" w:rsidRDefault="00E3687F" w:rsidP="00E3687F">
      <w:pPr>
        <w:jc w:val="center"/>
        <w:rPr>
          <w:b/>
          <w:bCs/>
          <w:noProof/>
        </w:rPr>
      </w:pPr>
    </w:p>
    <w:p w:rsidR="00E3687F" w:rsidRDefault="00E3687F" w:rsidP="00E3687F"/>
    <w:p w:rsidR="00155454" w:rsidRDefault="00155454" w:rsidP="00E3687F"/>
    <w:p w:rsidR="00155454" w:rsidRDefault="00155454" w:rsidP="00E3687F"/>
    <w:p w:rsidR="00155454" w:rsidRDefault="00155454" w:rsidP="00E3687F"/>
    <w:p w:rsidR="00155454" w:rsidRDefault="00155454" w:rsidP="00E3687F"/>
    <w:p w:rsidR="00155454" w:rsidRDefault="00155454" w:rsidP="00E3687F"/>
    <w:p w:rsidR="00155454" w:rsidRDefault="00155454" w:rsidP="00E3687F"/>
    <w:p w:rsidR="00155454" w:rsidRDefault="00155454" w:rsidP="00E3687F"/>
    <w:p w:rsidR="00155454" w:rsidRDefault="00155454" w:rsidP="00E3687F"/>
    <w:p w:rsidR="00155454" w:rsidRDefault="00155454" w:rsidP="00E3687F"/>
    <w:p w:rsidR="00155454" w:rsidRDefault="00155454" w:rsidP="00E3687F"/>
    <w:p w:rsidR="00155454" w:rsidRPr="00E3687F" w:rsidRDefault="00155454" w:rsidP="00155454">
      <w:pPr>
        <w:jc w:val="center"/>
        <w:rPr>
          <w:rFonts w:ascii="Arial" w:hAnsi="Arial" w:cs="Arial"/>
          <w:b/>
          <w:sz w:val="24"/>
          <w:u w:val="single"/>
        </w:rPr>
      </w:pPr>
      <w:r w:rsidRPr="00E3687F">
        <w:rPr>
          <w:rFonts w:ascii="Arial" w:hAnsi="Arial" w:cs="Arial"/>
          <w:b/>
          <w:sz w:val="24"/>
          <w:u w:val="single"/>
        </w:rPr>
        <w:lastRenderedPageBreak/>
        <w:t xml:space="preserve">ANNEXURE </w:t>
      </w:r>
      <w:r>
        <w:rPr>
          <w:rFonts w:ascii="Arial" w:hAnsi="Arial" w:cs="Arial"/>
          <w:b/>
          <w:sz w:val="24"/>
          <w:u w:val="single"/>
        </w:rPr>
        <w:t>A</w:t>
      </w:r>
      <w:r>
        <w:rPr>
          <w:rFonts w:ascii="Arial" w:hAnsi="Arial" w:cs="Arial"/>
          <w:b/>
          <w:sz w:val="24"/>
          <w:u w:val="single"/>
        </w:rPr>
        <w:t>-1</w:t>
      </w:r>
    </w:p>
    <w:p w:rsidR="00155454" w:rsidRDefault="00155454" w:rsidP="0015545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TECHNICAL </w:t>
      </w:r>
      <w:r w:rsidR="00A97A28">
        <w:rPr>
          <w:rFonts w:ascii="Arial" w:hAnsi="Arial" w:cs="Arial"/>
          <w:b/>
          <w:sz w:val="24"/>
        </w:rPr>
        <w:t xml:space="preserve">TASK </w:t>
      </w:r>
      <w:r>
        <w:rPr>
          <w:rFonts w:ascii="Arial" w:hAnsi="Arial" w:cs="Arial"/>
          <w:b/>
          <w:sz w:val="24"/>
        </w:rPr>
        <w:t>TEAM</w:t>
      </w:r>
      <w:r w:rsidR="00A41F26">
        <w:rPr>
          <w:rFonts w:ascii="Arial" w:hAnsi="Arial" w:cs="Arial"/>
          <w:b/>
          <w:sz w:val="24"/>
        </w:rPr>
        <w:t xml:space="preserve"> DUE DILIGENCE</w:t>
      </w:r>
      <w:r>
        <w:rPr>
          <w:rFonts w:ascii="Arial" w:hAnsi="Arial" w:cs="Arial"/>
          <w:b/>
          <w:sz w:val="24"/>
        </w:rPr>
        <w:t xml:space="preserve"> ASSESSMENT METHODOLOGY</w:t>
      </w:r>
    </w:p>
    <w:tbl>
      <w:tblPr>
        <w:tblW w:w="8960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9"/>
        <w:gridCol w:w="8621"/>
      </w:tblGrid>
      <w:tr w:rsidR="00A41F26" w:rsidRPr="00894AB7" w:rsidTr="00CB3C1D">
        <w:trPr>
          <w:trHeight w:val="1140"/>
        </w:trPr>
        <w:tc>
          <w:tcPr>
            <w:tcW w:w="8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41F26" w:rsidRPr="00894AB7" w:rsidRDefault="00A41F26" w:rsidP="00A41F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 xml:space="preserve">The Technical </w:t>
            </w:r>
            <w:r w:rsidR="00A97A28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 xml:space="preserve">Task </w:t>
            </w: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Team</w:t>
            </w:r>
            <w:r w:rsidRPr="00894AB7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 xml:space="preserve"> assess</w:t>
            </w: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ed</w:t>
            </w:r>
            <w:r w:rsidRPr="00894AB7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 xml:space="preserve"> the technology, intellectual property rights, and related business aspects to ensure a successful and legally compliant transfer. Here are some key areas to consider</w:t>
            </w: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ed</w:t>
            </w:r>
            <w:r w:rsidRPr="00894AB7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 xml:space="preserve"> during the due diligence process:</w:t>
            </w:r>
          </w:p>
        </w:tc>
      </w:tr>
      <w:tr w:rsidR="00894AB7" w:rsidRPr="00894AB7" w:rsidTr="00A41F26">
        <w:trPr>
          <w:trHeight w:val="54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894AB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1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894AB7" w:rsidRDefault="00894AB7" w:rsidP="00A41F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</w:pPr>
            <w:r w:rsidRPr="00894AB7"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  <w:t>Technology Assessment:</w:t>
            </w:r>
          </w:p>
        </w:tc>
      </w:tr>
      <w:tr w:rsidR="00894AB7" w:rsidRPr="00894AB7" w:rsidTr="00A41F26">
        <w:trPr>
          <w:trHeight w:val="54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Understand the technology being transferred, including its functionality, scalability, and limitations.</w:t>
            </w:r>
          </w:p>
        </w:tc>
      </w:tr>
      <w:tr w:rsidR="00894AB7" w:rsidRPr="00894AB7" w:rsidTr="00A41F26">
        <w:trPr>
          <w:trHeight w:val="54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Evaluate the stage of development, prototype maturity, and readiness for commercialization.</w:t>
            </w:r>
          </w:p>
        </w:tc>
      </w:tr>
      <w:tr w:rsidR="00894AB7" w:rsidRPr="00894AB7" w:rsidTr="00A41F26">
        <w:trPr>
          <w:trHeight w:val="54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Assess the potential risks and challenges associated with implementing and maintaining the technology.</w:t>
            </w:r>
          </w:p>
        </w:tc>
      </w:tr>
      <w:tr w:rsidR="00894AB7" w:rsidRPr="00894AB7" w:rsidTr="00A41F26">
        <w:trPr>
          <w:trHeight w:val="30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894AB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2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894AB7" w:rsidRDefault="00894AB7" w:rsidP="00A41F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</w:pPr>
            <w:r w:rsidRPr="00894AB7"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  <w:t>Intellectual Property (IP) Evaluation:</w:t>
            </w:r>
          </w:p>
        </w:tc>
      </w:tr>
      <w:tr w:rsidR="00894AB7" w:rsidRPr="00894AB7" w:rsidTr="00A41F26">
        <w:trPr>
          <w:trHeight w:val="57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Identify and review all relevant IP, including patents, copyrights, trademarks, trade secrets, and know-how.</w:t>
            </w:r>
          </w:p>
        </w:tc>
      </w:tr>
      <w:tr w:rsidR="00894AB7" w:rsidRPr="00894AB7" w:rsidTr="00A41F2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Verify the ownership and validity of the IP rights.</w:t>
            </w:r>
          </w:p>
        </w:tc>
      </w:tr>
      <w:tr w:rsidR="00894AB7" w:rsidRPr="00894AB7" w:rsidTr="00A41F2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Assess the scope of protection provided by the IP and identify any potential infringement risks.</w:t>
            </w:r>
          </w:p>
        </w:tc>
      </w:tr>
      <w:tr w:rsidR="00894AB7" w:rsidRPr="00894AB7" w:rsidTr="00A41F2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Review any existing licenses, agreements, or restrictions on the use of the IP.</w:t>
            </w:r>
          </w:p>
        </w:tc>
      </w:tr>
      <w:tr w:rsidR="00894AB7" w:rsidRPr="00894AB7" w:rsidTr="00A41F26">
        <w:trPr>
          <w:trHeight w:val="30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894AB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3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894AB7" w:rsidRDefault="00894AB7" w:rsidP="00A41F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</w:pPr>
            <w:r w:rsidRPr="00894AB7"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  <w:t>Legal and Regulatory Compliance:</w:t>
            </w:r>
          </w:p>
        </w:tc>
      </w:tr>
      <w:tr w:rsidR="00894AB7" w:rsidRPr="00894AB7" w:rsidTr="00A41F26">
        <w:trPr>
          <w:trHeight w:val="57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Ensure compliance with applicable laws, regulations, and industry standards related to the technology.</w:t>
            </w:r>
          </w:p>
        </w:tc>
      </w:tr>
      <w:tr w:rsidR="00894AB7" w:rsidRPr="00894AB7" w:rsidTr="00A41F2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Evaluate any ongoing or potential legal disputes, litigations, or infringement claims.</w:t>
            </w:r>
          </w:p>
        </w:tc>
      </w:tr>
      <w:tr w:rsidR="00894AB7" w:rsidRPr="00894AB7" w:rsidTr="00A41F26">
        <w:trPr>
          <w:trHeight w:val="57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Review contractual obligations and commitments associated with the technology, including confidentiality agreements, licenses, or joint development agreements.</w:t>
            </w:r>
          </w:p>
        </w:tc>
      </w:tr>
      <w:tr w:rsidR="00894AB7" w:rsidRPr="00894AB7" w:rsidTr="00A41F26">
        <w:trPr>
          <w:trHeight w:val="30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894AB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4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894AB7" w:rsidRDefault="00894AB7" w:rsidP="00A41F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</w:pPr>
            <w:r w:rsidRPr="00894AB7"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  <w:t>Financial and Commercial Assessment:</w:t>
            </w:r>
          </w:p>
        </w:tc>
      </w:tr>
      <w:tr w:rsidR="00894AB7" w:rsidRPr="00894AB7" w:rsidTr="00A41F2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Assess the market potential and competitive landscape of the technology.</w:t>
            </w:r>
          </w:p>
        </w:tc>
      </w:tr>
      <w:tr w:rsidR="00894AB7" w:rsidRPr="00894AB7" w:rsidTr="00A41F2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Evaluate the revenue projections, cost structure, and potential profitability.</w:t>
            </w:r>
          </w:p>
        </w:tc>
      </w:tr>
      <w:tr w:rsidR="00894AB7" w:rsidRPr="00894AB7" w:rsidTr="00A41F2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Review existing customer contracts, sales pipeline, and marketing strategies.</w:t>
            </w:r>
          </w:p>
        </w:tc>
      </w:tr>
      <w:tr w:rsidR="00894AB7" w:rsidRPr="00894AB7" w:rsidTr="00A41F26">
        <w:trPr>
          <w:trHeight w:val="57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Identify any outstanding financial obligations, liabilities, or contingent risks related to the technology transfer.</w:t>
            </w:r>
          </w:p>
        </w:tc>
      </w:tr>
      <w:tr w:rsidR="00894AB7" w:rsidRPr="00894AB7" w:rsidTr="00A41F26">
        <w:trPr>
          <w:trHeight w:val="30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894AB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5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894AB7" w:rsidRDefault="00894AB7" w:rsidP="00A41F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</w:pPr>
            <w:r w:rsidRPr="00894AB7"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  <w:t>Operational and Technical Considerations:</w:t>
            </w:r>
          </w:p>
        </w:tc>
      </w:tr>
      <w:tr w:rsidR="00894AB7" w:rsidRPr="00894AB7" w:rsidTr="00A41F26">
        <w:trPr>
          <w:trHeight w:val="42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Evaluate the technical infrastructure required to support the technology.</w:t>
            </w:r>
          </w:p>
        </w:tc>
      </w:tr>
      <w:tr w:rsidR="00894AB7" w:rsidRPr="00894AB7" w:rsidTr="00A41F26">
        <w:trPr>
          <w:trHeight w:val="42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Assess the skillset and expertise of the employees involved in the development and maintenance of the technology.</w:t>
            </w:r>
          </w:p>
        </w:tc>
      </w:tr>
      <w:tr w:rsidR="00894AB7" w:rsidRPr="00894AB7" w:rsidTr="00A41F26">
        <w:trPr>
          <w:trHeight w:val="42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Review any existing operational processes, quality control measures, and risk management frameworks.</w:t>
            </w:r>
          </w:p>
        </w:tc>
      </w:tr>
      <w:tr w:rsidR="00894AB7" w:rsidRPr="00894AB7" w:rsidTr="00A41F26">
        <w:trPr>
          <w:trHeight w:val="42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Identify any dependencies on third-party suppliers, vendors, or service providers.</w:t>
            </w:r>
          </w:p>
        </w:tc>
      </w:tr>
      <w:tr w:rsidR="00894AB7" w:rsidRPr="00894AB7" w:rsidTr="00A41F26">
        <w:trPr>
          <w:trHeight w:val="30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894AB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6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894AB7" w:rsidRDefault="00894AB7" w:rsidP="00A41F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</w:pPr>
            <w:r w:rsidRPr="00894AB7"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  <w:t>Data Security and Privacy:</w:t>
            </w:r>
          </w:p>
        </w:tc>
      </w:tr>
      <w:tr w:rsidR="00894AB7" w:rsidRPr="00894AB7" w:rsidTr="00A41F2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Assess the measures in place to protect sensitive data associated with the technology.</w:t>
            </w:r>
          </w:p>
        </w:tc>
      </w:tr>
      <w:tr w:rsidR="00894AB7" w:rsidRPr="00894AB7" w:rsidTr="00A41F2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Ensure compliance with relevant data protection and privacy regulations.</w:t>
            </w:r>
          </w:p>
        </w:tc>
      </w:tr>
      <w:tr w:rsidR="00894AB7" w:rsidRPr="00894AB7" w:rsidTr="00A41F26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Review any data transfer agreements, data handling processes, and data breach response plans.</w:t>
            </w:r>
          </w:p>
        </w:tc>
      </w:tr>
      <w:tr w:rsidR="00894AB7" w:rsidRPr="00894AB7" w:rsidTr="00A41F26">
        <w:trPr>
          <w:trHeight w:val="30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894AB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7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  <w:t>Organizational and Human Resources:</w:t>
            </w:r>
          </w:p>
        </w:tc>
      </w:tr>
      <w:tr w:rsidR="00894AB7" w:rsidRPr="00894AB7" w:rsidTr="00A41F26">
        <w:trPr>
          <w:trHeight w:val="405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Evaluate the organizational structure and key personnel involved in the technology transfer.</w:t>
            </w:r>
          </w:p>
        </w:tc>
      </w:tr>
      <w:tr w:rsidR="00894AB7" w:rsidRPr="00894AB7" w:rsidTr="00A41F26">
        <w:trPr>
          <w:trHeight w:val="405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Assess the availability of necessary human resources and expertise to support the technology.</w:t>
            </w:r>
          </w:p>
        </w:tc>
      </w:tr>
      <w:tr w:rsidR="00894AB7" w:rsidRPr="00894AB7" w:rsidTr="00A41F26">
        <w:trPr>
          <w:trHeight w:val="405"/>
        </w:trPr>
        <w:tc>
          <w:tcPr>
            <w:tcW w:w="3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AB7" w:rsidRPr="00894AB7" w:rsidRDefault="00894AB7" w:rsidP="008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4AB7" w:rsidRPr="00A41F26" w:rsidRDefault="00894AB7" w:rsidP="00A41F2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>Review employment agreements, non-compete clauses, and any potential post-transfer retention plans.</w:t>
            </w:r>
          </w:p>
        </w:tc>
      </w:tr>
    </w:tbl>
    <w:p w:rsidR="00894AB7" w:rsidRDefault="00894AB7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Pr="00E3687F" w:rsidRDefault="00AD128A" w:rsidP="00AD128A">
      <w:pPr>
        <w:jc w:val="center"/>
        <w:rPr>
          <w:rFonts w:ascii="Arial" w:hAnsi="Arial" w:cs="Arial"/>
          <w:b/>
          <w:sz w:val="24"/>
          <w:u w:val="single"/>
        </w:rPr>
      </w:pPr>
      <w:r w:rsidRPr="00E3687F">
        <w:rPr>
          <w:rFonts w:ascii="Arial" w:hAnsi="Arial" w:cs="Arial"/>
          <w:b/>
          <w:sz w:val="24"/>
          <w:u w:val="single"/>
        </w:rPr>
        <w:t xml:space="preserve">ANNEXURE </w:t>
      </w:r>
      <w:r>
        <w:rPr>
          <w:rFonts w:ascii="Arial" w:hAnsi="Arial" w:cs="Arial"/>
          <w:b/>
          <w:sz w:val="24"/>
          <w:u w:val="single"/>
        </w:rPr>
        <w:t>A-</w:t>
      </w:r>
      <w:r>
        <w:rPr>
          <w:rFonts w:ascii="Arial" w:hAnsi="Arial" w:cs="Arial"/>
          <w:b/>
          <w:sz w:val="24"/>
          <w:u w:val="single"/>
        </w:rPr>
        <w:t>2</w:t>
      </w:r>
    </w:p>
    <w:p w:rsidR="00AD128A" w:rsidRDefault="00AD128A" w:rsidP="00AD128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LEGAL</w:t>
      </w:r>
      <w:r>
        <w:rPr>
          <w:rFonts w:ascii="Arial" w:hAnsi="Arial" w:cs="Arial"/>
          <w:b/>
          <w:sz w:val="24"/>
        </w:rPr>
        <w:t xml:space="preserve"> </w:t>
      </w:r>
      <w:r w:rsidR="00A97A28">
        <w:rPr>
          <w:rFonts w:ascii="Arial" w:hAnsi="Arial" w:cs="Arial"/>
          <w:b/>
          <w:sz w:val="24"/>
        </w:rPr>
        <w:t xml:space="preserve">TASK </w:t>
      </w:r>
      <w:r>
        <w:rPr>
          <w:rFonts w:ascii="Arial" w:hAnsi="Arial" w:cs="Arial"/>
          <w:b/>
          <w:sz w:val="24"/>
        </w:rPr>
        <w:t>TEAM DUE DILIGENCE ASSESSMENT METHODOLOGY</w:t>
      </w:r>
    </w:p>
    <w:tbl>
      <w:tblPr>
        <w:tblW w:w="8960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960"/>
      </w:tblGrid>
      <w:tr w:rsidR="00AD128A" w:rsidRPr="00894AB7" w:rsidTr="00AD128A">
        <w:trPr>
          <w:trHeight w:val="1100"/>
        </w:trPr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D128A" w:rsidRPr="00894AB7" w:rsidRDefault="00AD128A" w:rsidP="00AD12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A41F26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 xml:space="preserve">Legal </w:t>
            </w:r>
            <w:r w:rsidR="00A97A28"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 xml:space="preserve">Task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  <w:t xml:space="preserve">Team </w:t>
            </w:r>
            <w:r w:rsidRPr="000A76FC">
              <w:rPr>
                <w:rFonts w:ascii="Arial" w:hAnsi="Arial" w:cs="Arial"/>
                <w:lang w:val="en-US"/>
              </w:rPr>
              <w:t>formulated their recommendations by addressing the following two questions:</w:t>
            </w:r>
          </w:p>
        </w:tc>
      </w:tr>
      <w:tr w:rsidR="00AD128A" w:rsidRPr="00894AB7" w:rsidTr="00AD128A">
        <w:trPr>
          <w:trHeight w:val="60"/>
        </w:trPr>
        <w:tc>
          <w:tcPr>
            <w:tcW w:w="8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AD128A" w:rsidRPr="00A41F26" w:rsidRDefault="00AD128A" w:rsidP="00AD12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</w:p>
        </w:tc>
      </w:tr>
      <w:tr w:rsidR="00AD128A" w:rsidRPr="00A41F26" w:rsidTr="004A58F2">
        <w:trPr>
          <w:trHeight w:val="540"/>
        </w:trPr>
        <w:tc>
          <w:tcPr>
            <w:tcW w:w="89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AD128A" w:rsidRPr="001C6B0F" w:rsidRDefault="00AD128A" w:rsidP="00AD128A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lang w:val="en-US"/>
              </w:rPr>
            </w:pPr>
            <w:r w:rsidRPr="001C6B0F">
              <w:rPr>
                <w:rFonts w:ascii="Arial" w:hAnsi="Arial" w:cs="Arial"/>
                <w:lang w:val="en-US"/>
              </w:rPr>
              <w:t xml:space="preserve">What is the current shareholding in the PBMR?; and </w:t>
            </w:r>
          </w:p>
        </w:tc>
      </w:tr>
      <w:tr w:rsidR="00AD128A" w:rsidRPr="00A41F26" w:rsidTr="00AD128A">
        <w:trPr>
          <w:trHeight w:val="54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D128A" w:rsidRPr="001C6B0F" w:rsidRDefault="00AD128A" w:rsidP="00AD128A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lang w:val="en-US"/>
              </w:rPr>
            </w:pPr>
            <w:r w:rsidRPr="001C6B0F">
              <w:rPr>
                <w:rFonts w:ascii="Arial" w:hAnsi="Arial" w:cs="Arial"/>
                <w:lang w:val="en-US"/>
              </w:rPr>
              <w:t>What is the optimal option for NECSA to acquire the control of PBMR?</w:t>
            </w:r>
          </w:p>
        </w:tc>
      </w:tr>
    </w:tbl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Default="00AD128A" w:rsidP="00894AB7"/>
    <w:p w:rsidR="00AD128A" w:rsidRPr="00E3687F" w:rsidRDefault="00AD128A" w:rsidP="00AD128A">
      <w:pPr>
        <w:jc w:val="center"/>
        <w:rPr>
          <w:rFonts w:ascii="Arial" w:hAnsi="Arial" w:cs="Arial"/>
          <w:b/>
          <w:sz w:val="24"/>
          <w:u w:val="single"/>
        </w:rPr>
      </w:pPr>
      <w:r w:rsidRPr="00E3687F">
        <w:rPr>
          <w:rFonts w:ascii="Arial" w:hAnsi="Arial" w:cs="Arial"/>
          <w:b/>
          <w:sz w:val="24"/>
          <w:u w:val="single"/>
        </w:rPr>
        <w:t xml:space="preserve">ANNEXURE </w:t>
      </w:r>
      <w:r>
        <w:rPr>
          <w:rFonts w:ascii="Arial" w:hAnsi="Arial" w:cs="Arial"/>
          <w:b/>
          <w:sz w:val="24"/>
          <w:u w:val="single"/>
        </w:rPr>
        <w:t>A-</w:t>
      </w:r>
      <w:r>
        <w:rPr>
          <w:rFonts w:ascii="Arial" w:hAnsi="Arial" w:cs="Arial"/>
          <w:b/>
          <w:sz w:val="24"/>
          <w:u w:val="single"/>
        </w:rPr>
        <w:t>3</w:t>
      </w:r>
    </w:p>
    <w:p w:rsidR="00AD128A" w:rsidRDefault="00D50AAC" w:rsidP="00AD128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FINANC</w:t>
      </w:r>
      <w:r w:rsidR="00A97A28">
        <w:rPr>
          <w:rFonts w:ascii="Arial" w:hAnsi="Arial" w:cs="Arial"/>
          <w:b/>
          <w:sz w:val="24"/>
        </w:rPr>
        <w:t>IAL</w:t>
      </w:r>
      <w:r w:rsidR="00AD128A">
        <w:rPr>
          <w:rFonts w:ascii="Arial" w:hAnsi="Arial" w:cs="Arial"/>
          <w:b/>
          <w:sz w:val="24"/>
        </w:rPr>
        <w:t xml:space="preserve"> </w:t>
      </w:r>
      <w:r w:rsidR="00A97A28">
        <w:rPr>
          <w:rFonts w:ascii="Arial" w:hAnsi="Arial" w:cs="Arial"/>
          <w:b/>
          <w:sz w:val="24"/>
        </w:rPr>
        <w:t xml:space="preserve">TASK </w:t>
      </w:r>
      <w:r w:rsidR="00AD128A">
        <w:rPr>
          <w:rFonts w:ascii="Arial" w:hAnsi="Arial" w:cs="Arial"/>
          <w:b/>
          <w:sz w:val="24"/>
        </w:rPr>
        <w:t>TEAM DUE DILIGENCE ASSESSMENT METHODOLOGY</w:t>
      </w:r>
    </w:p>
    <w:tbl>
      <w:tblPr>
        <w:tblW w:w="8960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9"/>
        <w:gridCol w:w="8621"/>
      </w:tblGrid>
      <w:tr w:rsidR="00D50AAC" w:rsidRPr="00894AB7" w:rsidTr="00D50AAC">
        <w:trPr>
          <w:trHeight w:val="613"/>
        </w:trPr>
        <w:tc>
          <w:tcPr>
            <w:tcW w:w="8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D50AAC" w:rsidRPr="00D50AAC" w:rsidRDefault="00D50AAC" w:rsidP="00D50A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1"/>
                <w:lang w:eastAsia="en-ZA"/>
              </w:rPr>
            </w:pPr>
            <w:r w:rsidRPr="000A76FC">
              <w:rPr>
                <w:rFonts w:ascii="Arial" w:hAnsi="Arial" w:cs="Arial"/>
                <w:lang w:val="en-US"/>
              </w:rPr>
              <w:t xml:space="preserve">The </w:t>
            </w:r>
            <w:r>
              <w:rPr>
                <w:rFonts w:ascii="Arial" w:hAnsi="Arial" w:cs="Arial"/>
                <w:lang w:val="en-US"/>
              </w:rPr>
              <w:t>Financial Task T</w:t>
            </w:r>
            <w:r w:rsidRPr="000A76FC">
              <w:rPr>
                <w:rFonts w:ascii="Arial" w:hAnsi="Arial" w:cs="Arial"/>
                <w:lang w:val="en-US"/>
              </w:rPr>
              <w:t>eam evaluated the following 2023/24 audited financial statements</w:t>
            </w:r>
            <w:r>
              <w:rPr>
                <w:rFonts w:ascii="Arial" w:hAnsi="Arial" w:cs="Arial"/>
                <w:lang w:val="en-US"/>
              </w:rPr>
              <w:t xml:space="preserve"> of the PBMR Company</w:t>
            </w:r>
            <w:r w:rsidRPr="000A76FC">
              <w:rPr>
                <w:rFonts w:ascii="Arial" w:hAnsi="Arial" w:cs="Arial"/>
                <w:lang w:val="en-US"/>
              </w:rPr>
              <w:t>:</w:t>
            </w:r>
          </w:p>
        </w:tc>
      </w:tr>
      <w:tr w:rsidR="00D50AAC" w:rsidRPr="00894AB7" w:rsidTr="008F426B">
        <w:trPr>
          <w:trHeight w:val="54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50AAC" w:rsidRPr="00894AB7" w:rsidRDefault="00D50AAC" w:rsidP="008F4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894AB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1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50AAC" w:rsidRPr="00894AB7" w:rsidRDefault="00D50AAC" w:rsidP="008F42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  <w:t>Financial Statements</w:t>
            </w:r>
            <w:r w:rsidRPr="00894AB7"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  <w:t>:</w:t>
            </w:r>
          </w:p>
        </w:tc>
      </w:tr>
      <w:tr w:rsidR="00D50AAC" w:rsidRPr="00A41F26" w:rsidTr="005566F4">
        <w:trPr>
          <w:trHeight w:val="54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50AAC" w:rsidRPr="00894AB7" w:rsidRDefault="00D50AAC" w:rsidP="00D50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D50AAC" w:rsidRPr="00BC5F4F" w:rsidRDefault="00D50AAC" w:rsidP="00D50AAC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lang w:val="en-US"/>
              </w:rPr>
            </w:pPr>
            <w:r w:rsidRPr="00BC5F4F">
              <w:rPr>
                <w:rFonts w:ascii="Arial" w:hAnsi="Arial" w:cs="Arial"/>
                <w:lang w:val="en-US"/>
              </w:rPr>
              <w:t>Statement of financial position (balance sheet);</w:t>
            </w:r>
          </w:p>
        </w:tc>
      </w:tr>
      <w:tr w:rsidR="00D50AAC" w:rsidRPr="00A41F26" w:rsidTr="005566F4">
        <w:trPr>
          <w:trHeight w:val="54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50AAC" w:rsidRPr="00894AB7" w:rsidRDefault="00D50AAC" w:rsidP="00D50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D50AAC" w:rsidRPr="00BC5F4F" w:rsidRDefault="00D50AAC" w:rsidP="00D50AAC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lang w:val="en-US"/>
              </w:rPr>
            </w:pPr>
            <w:r w:rsidRPr="00BC5F4F">
              <w:rPr>
                <w:rFonts w:ascii="Arial" w:hAnsi="Arial" w:cs="Arial"/>
                <w:lang w:val="en-US"/>
              </w:rPr>
              <w:t>Statement of comprehensive income (income statement); and</w:t>
            </w:r>
          </w:p>
        </w:tc>
      </w:tr>
      <w:tr w:rsidR="00D50AAC" w:rsidRPr="00A41F26" w:rsidTr="005566F4">
        <w:trPr>
          <w:trHeight w:val="540"/>
        </w:trPr>
        <w:tc>
          <w:tcPr>
            <w:tcW w:w="3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50AAC" w:rsidRPr="00894AB7" w:rsidRDefault="00D50AAC" w:rsidP="00D50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D50AAC" w:rsidRPr="00BC5F4F" w:rsidRDefault="00D50AAC" w:rsidP="00D50AAC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lang w:val="en-US"/>
              </w:rPr>
            </w:pPr>
            <w:r w:rsidRPr="00BC5F4F">
              <w:rPr>
                <w:rFonts w:ascii="Arial" w:hAnsi="Arial" w:cs="Arial"/>
                <w:lang w:val="en-US"/>
              </w:rPr>
              <w:t>Statement of cash flows (cash flow statement).</w:t>
            </w:r>
          </w:p>
        </w:tc>
      </w:tr>
      <w:tr w:rsidR="00D50AAC" w:rsidRPr="00894AB7" w:rsidTr="008F426B">
        <w:trPr>
          <w:trHeight w:val="30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50AAC" w:rsidRPr="00894AB7" w:rsidRDefault="00D50AAC" w:rsidP="008F4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894AB7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2</w:t>
            </w:r>
          </w:p>
        </w:tc>
        <w:tc>
          <w:tcPr>
            <w:tcW w:w="862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50AAC" w:rsidRPr="00894AB7" w:rsidRDefault="00D50AAC" w:rsidP="00A97A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  <w:t>A</w:t>
            </w:r>
            <w:r w:rsidR="00A97A28"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  <w:t>ssessment</w:t>
            </w:r>
            <w:r w:rsidRPr="00894AB7"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en-ZA"/>
              </w:rPr>
              <w:t>:</w:t>
            </w:r>
          </w:p>
        </w:tc>
      </w:tr>
      <w:tr w:rsidR="00D50AAC" w:rsidRPr="00A41F26" w:rsidTr="00A97A28">
        <w:trPr>
          <w:trHeight w:val="1220"/>
        </w:trPr>
        <w:tc>
          <w:tcPr>
            <w:tcW w:w="3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AAC" w:rsidRPr="00894AB7" w:rsidRDefault="00D50AAC" w:rsidP="00D50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ZA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0AAC" w:rsidRDefault="00A97A28" w:rsidP="00A97A28">
            <w:pPr>
              <w:jc w:val="both"/>
            </w:pPr>
            <w:r>
              <w:rPr>
                <w:rFonts w:ascii="Arial" w:hAnsi="Arial" w:cs="Arial"/>
                <w:lang w:val="en-US"/>
              </w:rPr>
              <w:t>Additional information</w:t>
            </w:r>
            <w:r w:rsidR="00D50AAC" w:rsidRPr="00DB5668">
              <w:rPr>
                <w:rFonts w:ascii="Arial" w:hAnsi="Arial" w:cs="Arial"/>
                <w:lang w:val="en-US"/>
              </w:rPr>
              <w:t xml:space="preserve"> assessed </w:t>
            </w:r>
            <w:r>
              <w:rPr>
                <w:rFonts w:ascii="Arial" w:hAnsi="Arial" w:cs="Arial"/>
                <w:lang w:val="en-US"/>
              </w:rPr>
              <w:t xml:space="preserve">includes certain </w:t>
            </w:r>
            <w:r w:rsidR="00D50AAC" w:rsidRPr="00DB5668">
              <w:rPr>
                <w:rFonts w:ascii="Arial" w:hAnsi="Arial" w:cs="Arial"/>
                <w:lang w:val="en-US"/>
              </w:rPr>
              <w:t>documents related to financing and funding, such as contributions from various foreign and local shareholders in the PBMR multilateral Public Private Partnership, leading to the examination of the shareholder's agreement.</w:t>
            </w:r>
          </w:p>
        </w:tc>
      </w:tr>
    </w:tbl>
    <w:p w:rsidR="00AD128A" w:rsidRDefault="00AD128A" w:rsidP="00894AB7"/>
    <w:sectPr w:rsidR="00AD1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4E8D"/>
    <w:multiLevelType w:val="hybridMultilevel"/>
    <w:tmpl w:val="89B09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15F"/>
    <w:multiLevelType w:val="hybridMultilevel"/>
    <w:tmpl w:val="59EE5A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71AD1"/>
    <w:multiLevelType w:val="hybridMultilevel"/>
    <w:tmpl w:val="B094A3F6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F705FB"/>
    <w:multiLevelType w:val="hybridMultilevel"/>
    <w:tmpl w:val="59A43C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810EE"/>
    <w:multiLevelType w:val="hybridMultilevel"/>
    <w:tmpl w:val="493251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A152A"/>
    <w:multiLevelType w:val="hybridMultilevel"/>
    <w:tmpl w:val="4A144C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7423"/>
    <w:multiLevelType w:val="hybridMultilevel"/>
    <w:tmpl w:val="579A08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55400"/>
    <w:multiLevelType w:val="hybridMultilevel"/>
    <w:tmpl w:val="EBC44C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108C7"/>
    <w:multiLevelType w:val="hybridMultilevel"/>
    <w:tmpl w:val="F8F20372"/>
    <w:lvl w:ilvl="0" w:tplc="1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8262C0F"/>
    <w:multiLevelType w:val="hybridMultilevel"/>
    <w:tmpl w:val="E34EAF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03A45"/>
    <w:multiLevelType w:val="hybridMultilevel"/>
    <w:tmpl w:val="544A0F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55BB4"/>
    <w:multiLevelType w:val="hybridMultilevel"/>
    <w:tmpl w:val="9A5EB8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7F"/>
    <w:rsid w:val="00064EE2"/>
    <w:rsid w:val="00155454"/>
    <w:rsid w:val="00894AB7"/>
    <w:rsid w:val="00A41F26"/>
    <w:rsid w:val="00A97A28"/>
    <w:rsid w:val="00AD128A"/>
    <w:rsid w:val="00AF0970"/>
    <w:rsid w:val="00D4276D"/>
    <w:rsid w:val="00D4777F"/>
    <w:rsid w:val="00D50AAC"/>
    <w:rsid w:val="00E3687F"/>
    <w:rsid w:val="00EC1208"/>
    <w:rsid w:val="00FA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529C9E-9AE6-48C3-AF6A-705F7C1B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AAC"/>
  </w:style>
  <w:style w:type="paragraph" w:styleId="Heading1">
    <w:name w:val="heading 1"/>
    <w:basedOn w:val="Normal"/>
    <w:next w:val="Normal"/>
    <w:link w:val="Heading1Char"/>
    <w:uiPriority w:val="9"/>
    <w:qFormat/>
    <w:rsid w:val="00E368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87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3687F"/>
    <w:pPr>
      <w:tabs>
        <w:tab w:val="left" w:pos="800"/>
        <w:tab w:val="right" w:leader="dot" w:pos="9629"/>
      </w:tabs>
      <w:spacing w:before="120" w:after="120" w:line="312" w:lineRule="auto"/>
      <w:ind w:left="360"/>
    </w:pPr>
    <w:rPr>
      <w:rFonts w:ascii="Arial" w:eastAsiaTheme="minorEastAsia" w:hAnsi="Arial" w:cstheme="minorHAnsi"/>
      <w:b/>
      <w:bCs/>
      <w:cap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368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3687F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3687F"/>
    <w:pPr>
      <w:tabs>
        <w:tab w:val="left" w:pos="880"/>
        <w:tab w:val="right" w:leader="dot" w:pos="9854"/>
      </w:tabs>
      <w:spacing w:after="100"/>
      <w:ind w:left="220"/>
    </w:pPr>
    <w:rPr>
      <w:rFonts w:ascii="Arial" w:hAnsi="Arial"/>
      <w:sz w:val="24"/>
    </w:rPr>
  </w:style>
  <w:style w:type="paragraph" w:styleId="ListParagraph">
    <w:name w:val="List Paragraph"/>
    <w:aliases w:val="L1 Bulet List"/>
    <w:basedOn w:val="Normal"/>
    <w:link w:val="ListParagraphChar"/>
    <w:uiPriority w:val="34"/>
    <w:qFormat/>
    <w:rsid w:val="00894AB7"/>
    <w:pPr>
      <w:ind w:left="720"/>
      <w:contextualSpacing/>
    </w:pPr>
  </w:style>
  <w:style w:type="character" w:customStyle="1" w:styleId="ListParagraphChar">
    <w:name w:val="List Paragraph Char"/>
    <w:aliases w:val="L1 Bulet List Char"/>
    <w:link w:val="ListParagraph"/>
    <w:uiPriority w:val="34"/>
    <w:rsid w:val="00894AB7"/>
  </w:style>
  <w:style w:type="paragraph" w:styleId="BalloonText">
    <w:name w:val="Balloon Text"/>
    <w:basedOn w:val="Normal"/>
    <w:link w:val="BalloonTextChar"/>
    <w:uiPriority w:val="99"/>
    <w:semiHidden/>
    <w:unhideWhenUsed/>
    <w:rsid w:val="00AD1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Blessed Raphotle</dc:creator>
  <cp:keywords/>
  <dc:description/>
  <cp:lastModifiedBy>Blessed Raphotle</cp:lastModifiedBy>
  <cp:revision>2</cp:revision>
  <dcterms:created xsi:type="dcterms:W3CDTF">2024-05-01T05:12:00Z</dcterms:created>
  <dcterms:modified xsi:type="dcterms:W3CDTF">2024-05-01T05:12:00Z</dcterms:modified>
</cp:coreProperties>
</file>