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</w:t>
      </w:r>
      <w:r w:rsidR="00453A33" w:rsidRPr="000B76CE">
        <w:rPr>
          <w:rFonts w:ascii="Arial Narrow" w:hAnsi="Arial Narrow" w:cs="Times New Roman"/>
          <w:color w:val="000000"/>
        </w:rPr>
        <w:lastRenderedPageBreak/>
        <w:t xml:space="preserve">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cause(s). As </w:t>
      </w:r>
      <w:r w:rsidRPr="00AA49D4">
        <w:rPr>
          <w:rFonts w:ascii="Arial Narrow" w:hAnsi="Arial Narrow" w:cs="Times New Roman"/>
          <w:color w:val="000000"/>
        </w:rPr>
        <w:lastRenderedPageBreak/>
        <w:t>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 xml:space="preserve">own merits. According to section 32 of </w:t>
      </w:r>
      <w:r w:rsidRPr="00805562">
        <w:rPr>
          <w:rFonts w:ascii="Arial Narrow" w:hAnsi="Arial Narrow" w:cs="Times New Roman"/>
          <w:color w:val="000000"/>
        </w:rPr>
        <w:lastRenderedPageBreak/>
        <w:t>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61CE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2022-07-25T09:17:00Z</dcterms:created>
  <dcterms:modified xsi:type="dcterms:W3CDTF">2022-07-25T09:17:00Z</dcterms:modified>
</cp:coreProperties>
</file>