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F279D" w14:textId="77777777" w:rsidR="00EE2172" w:rsidRDefault="00EE2172" w:rsidP="00EE2172">
      <w:pPr>
        <w:pStyle w:val="DLFrontPage"/>
        <w:spacing w:after="360" w:line="360" w:lineRule="atLeast"/>
        <w:rPr>
          <w:b/>
        </w:rPr>
      </w:pPr>
    </w:p>
    <w:p w14:paraId="4BAF95B0" w14:textId="77777777" w:rsidR="00EE2172" w:rsidRDefault="00EE2172" w:rsidP="00EE2172">
      <w:pPr>
        <w:pStyle w:val="DLFrontPage"/>
        <w:spacing w:after="360" w:line="360" w:lineRule="atLeast"/>
        <w:rPr>
          <w:b/>
        </w:rPr>
      </w:pPr>
    </w:p>
    <w:tbl>
      <w:tblPr>
        <w:tblW w:w="0" w:type="auto"/>
        <w:jc w:val="center"/>
        <w:tblLayout w:type="fixed"/>
        <w:tblCellMar>
          <w:top w:w="220" w:type="dxa"/>
        </w:tblCellMar>
        <w:tblLook w:val="04A0" w:firstRow="1" w:lastRow="0" w:firstColumn="1" w:lastColumn="0" w:noHBand="0" w:noVBand="1"/>
      </w:tblPr>
      <w:tblGrid>
        <w:gridCol w:w="7115"/>
      </w:tblGrid>
      <w:tr w:rsidR="00EE2172" w14:paraId="58A1C518" w14:textId="77777777">
        <w:trPr>
          <w:jc w:val="center"/>
        </w:trPr>
        <w:tc>
          <w:tcPr>
            <w:tcW w:w="7115" w:type="dxa"/>
            <w:tcBorders>
              <w:top w:val="single" w:sz="6" w:space="0" w:color="auto"/>
              <w:left w:val="nil"/>
              <w:bottom w:val="single" w:sz="6" w:space="0" w:color="auto"/>
              <w:right w:val="nil"/>
            </w:tcBorders>
            <w:vAlign w:val="center"/>
          </w:tcPr>
          <w:p w14:paraId="2A0E711B" w14:textId="77777777" w:rsidR="00EE2172" w:rsidRDefault="00EE2172">
            <w:pPr>
              <w:pStyle w:val="DLFrontPage"/>
              <w:spacing w:after="360" w:line="360" w:lineRule="atLeast"/>
              <w:rPr>
                <w:bCs/>
                <w:sz w:val="36"/>
                <w:szCs w:val="36"/>
              </w:rPr>
            </w:pPr>
          </w:p>
          <w:p w14:paraId="0715EF6E" w14:textId="77777777" w:rsidR="00EE2172" w:rsidRDefault="00EE2172">
            <w:pPr>
              <w:pStyle w:val="DLFrontPage"/>
              <w:spacing w:after="360" w:line="360" w:lineRule="atLeast"/>
              <w:rPr>
                <w:b/>
                <w:sz w:val="36"/>
                <w:szCs w:val="36"/>
              </w:rPr>
            </w:pPr>
            <w:r>
              <w:rPr>
                <w:b/>
                <w:sz w:val="36"/>
                <w:szCs w:val="36"/>
              </w:rPr>
              <w:t>ANNEXURE B</w:t>
            </w:r>
          </w:p>
          <w:p w14:paraId="6F8F0189" w14:textId="7AF9F22C" w:rsidR="00EE2172" w:rsidRDefault="00EE2172">
            <w:pPr>
              <w:pStyle w:val="DLFrontPage"/>
              <w:spacing w:after="360" w:line="360" w:lineRule="atLeast"/>
              <w:rPr>
                <w:bCs/>
                <w:sz w:val="36"/>
                <w:szCs w:val="36"/>
              </w:rPr>
            </w:pPr>
            <w:r>
              <w:rPr>
                <w:bCs/>
                <w:sz w:val="36"/>
                <w:szCs w:val="36"/>
              </w:rPr>
              <w:t xml:space="preserve">Terms of Reference for </w:t>
            </w:r>
            <w:r w:rsidR="00BE7246">
              <w:rPr>
                <w:bCs/>
                <w:sz w:val="36"/>
                <w:szCs w:val="36"/>
              </w:rPr>
              <w:t>a</w:t>
            </w:r>
            <w:r>
              <w:rPr>
                <w:bCs/>
                <w:sz w:val="36"/>
                <w:szCs w:val="36"/>
              </w:rPr>
              <w:t xml:space="preserve">n Environmental Monitoring Programme </w:t>
            </w:r>
          </w:p>
          <w:p w14:paraId="5C3AD5E9" w14:textId="6D15F939" w:rsidR="00EE2172" w:rsidRDefault="00EE2172">
            <w:pPr>
              <w:pStyle w:val="DLFrontPage"/>
              <w:spacing w:after="360" w:line="360" w:lineRule="atLeast"/>
              <w:rPr>
                <w:bCs/>
                <w:sz w:val="36"/>
                <w:szCs w:val="36"/>
              </w:rPr>
            </w:pPr>
            <w:r>
              <w:rPr>
                <w:bCs/>
                <w:sz w:val="36"/>
                <w:szCs w:val="36"/>
              </w:rPr>
              <w:t>Umkomaas Regional Sewage Treatment Plant</w:t>
            </w:r>
          </w:p>
          <w:p w14:paraId="582D3046" w14:textId="77777777" w:rsidR="00EE2172" w:rsidRDefault="00EE2172">
            <w:pPr>
              <w:pStyle w:val="DLFrontPage"/>
              <w:spacing w:after="360" w:line="360" w:lineRule="atLeast"/>
              <w:rPr>
                <w:b/>
              </w:rPr>
            </w:pPr>
          </w:p>
        </w:tc>
      </w:tr>
    </w:tbl>
    <w:p w14:paraId="5113177D" w14:textId="77777777" w:rsidR="00EE2172" w:rsidRDefault="00EE2172" w:rsidP="00EE2172"/>
    <w:p w14:paraId="51DD7B4A" w14:textId="77777777" w:rsidR="00F94828" w:rsidRDefault="00F94828" w:rsidP="00EE2172">
      <w:pPr>
        <w:sectPr w:rsidR="00F94828" w:rsidSect="00B44C8B">
          <w:headerReference w:type="even" r:id="rId11"/>
          <w:headerReference w:type="default" r:id="rId12"/>
          <w:footerReference w:type="even" r:id="rId13"/>
          <w:footerReference w:type="default" r:id="rId14"/>
          <w:headerReference w:type="first" r:id="rId15"/>
          <w:footerReference w:type="first" r:id="rId16"/>
          <w:pgSz w:w="11910" w:h="16840"/>
          <w:pgMar w:top="1920" w:right="1470" w:bottom="940" w:left="940" w:header="691" w:footer="752" w:gutter="0"/>
          <w:pgNumType w:fmt="lowerRoman"/>
          <w:cols w:space="720"/>
          <w:titlePg/>
          <w:docGrid w:linePitch="272"/>
        </w:sectPr>
      </w:pPr>
    </w:p>
    <w:p w14:paraId="6478F438" w14:textId="77777777" w:rsidR="00EE2172" w:rsidRDefault="00EE2172" w:rsidP="00EE2172"/>
    <w:p w14:paraId="0F3DF212" w14:textId="77777777" w:rsidR="00EE2172" w:rsidRDefault="00EE2172" w:rsidP="00EE2172"/>
    <w:p w14:paraId="3F2805DE" w14:textId="77777777" w:rsidR="000D5AB3" w:rsidRDefault="00EE2172" w:rsidP="000D5AB3">
      <w:pPr>
        <w:spacing w:before="233"/>
        <w:ind w:left="308"/>
        <w:jc w:val="both"/>
        <w:rPr>
          <w:rFonts w:eastAsia="Arial"/>
          <w:b/>
          <w:color w:val="323E4F" w:themeColor="text2" w:themeShade="BF"/>
          <w:sz w:val="28"/>
          <w:lang w:val="en-ZA" w:eastAsia="en-ZA"/>
        </w:rPr>
      </w:pPr>
      <w:r>
        <w:br w:type="page"/>
      </w:r>
      <w:r w:rsidR="000D5AB3">
        <w:rPr>
          <w:b/>
          <w:color w:val="323E4F" w:themeColor="text2" w:themeShade="BF"/>
          <w:sz w:val="28"/>
        </w:rPr>
        <w:lastRenderedPageBreak/>
        <w:t>TABLE OF CONTENTS</w:t>
      </w:r>
    </w:p>
    <w:p w14:paraId="7D75DB67" w14:textId="77777777" w:rsidR="000D5AB3" w:rsidRDefault="000D5AB3" w:rsidP="00EA6A6E">
      <w:pPr>
        <w:pStyle w:val="TOC1"/>
        <w:rPr>
          <w:rFonts w:asciiTheme="minorHAnsi" w:eastAsiaTheme="minorEastAsia" w:hAnsiTheme="minorHAnsi" w:cstheme="minorBidi"/>
          <w:b w:val="0"/>
          <w:bCs w:val="0"/>
          <w:noProof/>
          <w:color w:val="auto"/>
          <w:sz w:val="22"/>
          <w:szCs w:val="22"/>
          <w:lang w:bidi="ar-SA"/>
        </w:rPr>
      </w:pPr>
      <w:r>
        <w:rPr>
          <w:b w:val="0"/>
          <w:bCs w:val="0"/>
        </w:rPr>
        <w:fldChar w:fldCharType="begin"/>
      </w:r>
      <w:r>
        <w:rPr>
          <w:b w:val="0"/>
          <w:bCs w:val="0"/>
        </w:rPr>
        <w:instrText xml:space="preserve"> TOC \o "1-5" \h \z \u </w:instrText>
      </w:r>
      <w:r>
        <w:rPr>
          <w:b w:val="0"/>
          <w:bCs w:val="0"/>
        </w:rPr>
        <w:fldChar w:fldCharType="separate"/>
      </w:r>
      <w:hyperlink r:id="rId17" w:anchor="_Toc127283777" w:history="1">
        <w:r>
          <w:rPr>
            <w:rStyle w:val="Hyperlink"/>
            <w:noProof/>
          </w:rPr>
          <w:t>1</w:t>
        </w:r>
        <w:r>
          <w:rPr>
            <w:rStyle w:val="Hyperlink"/>
            <w:rFonts w:asciiTheme="minorHAnsi" w:eastAsiaTheme="minorEastAsia" w:hAnsiTheme="minorHAnsi" w:cstheme="minorBidi"/>
            <w:b w:val="0"/>
            <w:bCs w:val="0"/>
            <w:noProof/>
            <w:color w:val="auto"/>
            <w:sz w:val="22"/>
            <w:szCs w:val="22"/>
            <w:lang w:bidi="ar-SA"/>
          </w:rPr>
          <w:tab/>
        </w:r>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_Toc127283777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14:paraId="2D6F02BE" w14:textId="77777777" w:rsidR="000D5AB3" w:rsidRDefault="00000000" w:rsidP="000D5AB3">
      <w:pPr>
        <w:pStyle w:val="TOC2"/>
        <w:rPr>
          <w:rFonts w:asciiTheme="minorHAnsi" w:eastAsiaTheme="minorEastAsia" w:hAnsiTheme="minorHAnsi" w:cstheme="minorBidi"/>
          <w:bCs w:val="0"/>
          <w:noProof/>
          <w:color w:val="auto"/>
          <w:sz w:val="22"/>
          <w:szCs w:val="22"/>
          <w:lang w:bidi="ar-SA"/>
        </w:rPr>
      </w:pPr>
      <w:hyperlink r:id="rId18" w:anchor="_Toc127283778" w:history="1">
        <w:r w:rsidR="000D5AB3">
          <w:rPr>
            <w:rStyle w:val="Hyperlink"/>
            <w:noProof/>
          </w:rPr>
          <w:t>1.1</w:t>
        </w:r>
        <w:r w:rsidR="000D5AB3">
          <w:rPr>
            <w:rStyle w:val="Hyperlink"/>
            <w:rFonts w:asciiTheme="minorHAnsi" w:eastAsiaTheme="minorEastAsia" w:hAnsiTheme="minorHAnsi" w:cstheme="minorBidi"/>
            <w:bCs w:val="0"/>
            <w:noProof/>
            <w:color w:val="auto"/>
            <w:sz w:val="22"/>
            <w:szCs w:val="22"/>
            <w:lang w:bidi="ar-SA"/>
          </w:rPr>
          <w:tab/>
        </w:r>
        <w:r w:rsidR="000D5AB3">
          <w:rPr>
            <w:rStyle w:val="Hyperlink"/>
            <w:noProof/>
          </w:rPr>
          <w:t>Purpose</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_Toc127283778 \h </w:instrText>
        </w:r>
        <w:r w:rsidR="000D5AB3">
          <w:rPr>
            <w:rStyle w:val="Hyperlink"/>
            <w:noProof/>
            <w:webHidden/>
          </w:rPr>
        </w:r>
        <w:r w:rsidR="000D5AB3">
          <w:rPr>
            <w:rStyle w:val="Hyperlink"/>
            <w:noProof/>
            <w:webHidden/>
          </w:rPr>
          <w:fldChar w:fldCharType="separate"/>
        </w:r>
        <w:r w:rsidR="000D5AB3">
          <w:rPr>
            <w:rStyle w:val="Hyperlink"/>
            <w:noProof/>
            <w:webHidden/>
          </w:rPr>
          <w:t>4</w:t>
        </w:r>
        <w:r w:rsidR="000D5AB3">
          <w:rPr>
            <w:rStyle w:val="Hyperlink"/>
            <w:noProof/>
            <w:webHidden/>
          </w:rPr>
          <w:fldChar w:fldCharType="end"/>
        </w:r>
      </w:hyperlink>
    </w:p>
    <w:p w14:paraId="16C90479" w14:textId="77777777" w:rsidR="000D5AB3" w:rsidRDefault="00000000" w:rsidP="00EA6A6E">
      <w:pPr>
        <w:pStyle w:val="TOC1"/>
        <w:rPr>
          <w:rFonts w:asciiTheme="minorHAnsi" w:eastAsiaTheme="minorEastAsia" w:hAnsiTheme="minorHAnsi" w:cstheme="minorBidi"/>
          <w:b w:val="0"/>
          <w:bCs w:val="0"/>
          <w:noProof/>
          <w:color w:val="auto"/>
          <w:sz w:val="22"/>
          <w:szCs w:val="22"/>
          <w:lang w:bidi="ar-SA"/>
        </w:rPr>
      </w:pPr>
      <w:hyperlink r:id="rId19" w:anchor="_Toc127283779" w:history="1">
        <w:r w:rsidR="000D5AB3">
          <w:rPr>
            <w:rStyle w:val="Hyperlink"/>
            <w:noProof/>
          </w:rPr>
          <w:t>2</w:t>
        </w:r>
        <w:r w:rsidR="000D5AB3">
          <w:rPr>
            <w:rStyle w:val="Hyperlink"/>
            <w:rFonts w:asciiTheme="minorHAnsi" w:eastAsiaTheme="minorEastAsia" w:hAnsiTheme="minorHAnsi" w:cstheme="minorBidi"/>
            <w:b w:val="0"/>
            <w:bCs w:val="0"/>
            <w:noProof/>
            <w:color w:val="auto"/>
            <w:sz w:val="22"/>
            <w:szCs w:val="22"/>
            <w:lang w:bidi="ar-SA"/>
          </w:rPr>
          <w:tab/>
        </w:r>
        <w:r w:rsidR="000D5AB3">
          <w:rPr>
            <w:rStyle w:val="Hyperlink"/>
            <w:noProof/>
          </w:rPr>
          <w:t>REGULATORY FRAMEWORK</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_Toc127283779 \h </w:instrText>
        </w:r>
        <w:r w:rsidR="000D5AB3">
          <w:rPr>
            <w:rStyle w:val="Hyperlink"/>
            <w:noProof/>
            <w:webHidden/>
          </w:rPr>
        </w:r>
        <w:r w:rsidR="000D5AB3">
          <w:rPr>
            <w:rStyle w:val="Hyperlink"/>
            <w:noProof/>
            <w:webHidden/>
          </w:rPr>
          <w:fldChar w:fldCharType="separate"/>
        </w:r>
        <w:r w:rsidR="000D5AB3">
          <w:rPr>
            <w:rStyle w:val="Hyperlink"/>
            <w:noProof/>
            <w:webHidden/>
          </w:rPr>
          <w:t>5</w:t>
        </w:r>
        <w:r w:rsidR="000D5AB3">
          <w:rPr>
            <w:rStyle w:val="Hyperlink"/>
            <w:noProof/>
            <w:webHidden/>
          </w:rPr>
          <w:fldChar w:fldCharType="end"/>
        </w:r>
      </w:hyperlink>
    </w:p>
    <w:p w14:paraId="38BD5A71" w14:textId="77777777" w:rsidR="000D5AB3" w:rsidRDefault="00000000" w:rsidP="000D5AB3">
      <w:pPr>
        <w:pStyle w:val="TOC1"/>
        <w:rPr>
          <w:rFonts w:asciiTheme="minorHAnsi" w:eastAsiaTheme="minorEastAsia" w:hAnsiTheme="minorHAnsi" w:cstheme="minorBidi"/>
          <w:b w:val="0"/>
          <w:bCs w:val="0"/>
          <w:noProof/>
          <w:color w:val="auto"/>
          <w:sz w:val="22"/>
          <w:szCs w:val="22"/>
          <w:lang w:bidi="ar-SA"/>
        </w:rPr>
      </w:pPr>
      <w:hyperlink r:id="rId20" w:anchor="_Toc127283780" w:history="1">
        <w:r w:rsidR="000D5AB3">
          <w:rPr>
            <w:rStyle w:val="Hyperlink"/>
            <w:noProof/>
          </w:rPr>
          <w:t>3</w:t>
        </w:r>
        <w:r w:rsidR="000D5AB3">
          <w:rPr>
            <w:rStyle w:val="Hyperlink"/>
            <w:rFonts w:asciiTheme="minorHAnsi" w:eastAsiaTheme="minorEastAsia" w:hAnsiTheme="minorHAnsi" w:cstheme="minorBidi"/>
            <w:b w:val="0"/>
            <w:bCs w:val="0"/>
            <w:noProof/>
            <w:color w:val="auto"/>
            <w:sz w:val="22"/>
            <w:szCs w:val="22"/>
            <w:lang w:bidi="ar-SA"/>
          </w:rPr>
          <w:tab/>
        </w:r>
        <w:r w:rsidR="000D5AB3">
          <w:rPr>
            <w:rStyle w:val="Hyperlink"/>
            <w:noProof/>
          </w:rPr>
          <w:t>TERMS OF REFERENCE</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_Toc127283780 \h </w:instrText>
        </w:r>
        <w:r w:rsidR="000D5AB3">
          <w:rPr>
            <w:rStyle w:val="Hyperlink"/>
            <w:noProof/>
            <w:webHidden/>
          </w:rPr>
        </w:r>
        <w:r w:rsidR="000D5AB3">
          <w:rPr>
            <w:rStyle w:val="Hyperlink"/>
            <w:noProof/>
            <w:webHidden/>
          </w:rPr>
          <w:fldChar w:fldCharType="separate"/>
        </w:r>
        <w:r w:rsidR="000D5AB3">
          <w:rPr>
            <w:rStyle w:val="Hyperlink"/>
            <w:noProof/>
            <w:webHidden/>
          </w:rPr>
          <w:t>10</w:t>
        </w:r>
        <w:r w:rsidR="000D5AB3">
          <w:rPr>
            <w:rStyle w:val="Hyperlink"/>
            <w:noProof/>
            <w:webHidden/>
          </w:rPr>
          <w:fldChar w:fldCharType="end"/>
        </w:r>
      </w:hyperlink>
    </w:p>
    <w:p w14:paraId="53437BA3" w14:textId="77777777" w:rsidR="000D5AB3" w:rsidRDefault="00000000" w:rsidP="000D5AB3">
      <w:pPr>
        <w:pStyle w:val="TOC2"/>
        <w:rPr>
          <w:rFonts w:asciiTheme="minorHAnsi" w:eastAsiaTheme="minorEastAsia" w:hAnsiTheme="minorHAnsi" w:cstheme="minorBidi"/>
          <w:noProof/>
          <w:color w:val="auto"/>
          <w:sz w:val="22"/>
          <w:szCs w:val="22"/>
          <w:lang w:bidi="ar-SA"/>
        </w:rPr>
      </w:pPr>
      <w:hyperlink r:id="rId21" w:anchor="_Toc127283781" w:history="1">
        <w:r w:rsidR="000D5AB3">
          <w:rPr>
            <w:rStyle w:val="Hyperlink"/>
            <w:noProof/>
          </w:rPr>
          <w:t>3.1</w:t>
        </w:r>
        <w:r w:rsidR="000D5AB3">
          <w:rPr>
            <w:rStyle w:val="Hyperlink"/>
            <w:rFonts w:asciiTheme="minorHAnsi" w:eastAsiaTheme="minorEastAsia" w:hAnsiTheme="minorHAnsi" w:cstheme="minorBidi"/>
            <w:noProof/>
            <w:color w:val="auto"/>
            <w:sz w:val="22"/>
            <w:szCs w:val="22"/>
            <w:lang w:bidi="ar-SA"/>
          </w:rPr>
          <w:tab/>
        </w:r>
        <w:r w:rsidR="000D5AB3">
          <w:rPr>
            <w:rStyle w:val="Hyperlink"/>
            <w:noProof/>
          </w:rPr>
          <w:t>Water Quality Monitoring Programme and Biomonitoring</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_Toc127283781 \h </w:instrText>
        </w:r>
        <w:r w:rsidR="000D5AB3">
          <w:rPr>
            <w:rStyle w:val="Hyperlink"/>
            <w:noProof/>
            <w:webHidden/>
          </w:rPr>
        </w:r>
        <w:r w:rsidR="000D5AB3">
          <w:rPr>
            <w:rStyle w:val="Hyperlink"/>
            <w:noProof/>
            <w:webHidden/>
          </w:rPr>
          <w:fldChar w:fldCharType="separate"/>
        </w:r>
        <w:r w:rsidR="000D5AB3">
          <w:rPr>
            <w:rStyle w:val="Hyperlink"/>
            <w:noProof/>
            <w:webHidden/>
          </w:rPr>
          <w:t>13</w:t>
        </w:r>
        <w:r w:rsidR="000D5AB3">
          <w:rPr>
            <w:rStyle w:val="Hyperlink"/>
            <w:noProof/>
            <w:webHidden/>
          </w:rPr>
          <w:fldChar w:fldCharType="end"/>
        </w:r>
      </w:hyperlink>
    </w:p>
    <w:p w14:paraId="5EEB0D35" w14:textId="77777777" w:rsidR="000D5AB3" w:rsidRDefault="00000000" w:rsidP="000D5AB3">
      <w:pPr>
        <w:pStyle w:val="TOC3"/>
        <w:rPr>
          <w:rFonts w:asciiTheme="minorHAnsi" w:eastAsiaTheme="minorEastAsia" w:hAnsiTheme="minorHAnsi" w:cstheme="minorBidi"/>
          <w:bCs/>
          <w:noProof/>
          <w:color w:val="auto"/>
          <w:sz w:val="22"/>
          <w:szCs w:val="22"/>
          <w:lang w:bidi="ar-SA"/>
        </w:rPr>
      </w:pPr>
      <w:hyperlink r:id="rId22" w:anchor="_Toc127283782" w:history="1">
        <w:r w:rsidR="000D5AB3">
          <w:rPr>
            <w:rStyle w:val="Hyperlink"/>
            <w:bCs/>
            <w:iCs/>
            <w:noProof/>
          </w:rPr>
          <w:t>3.1.1</w:t>
        </w:r>
        <w:r w:rsidR="000D5AB3">
          <w:rPr>
            <w:rStyle w:val="Hyperlink"/>
            <w:rFonts w:asciiTheme="minorHAnsi" w:eastAsiaTheme="minorEastAsia" w:hAnsiTheme="minorHAnsi" w:cstheme="minorBidi"/>
            <w:bCs/>
            <w:noProof/>
            <w:color w:val="auto"/>
            <w:sz w:val="22"/>
            <w:szCs w:val="22"/>
            <w:lang w:bidi="ar-SA"/>
          </w:rPr>
          <w:tab/>
        </w:r>
        <w:r w:rsidR="000D5AB3">
          <w:rPr>
            <w:rStyle w:val="Hyperlink"/>
            <w:bCs/>
            <w:iCs/>
            <w:noProof/>
          </w:rPr>
          <w:t>Groundwater and Soil Monitoring</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_Toc127283782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13</w:t>
        </w:r>
        <w:r w:rsidR="000D5AB3">
          <w:rPr>
            <w:rStyle w:val="Hyperlink"/>
            <w:bCs/>
            <w:noProof/>
            <w:webHidden/>
          </w:rPr>
          <w:fldChar w:fldCharType="end"/>
        </w:r>
      </w:hyperlink>
    </w:p>
    <w:p w14:paraId="7A6680CB" w14:textId="77777777" w:rsidR="000D5AB3" w:rsidRDefault="00000000" w:rsidP="000D5AB3">
      <w:pPr>
        <w:pStyle w:val="TOC4"/>
        <w:rPr>
          <w:rFonts w:asciiTheme="minorHAnsi" w:eastAsiaTheme="minorEastAsia" w:hAnsiTheme="minorHAnsi" w:cstheme="minorBidi"/>
          <w:bCs/>
          <w:noProof/>
          <w:color w:val="auto"/>
          <w:sz w:val="22"/>
          <w:lang w:bidi="ar-SA"/>
        </w:rPr>
      </w:pPr>
      <w:hyperlink r:id="rId23" w:anchor="_Toc127283783" w:history="1">
        <w:r w:rsidR="000D5AB3">
          <w:rPr>
            <w:rStyle w:val="Hyperlink"/>
            <w:bCs/>
            <w:iCs/>
            <w:noProof/>
          </w:rPr>
          <w:t>3.1.1.1</w:t>
        </w:r>
        <w:r w:rsidR="000D5AB3">
          <w:rPr>
            <w:rStyle w:val="Hyperlink"/>
            <w:rFonts w:asciiTheme="minorHAnsi" w:eastAsiaTheme="minorEastAsia" w:hAnsiTheme="minorHAnsi" w:cstheme="minorBidi"/>
            <w:bCs/>
            <w:noProof/>
            <w:color w:val="auto"/>
            <w:sz w:val="22"/>
            <w:lang w:bidi="ar-SA"/>
          </w:rPr>
          <w:tab/>
        </w:r>
        <w:r w:rsidR="000D5AB3">
          <w:rPr>
            <w:rStyle w:val="Hyperlink"/>
            <w:bCs/>
            <w:iCs/>
            <w:noProof/>
          </w:rPr>
          <w:t>Phase 1: Pre-Construction Baseline</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_Toc127283783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13</w:t>
        </w:r>
        <w:r w:rsidR="000D5AB3">
          <w:rPr>
            <w:rStyle w:val="Hyperlink"/>
            <w:bCs/>
            <w:noProof/>
            <w:webHidden/>
          </w:rPr>
          <w:fldChar w:fldCharType="end"/>
        </w:r>
      </w:hyperlink>
    </w:p>
    <w:p w14:paraId="4967E415" w14:textId="77777777" w:rsidR="000D5AB3" w:rsidRDefault="00000000" w:rsidP="000D5AB3">
      <w:pPr>
        <w:pStyle w:val="TOC4"/>
        <w:rPr>
          <w:rFonts w:asciiTheme="minorHAnsi" w:eastAsiaTheme="minorEastAsia" w:hAnsiTheme="minorHAnsi" w:cstheme="minorBidi"/>
          <w:bCs/>
          <w:noProof/>
          <w:color w:val="auto"/>
          <w:sz w:val="22"/>
          <w:lang w:bidi="ar-SA"/>
        </w:rPr>
      </w:pPr>
      <w:hyperlink r:id="rId24" w:anchor="_Toc127283784" w:history="1">
        <w:r w:rsidR="000D5AB3">
          <w:rPr>
            <w:rStyle w:val="Hyperlink"/>
            <w:bCs/>
            <w:iCs/>
            <w:noProof/>
          </w:rPr>
          <w:t>3.1.1.2</w:t>
        </w:r>
        <w:r w:rsidR="000D5AB3">
          <w:rPr>
            <w:rStyle w:val="Hyperlink"/>
            <w:rFonts w:asciiTheme="minorHAnsi" w:eastAsiaTheme="minorEastAsia" w:hAnsiTheme="minorHAnsi" w:cstheme="minorBidi"/>
            <w:bCs/>
            <w:noProof/>
            <w:color w:val="auto"/>
            <w:sz w:val="22"/>
            <w:lang w:bidi="ar-SA"/>
          </w:rPr>
          <w:tab/>
        </w:r>
        <w:r w:rsidR="000D5AB3">
          <w:rPr>
            <w:rStyle w:val="Hyperlink"/>
            <w:bCs/>
            <w:iCs/>
            <w:noProof/>
          </w:rPr>
          <w:t>Phase 2: Monitoring (During Construction)</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_Toc127283784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13</w:t>
        </w:r>
        <w:r w:rsidR="000D5AB3">
          <w:rPr>
            <w:rStyle w:val="Hyperlink"/>
            <w:bCs/>
            <w:noProof/>
            <w:webHidden/>
          </w:rPr>
          <w:fldChar w:fldCharType="end"/>
        </w:r>
      </w:hyperlink>
    </w:p>
    <w:p w14:paraId="31A5C8AE" w14:textId="77777777" w:rsidR="000D5AB3" w:rsidRDefault="00000000" w:rsidP="000D5AB3">
      <w:pPr>
        <w:pStyle w:val="TOC4"/>
        <w:rPr>
          <w:rFonts w:asciiTheme="minorHAnsi" w:eastAsiaTheme="minorEastAsia" w:hAnsiTheme="minorHAnsi" w:cstheme="minorBidi"/>
          <w:bCs/>
          <w:noProof/>
          <w:color w:val="auto"/>
          <w:sz w:val="22"/>
          <w:lang w:bidi="ar-SA"/>
        </w:rPr>
      </w:pPr>
      <w:hyperlink r:id="rId25" w:anchor="_Toc127283785" w:history="1">
        <w:r w:rsidR="000D5AB3">
          <w:rPr>
            <w:rStyle w:val="Hyperlink"/>
            <w:bCs/>
            <w:iCs/>
            <w:noProof/>
          </w:rPr>
          <w:t>3.1.1.3</w:t>
        </w:r>
        <w:r w:rsidR="000D5AB3">
          <w:rPr>
            <w:rStyle w:val="Hyperlink"/>
            <w:rFonts w:asciiTheme="minorHAnsi" w:eastAsiaTheme="minorEastAsia" w:hAnsiTheme="minorHAnsi" w:cstheme="minorBidi"/>
            <w:bCs/>
            <w:noProof/>
            <w:color w:val="auto"/>
            <w:sz w:val="22"/>
            <w:lang w:bidi="ar-SA"/>
          </w:rPr>
          <w:tab/>
        </w:r>
        <w:r w:rsidR="000D5AB3">
          <w:rPr>
            <w:rStyle w:val="Hyperlink"/>
            <w:bCs/>
            <w:iCs/>
            <w:noProof/>
          </w:rPr>
          <w:t>Phase 3: Monitoring (During Operations)</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_Toc127283785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13</w:t>
        </w:r>
        <w:r w:rsidR="000D5AB3">
          <w:rPr>
            <w:rStyle w:val="Hyperlink"/>
            <w:bCs/>
            <w:noProof/>
            <w:webHidden/>
          </w:rPr>
          <w:fldChar w:fldCharType="end"/>
        </w:r>
      </w:hyperlink>
    </w:p>
    <w:p w14:paraId="401086E4" w14:textId="77777777" w:rsidR="000D5AB3" w:rsidRDefault="00000000" w:rsidP="000D5AB3">
      <w:pPr>
        <w:pStyle w:val="TOC3"/>
        <w:rPr>
          <w:rFonts w:asciiTheme="minorHAnsi" w:eastAsiaTheme="minorEastAsia" w:hAnsiTheme="minorHAnsi" w:cstheme="minorBidi"/>
          <w:bCs/>
          <w:noProof/>
          <w:color w:val="auto"/>
          <w:sz w:val="22"/>
          <w:szCs w:val="22"/>
          <w:lang w:bidi="ar-SA"/>
        </w:rPr>
      </w:pPr>
      <w:hyperlink r:id="rId26" w:anchor="_Toc127283786" w:history="1">
        <w:r w:rsidR="000D5AB3">
          <w:rPr>
            <w:rStyle w:val="Hyperlink"/>
            <w:bCs/>
            <w:iCs/>
            <w:noProof/>
          </w:rPr>
          <w:t>3.1.2</w:t>
        </w:r>
        <w:r w:rsidR="000D5AB3">
          <w:rPr>
            <w:rStyle w:val="Hyperlink"/>
            <w:rFonts w:asciiTheme="minorHAnsi" w:eastAsiaTheme="minorEastAsia" w:hAnsiTheme="minorHAnsi" w:cstheme="minorBidi"/>
            <w:bCs/>
            <w:noProof/>
            <w:color w:val="auto"/>
            <w:sz w:val="22"/>
            <w:szCs w:val="22"/>
            <w:lang w:bidi="ar-SA"/>
          </w:rPr>
          <w:tab/>
        </w:r>
        <w:r w:rsidR="000D5AB3">
          <w:rPr>
            <w:rStyle w:val="Hyperlink"/>
            <w:bCs/>
            <w:iCs/>
            <w:noProof/>
          </w:rPr>
          <w:t>River and Estuarine Monitoring</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_Toc127283786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14</w:t>
        </w:r>
        <w:r w:rsidR="000D5AB3">
          <w:rPr>
            <w:rStyle w:val="Hyperlink"/>
            <w:bCs/>
            <w:noProof/>
            <w:webHidden/>
          </w:rPr>
          <w:fldChar w:fldCharType="end"/>
        </w:r>
      </w:hyperlink>
    </w:p>
    <w:p w14:paraId="55139DD6" w14:textId="77777777" w:rsidR="000D5AB3" w:rsidRDefault="00000000" w:rsidP="000D5AB3">
      <w:pPr>
        <w:pStyle w:val="TOC4"/>
        <w:rPr>
          <w:rFonts w:asciiTheme="minorHAnsi" w:eastAsiaTheme="minorEastAsia" w:hAnsiTheme="minorHAnsi" w:cstheme="minorBidi"/>
          <w:bCs/>
          <w:noProof/>
          <w:color w:val="auto"/>
          <w:sz w:val="22"/>
          <w:lang w:bidi="ar-SA"/>
        </w:rPr>
      </w:pPr>
      <w:hyperlink r:id="rId27" w:anchor="_Toc127283787" w:history="1">
        <w:r w:rsidR="000D5AB3">
          <w:rPr>
            <w:rStyle w:val="Hyperlink"/>
            <w:bCs/>
            <w:iCs/>
            <w:noProof/>
          </w:rPr>
          <w:t>3.1.2.1</w:t>
        </w:r>
        <w:r w:rsidR="000D5AB3">
          <w:rPr>
            <w:rStyle w:val="Hyperlink"/>
            <w:rFonts w:asciiTheme="minorHAnsi" w:eastAsiaTheme="minorEastAsia" w:hAnsiTheme="minorHAnsi" w:cstheme="minorBidi"/>
            <w:bCs/>
            <w:noProof/>
            <w:color w:val="auto"/>
            <w:sz w:val="22"/>
            <w:lang w:bidi="ar-SA"/>
          </w:rPr>
          <w:tab/>
        </w:r>
        <w:r w:rsidR="000D5AB3">
          <w:rPr>
            <w:rStyle w:val="Hyperlink"/>
            <w:bCs/>
            <w:iCs/>
            <w:noProof/>
          </w:rPr>
          <w:t>Phase 1: Pre-Construction Baseline</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_Toc127283787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14</w:t>
        </w:r>
        <w:r w:rsidR="000D5AB3">
          <w:rPr>
            <w:rStyle w:val="Hyperlink"/>
            <w:bCs/>
            <w:noProof/>
            <w:webHidden/>
          </w:rPr>
          <w:fldChar w:fldCharType="end"/>
        </w:r>
      </w:hyperlink>
    </w:p>
    <w:p w14:paraId="6C9AFFBE" w14:textId="77777777" w:rsidR="000D5AB3" w:rsidRDefault="00000000" w:rsidP="000D5AB3">
      <w:pPr>
        <w:pStyle w:val="TOC4"/>
        <w:rPr>
          <w:rFonts w:asciiTheme="minorHAnsi" w:eastAsiaTheme="minorEastAsia" w:hAnsiTheme="minorHAnsi" w:cstheme="minorBidi"/>
          <w:bCs/>
          <w:noProof/>
          <w:color w:val="auto"/>
          <w:sz w:val="22"/>
          <w:lang w:bidi="ar-SA"/>
        </w:rPr>
      </w:pPr>
      <w:hyperlink r:id="rId28" w:anchor="_Toc127283788" w:history="1">
        <w:r w:rsidR="000D5AB3">
          <w:rPr>
            <w:rStyle w:val="Hyperlink"/>
            <w:bCs/>
            <w:iCs/>
            <w:noProof/>
          </w:rPr>
          <w:t>3.1.2.2</w:t>
        </w:r>
        <w:r w:rsidR="000D5AB3">
          <w:rPr>
            <w:rStyle w:val="Hyperlink"/>
            <w:rFonts w:asciiTheme="minorHAnsi" w:eastAsiaTheme="minorEastAsia" w:hAnsiTheme="minorHAnsi" w:cstheme="minorBidi"/>
            <w:bCs/>
            <w:noProof/>
            <w:color w:val="auto"/>
            <w:sz w:val="22"/>
            <w:lang w:bidi="ar-SA"/>
          </w:rPr>
          <w:tab/>
        </w:r>
        <w:r w:rsidR="000D5AB3">
          <w:rPr>
            <w:rStyle w:val="Hyperlink"/>
            <w:bCs/>
            <w:iCs/>
            <w:noProof/>
          </w:rPr>
          <w:t>Phase 2: Monitoring (During Construction)</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_Toc127283788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15</w:t>
        </w:r>
        <w:r w:rsidR="000D5AB3">
          <w:rPr>
            <w:rStyle w:val="Hyperlink"/>
            <w:bCs/>
            <w:noProof/>
            <w:webHidden/>
          </w:rPr>
          <w:fldChar w:fldCharType="end"/>
        </w:r>
      </w:hyperlink>
    </w:p>
    <w:p w14:paraId="11521689" w14:textId="77777777" w:rsidR="000D5AB3" w:rsidRDefault="00000000" w:rsidP="000D5AB3">
      <w:pPr>
        <w:pStyle w:val="TOC4"/>
        <w:rPr>
          <w:rFonts w:asciiTheme="minorHAnsi" w:eastAsiaTheme="minorEastAsia" w:hAnsiTheme="minorHAnsi" w:cstheme="minorBidi"/>
          <w:bCs/>
          <w:noProof/>
          <w:color w:val="auto"/>
          <w:sz w:val="22"/>
          <w:lang w:bidi="ar-SA"/>
        </w:rPr>
      </w:pPr>
      <w:hyperlink r:id="rId29" w:anchor="_Toc127283789" w:history="1">
        <w:r w:rsidR="000D5AB3">
          <w:rPr>
            <w:rStyle w:val="Hyperlink"/>
            <w:bCs/>
            <w:iCs/>
            <w:noProof/>
          </w:rPr>
          <w:t>3.1.2.3</w:t>
        </w:r>
        <w:r w:rsidR="000D5AB3">
          <w:rPr>
            <w:rStyle w:val="Hyperlink"/>
            <w:rFonts w:asciiTheme="minorHAnsi" w:eastAsiaTheme="minorEastAsia" w:hAnsiTheme="minorHAnsi" w:cstheme="minorBidi"/>
            <w:bCs/>
            <w:noProof/>
            <w:color w:val="auto"/>
            <w:sz w:val="22"/>
            <w:lang w:bidi="ar-SA"/>
          </w:rPr>
          <w:tab/>
        </w:r>
        <w:r w:rsidR="000D5AB3">
          <w:rPr>
            <w:rStyle w:val="Hyperlink"/>
            <w:bCs/>
            <w:iCs/>
            <w:noProof/>
          </w:rPr>
          <w:t>Phase 3: Monitoring (During Operations)</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_Toc127283789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15</w:t>
        </w:r>
        <w:r w:rsidR="000D5AB3">
          <w:rPr>
            <w:rStyle w:val="Hyperlink"/>
            <w:bCs/>
            <w:noProof/>
            <w:webHidden/>
          </w:rPr>
          <w:fldChar w:fldCharType="end"/>
        </w:r>
      </w:hyperlink>
    </w:p>
    <w:p w14:paraId="153738A6" w14:textId="77777777" w:rsidR="000D5AB3" w:rsidRDefault="00000000" w:rsidP="000D5AB3">
      <w:pPr>
        <w:pStyle w:val="TOC3"/>
        <w:rPr>
          <w:rFonts w:asciiTheme="minorHAnsi" w:eastAsiaTheme="minorEastAsia" w:hAnsiTheme="minorHAnsi" w:cstheme="minorBidi"/>
          <w:bCs/>
          <w:noProof/>
          <w:color w:val="auto"/>
          <w:sz w:val="22"/>
          <w:szCs w:val="22"/>
          <w:lang w:bidi="ar-SA"/>
        </w:rPr>
      </w:pPr>
      <w:hyperlink r:id="rId30" w:anchor="_Toc127283790" w:history="1">
        <w:r w:rsidR="000D5AB3">
          <w:rPr>
            <w:rStyle w:val="Hyperlink"/>
            <w:bCs/>
            <w:noProof/>
          </w:rPr>
          <w:t>3.1.3</w:t>
        </w:r>
        <w:r w:rsidR="000D5AB3">
          <w:rPr>
            <w:rStyle w:val="Hyperlink"/>
            <w:rFonts w:asciiTheme="minorHAnsi" w:eastAsiaTheme="minorEastAsia" w:hAnsiTheme="minorHAnsi" w:cstheme="minorBidi"/>
            <w:bCs/>
            <w:noProof/>
            <w:color w:val="auto"/>
            <w:sz w:val="22"/>
            <w:szCs w:val="22"/>
            <w:lang w:bidi="ar-SA"/>
          </w:rPr>
          <w:tab/>
        </w:r>
        <w:r w:rsidR="000D5AB3">
          <w:rPr>
            <w:rStyle w:val="Hyperlink"/>
            <w:bCs/>
            <w:noProof/>
          </w:rPr>
          <w:t>Wetland Monitoring</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_Toc127283790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20</w:t>
        </w:r>
        <w:r w:rsidR="000D5AB3">
          <w:rPr>
            <w:rStyle w:val="Hyperlink"/>
            <w:bCs/>
            <w:noProof/>
            <w:webHidden/>
          </w:rPr>
          <w:fldChar w:fldCharType="end"/>
        </w:r>
      </w:hyperlink>
    </w:p>
    <w:p w14:paraId="0284F899" w14:textId="77777777" w:rsidR="000D5AB3" w:rsidRDefault="00000000" w:rsidP="000D5AB3">
      <w:pPr>
        <w:pStyle w:val="TOC4"/>
        <w:rPr>
          <w:rFonts w:asciiTheme="minorHAnsi" w:eastAsiaTheme="minorEastAsia" w:hAnsiTheme="minorHAnsi" w:cstheme="minorBidi"/>
          <w:bCs/>
          <w:noProof/>
          <w:color w:val="auto"/>
          <w:sz w:val="22"/>
          <w:lang w:bidi="ar-SA"/>
        </w:rPr>
      </w:pPr>
      <w:hyperlink r:id="rId31" w:anchor="_Toc127283791" w:history="1">
        <w:r w:rsidR="000D5AB3">
          <w:rPr>
            <w:rStyle w:val="Hyperlink"/>
            <w:bCs/>
            <w:iCs/>
            <w:noProof/>
          </w:rPr>
          <w:t>3.1.3.1</w:t>
        </w:r>
        <w:r w:rsidR="000D5AB3">
          <w:rPr>
            <w:rStyle w:val="Hyperlink"/>
            <w:rFonts w:asciiTheme="minorHAnsi" w:eastAsiaTheme="minorEastAsia" w:hAnsiTheme="minorHAnsi" w:cstheme="minorBidi"/>
            <w:bCs/>
            <w:noProof/>
            <w:color w:val="auto"/>
            <w:sz w:val="22"/>
            <w:lang w:bidi="ar-SA"/>
          </w:rPr>
          <w:tab/>
        </w:r>
        <w:r w:rsidR="000D5AB3">
          <w:rPr>
            <w:rStyle w:val="Hyperlink"/>
            <w:bCs/>
            <w:iCs/>
            <w:noProof/>
          </w:rPr>
          <w:t>Phase 1: Pre-Construction Baseline</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_Toc127283791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20</w:t>
        </w:r>
        <w:r w:rsidR="000D5AB3">
          <w:rPr>
            <w:rStyle w:val="Hyperlink"/>
            <w:bCs/>
            <w:noProof/>
            <w:webHidden/>
          </w:rPr>
          <w:fldChar w:fldCharType="end"/>
        </w:r>
      </w:hyperlink>
    </w:p>
    <w:p w14:paraId="4241B337" w14:textId="77777777" w:rsidR="000D5AB3" w:rsidRDefault="00000000" w:rsidP="000D5AB3">
      <w:pPr>
        <w:pStyle w:val="TOC4"/>
        <w:rPr>
          <w:rFonts w:asciiTheme="minorHAnsi" w:eastAsiaTheme="minorEastAsia" w:hAnsiTheme="minorHAnsi" w:cstheme="minorBidi"/>
          <w:bCs/>
          <w:noProof/>
          <w:color w:val="auto"/>
          <w:sz w:val="22"/>
          <w:lang w:bidi="ar-SA"/>
        </w:rPr>
      </w:pPr>
      <w:hyperlink r:id="rId32" w:anchor="_Toc127283792" w:history="1">
        <w:r w:rsidR="000D5AB3">
          <w:rPr>
            <w:rStyle w:val="Hyperlink"/>
            <w:bCs/>
            <w:iCs/>
            <w:noProof/>
          </w:rPr>
          <w:t>3.1.3.2</w:t>
        </w:r>
        <w:r w:rsidR="000D5AB3">
          <w:rPr>
            <w:rStyle w:val="Hyperlink"/>
            <w:rFonts w:asciiTheme="minorHAnsi" w:eastAsiaTheme="minorEastAsia" w:hAnsiTheme="minorHAnsi" w:cstheme="minorBidi"/>
            <w:bCs/>
            <w:noProof/>
            <w:color w:val="auto"/>
            <w:sz w:val="22"/>
            <w:lang w:bidi="ar-SA"/>
          </w:rPr>
          <w:tab/>
        </w:r>
        <w:r w:rsidR="000D5AB3">
          <w:rPr>
            <w:rStyle w:val="Hyperlink"/>
            <w:bCs/>
            <w:iCs/>
            <w:noProof/>
          </w:rPr>
          <w:t>Phase 2: Monitoring (During Construction)</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_Toc127283792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21</w:t>
        </w:r>
        <w:r w:rsidR="000D5AB3">
          <w:rPr>
            <w:rStyle w:val="Hyperlink"/>
            <w:bCs/>
            <w:noProof/>
            <w:webHidden/>
          </w:rPr>
          <w:fldChar w:fldCharType="end"/>
        </w:r>
      </w:hyperlink>
    </w:p>
    <w:p w14:paraId="6D851035" w14:textId="77777777" w:rsidR="000D5AB3" w:rsidRDefault="00000000" w:rsidP="000D5AB3">
      <w:pPr>
        <w:pStyle w:val="TOC4"/>
        <w:rPr>
          <w:rFonts w:asciiTheme="minorHAnsi" w:eastAsiaTheme="minorEastAsia" w:hAnsiTheme="minorHAnsi" w:cstheme="minorBidi"/>
          <w:bCs/>
          <w:noProof/>
          <w:color w:val="auto"/>
          <w:sz w:val="22"/>
          <w:lang w:bidi="ar-SA"/>
        </w:rPr>
      </w:pPr>
      <w:hyperlink r:id="rId33" w:anchor="_Toc127283793" w:history="1">
        <w:r w:rsidR="000D5AB3">
          <w:rPr>
            <w:rStyle w:val="Hyperlink"/>
            <w:bCs/>
            <w:iCs/>
            <w:noProof/>
          </w:rPr>
          <w:t>3.1.3.3</w:t>
        </w:r>
        <w:r w:rsidR="000D5AB3">
          <w:rPr>
            <w:rStyle w:val="Hyperlink"/>
            <w:rFonts w:asciiTheme="minorHAnsi" w:eastAsiaTheme="minorEastAsia" w:hAnsiTheme="minorHAnsi" w:cstheme="minorBidi"/>
            <w:bCs/>
            <w:noProof/>
            <w:color w:val="auto"/>
            <w:sz w:val="22"/>
            <w:lang w:bidi="ar-SA"/>
          </w:rPr>
          <w:tab/>
        </w:r>
        <w:r w:rsidR="000D5AB3">
          <w:rPr>
            <w:rStyle w:val="Hyperlink"/>
            <w:bCs/>
            <w:iCs/>
            <w:noProof/>
          </w:rPr>
          <w:t>Phase 3: Monitoring (During Operations)</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_Toc127283793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21</w:t>
        </w:r>
        <w:r w:rsidR="000D5AB3">
          <w:rPr>
            <w:rStyle w:val="Hyperlink"/>
            <w:bCs/>
            <w:noProof/>
            <w:webHidden/>
          </w:rPr>
          <w:fldChar w:fldCharType="end"/>
        </w:r>
      </w:hyperlink>
    </w:p>
    <w:p w14:paraId="24CBC02F" w14:textId="77777777" w:rsidR="000D5AB3" w:rsidRDefault="00000000" w:rsidP="000D5AB3">
      <w:pPr>
        <w:pStyle w:val="TOC3"/>
        <w:rPr>
          <w:rFonts w:asciiTheme="minorHAnsi" w:eastAsiaTheme="minorEastAsia" w:hAnsiTheme="minorHAnsi" w:cstheme="minorBidi"/>
          <w:bCs/>
          <w:noProof/>
          <w:color w:val="auto"/>
          <w:sz w:val="22"/>
          <w:szCs w:val="22"/>
          <w:lang w:bidi="ar-SA"/>
        </w:rPr>
      </w:pPr>
      <w:hyperlink r:id="rId34" w:anchor="_Toc127283794" w:history="1">
        <w:r w:rsidR="000D5AB3">
          <w:rPr>
            <w:rStyle w:val="Hyperlink"/>
            <w:bCs/>
            <w:noProof/>
          </w:rPr>
          <w:t>3.1.4</w:t>
        </w:r>
        <w:r w:rsidR="000D5AB3">
          <w:rPr>
            <w:rStyle w:val="Hyperlink"/>
            <w:rFonts w:asciiTheme="minorHAnsi" w:eastAsiaTheme="minorEastAsia" w:hAnsiTheme="minorHAnsi" w:cstheme="minorBidi"/>
            <w:bCs/>
            <w:noProof/>
            <w:color w:val="auto"/>
            <w:sz w:val="22"/>
            <w:szCs w:val="22"/>
            <w:lang w:bidi="ar-SA"/>
          </w:rPr>
          <w:tab/>
        </w:r>
        <w:r w:rsidR="000D5AB3">
          <w:rPr>
            <w:rStyle w:val="Hyperlink"/>
            <w:bCs/>
            <w:noProof/>
          </w:rPr>
          <w:t>Coastal Waters Effluent Discharge Monitoring</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_Toc127283794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22</w:t>
        </w:r>
        <w:r w:rsidR="000D5AB3">
          <w:rPr>
            <w:rStyle w:val="Hyperlink"/>
            <w:bCs/>
            <w:noProof/>
            <w:webHidden/>
          </w:rPr>
          <w:fldChar w:fldCharType="end"/>
        </w:r>
      </w:hyperlink>
    </w:p>
    <w:p w14:paraId="37989986" w14:textId="77777777" w:rsidR="000D5AB3" w:rsidRDefault="00000000" w:rsidP="000D5AB3">
      <w:pPr>
        <w:pStyle w:val="TOC4"/>
        <w:rPr>
          <w:rFonts w:asciiTheme="minorHAnsi" w:eastAsiaTheme="minorEastAsia" w:hAnsiTheme="minorHAnsi" w:cstheme="minorBidi"/>
          <w:bCs/>
          <w:noProof/>
          <w:color w:val="auto"/>
          <w:sz w:val="22"/>
          <w:lang w:bidi="ar-SA"/>
        </w:rPr>
      </w:pPr>
      <w:hyperlink r:id="rId35" w:anchor="_Toc127283795" w:history="1">
        <w:r w:rsidR="000D5AB3">
          <w:rPr>
            <w:rStyle w:val="Hyperlink"/>
            <w:bCs/>
            <w:iCs/>
            <w:noProof/>
          </w:rPr>
          <w:t>3.1.4.1</w:t>
        </w:r>
        <w:r w:rsidR="000D5AB3">
          <w:rPr>
            <w:rStyle w:val="Hyperlink"/>
            <w:rFonts w:asciiTheme="minorHAnsi" w:eastAsiaTheme="minorEastAsia" w:hAnsiTheme="minorHAnsi" w:cstheme="minorBidi"/>
            <w:bCs/>
            <w:noProof/>
            <w:color w:val="auto"/>
            <w:sz w:val="22"/>
            <w:lang w:bidi="ar-SA"/>
          </w:rPr>
          <w:tab/>
        </w:r>
        <w:r w:rsidR="000D5AB3">
          <w:rPr>
            <w:rStyle w:val="Hyperlink"/>
            <w:bCs/>
            <w:iCs/>
            <w:noProof/>
          </w:rPr>
          <w:t>Phase 1: Monitoring (During Operations)</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_Toc127283795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22</w:t>
        </w:r>
        <w:r w:rsidR="000D5AB3">
          <w:rPr>
            <w:rStyle w:val="Hyperlink"/>
            <w:bCs/>
            <w:noProof/>
            <w:webHidden/>
          </w:rPr>
          <w:fldChar w:fldCharType="end"/>
        </w:r>
      </w:hyperlink>
    </w:p>
    <w:p w14:paraId="74468A56" w14:textId="77777777" w:rsidR="000D5AB3" w:rsidRDefault="00000000" w:rsidP="000D5AB3">
      <w:pPr>
        <w:pStyle w:val="TOC2"/>
        <w:rPr>
          <w:rFonts w:asciiTheme="minorHAnsi" w:eastAsiaTheme="minorEastAsia" w:hAnsiTheme="minorHAnsi" w:cstheme="minorBidi"/>
          <w:noProof/>
          <w:color w:val="auto"/>
          <w:sz w:val="22"/>
          <w:szCs w:val="22"/>
          <w:lang w:bidi="ar-SA"/>
        </w:rPr>
      </w:pPr>
      <w:hyperlink r:id="rId36" w:anchor="_Toc127283796" w:history="1">
        <w:r w:rsidR="000D5AB3">
          <w:rPr>
            <w:rStyle w:val="Hyperlink"/>
            <w:noProof/>
          </w:rPr>
          <w:t>3.2</w:t>
        </w:r>
        <w:r w:rsidR="000D5AB3">
          <w:rPr>
            <w:rStyle w:val="Hyperlink"/>
            <w:rFonts w:asciiTheme="minorHAnsi" w:eastAsiaTheme="minorEastAsia" w:hAnsiTheme="minorHAnsi" w:cstheme="minorBidi"/>
            <w:noProof/>
            <w:color w:val="auto"/>
            <w:sz w:val="22"/>
            <w:szCs w:val="22"/>
            <w:lang w:bidi="ar-SA"/>
          </w:rPr>
          <w:tab/>
        </w:r>
        <w:r w:rsidR="000D5AB3">
          <w:rPr>
            <w:rStyle w:val="Hyperlink"/>
            <w:noProof/>
          </w:rPr>
          <w:t>Terrestrial Monitoring Programme</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_Toc127283796 \h </w:instrText>
        </w:r>
        <w:r w:rsidR="000D5AB3">
          <w:rPr>
            <w:rStyle w:val="Hyperlink"/>
            <w:noProof/>
            <w:webHidden/>
          </w:rPr>
        </w:r>
        <w:r w:rsidR="000D5AB3">
          <w:rPr>
            <w:rStyle w:val="Hyperlink"/>
            <w:noProof/>
            <w:webHidden/>
          </w:rPr>
          <w:fldChar w:fldCharType="separate"/>
        </w:r>
        <w:r w:rsidR="000D5AB3">
          <w:rPr>
            <w:rStyle w:val="Hyperlink"/>
            <w:noProof/>
            <w:webHidden/>
          </w:rPr>
          <w:t>24</w:t>
        </w:r>
        <w:r w:rsidR="000D5AB3">
          <w:rPr>
            <w:rStyle w:val="Hyperlink"/>
            <w:noProof/>
            <w:webHidden/>
          </w:rPr>
          <w:fldChar w:fldCharType="end"/>
        </w:r>
      </w:hyperlink>
    </w:p>
    <w:p w14:paraId="5135EB38" w14:textId="77777777" w:rsidR="000D5AB3" w:rsidRDefault="00000000" w:rsidP="000D5AB3">
      <w:pPr>
        <w:pStyle w:val="TOC4"/>
        <w:rPr>
          <w:rFonts w:asciiTheme="minorHAnsi" w:eastAsiaTheme="minorEastAsia" w:hAnsiTheme="minorHAnsi" w:cstheme="minorBidi"/>
          <w:bCs/>
          <w:noProof/>
          <w:color w:val="auto"/>
          <w:sz w:val="22"/>
          <w:lang w:bidi="ar-SA"/>
        </w:rPr>
      </w:pPr>
      <w:hyperlink r:id="rId37" w:anchor="_Toc127283797" w:history="1">
        <w:r w:rsidR="000D5AB3">
          <w:rPr>
            <w:rStyle w:val="Hyperlink"/>
            <w:bCs/>
            <w:iCs/>
            <w:noProof/>
          </w:rPr>
          <w:t>3.2.1.1</w:t>
        </w:r>
        <w:r w:rsidR="000D5AB3">
          <w:rPr>
            <w:rStyle w:val="Hyperlink"/>
            <w:rFonts w:asciiTheme="minorHAnsi" w:eastAsiaTheme="minorEastAsia" w:hAnsiTheme="minorHAnsi" w:cstheme="minorBidi"/>
            <w:bCs/>
            <w:noProof/>
            <w:color w:val="auto"/>
            <w:sz w:val="22"/>
            <w:lang w:bidi="ar-SA"/>
          </w:rPr>
          <w:tab/>
        </w:r>
        <w:r w:rsidR="000D5AB3">
          <w:rPr>
            <w:rStyle w:val="Hyperlink"/>
            <w:bCs/>
            <w:iCs/>
            <w:noProof/>
          </w:rPr>
          <w:t>Phase 1: Pre-Construction Baseline</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_Toc127283797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24</w:t>
        </w:r>
        <w:r w:rsidR="000D5AB3">
          <w:rPr>
            <w:rStyle w:val="Hyperlink"/>
            <w:bCs/>
            <w:noProof/>
            <w:webHidden/>
          </w:rPr>
          <w:fldChar w:fldCharType="end"/>
        </w:r>
      </w:hyperlink>
    </w:p>
    <w:p w14:paraId="1C8DA56D" w14:textId="77777777" w:rsidR="000D5AB3" w:rsidRDefault="00000000" w:rsidP="000D5AB3">
      <w:pPr>
        <w:pStyle w:val="TOC4"/>
        <w:rPr>
          <w:rFonts w:asciiTheme="minorHAnsi" w:eastAsiaTheme="minorEastAsia" w:hAnsiTheme="minorHAnsi" w:cstheme="minorBidi"/>
          <w:bCs/>
          <w:noProof/>
          <w:color w:val="auto"/>
          <w:sz w:val="22"/>
          <w:lang w:bidi="ar-SA"/>
        </w:rPr>
      </w:pPr>
      <w:hyperlink r:id="rId38" w:anchor="_Toc127283798" w:history="1">
        <w:r w:rsidR="000D5AB3">
          <w:rPr>
            <w:rStyle w:val="Hyperlink"/>
            <w:bCs/>
            <w:iCs/>
            <w:noProof/>
          </w:rPr>
          <w:t>3.2.1.2</w:t>
        </w:r>
        <w:r w:rsidR="000D5AB3">
          <w:rPr>
            <w:rStyle w:val="Hyperlink"/>
            <w:rFonts w:asciiTheme="minorHAnsi" w:eastAsiaTheme="minorEastAsia" w:hAnsiTheme="minorHAnsi" w:cstheme="minorBidi"/>
            <w:bCs/>
            <w:noProof/>
            <w:color w:val="auto"/>
            <w:sz w:val="22"/>
            <w:lang w:bidi="ar-SA"/>
          </w:rPr>
          <w:tab/>
        </w:r>
        <w:r w:rsidR="000D5AB3">
          <w:rPr>
            <w:rStyle w:val="Hyperlink"/>
            <w:bCs/>
            <w:iCs/>
            <w:noProof/>
          </w:rPr>
          <w:t>Phase 2: Monitoring (During Construction)</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_Toc127283798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26</w:t>
        </w:r>
        <w:r w:rsidR="000D5AB3">
          <w:rPr>
            <w:rStyle w:val="Hyperlink"/>
            <w:bCs/>
            <w:noProof/>
            <w:webHidden/>
          </w:rPr>
          <w:fldChar w:fldCharType="end"/>
        </w:r>
      </w:hyperlink>
    </w:p>
    <w:p w14:paraId="01101786" w14:textId="77777777" w:rsidR="000D5AB3" w:rsidRDefault="00000000" w:rsidP="000D5AB3">
      <w:pPr>
        <w:pStyle w:val="TOC4"/>
        <w:rPr>
          <w:rFonts w:asciiTheme="minorHAnsi" w:eastAsiaTheme="minorEastAsia" w:hAnsiTheme="minorHAnsi" w:cstheme="minorBidi"/>
          <w:bCs/>
          <w:noProof/>
          <w:color w:val="auto"/>
          <w:sz w:val="22"/>
          <w:lang w:bidi="ar-SA"/>
        </w:rPr>
      </w:pPr>
      <w:hyperlink r:id="rId39" w:anchor="_Toc127283799" w:history="1">
        <w:r w:rsidR="000D5AB3">
          <w:rPr>
            <w:rStyle w:val="Hyperlink"/>
            <w:bCs/>
            <w:iCs/>
            <w:noProof/>
          </w:rPr>
          <w:t>3.2.1.3</w:t>
        </w:r>
        <w:r w:rsidR="000D5AB3">
          <w:rPr>
            <w:rStyle w:val="Hyperlink"/>
            <w:rFonts w:asciiTheme="minorHAnsi" w:eastAsiaTheme="minorEastAsia" w:hAnsiTheme="minorHAnsi" w:cstheme="minorBidi"/>
            <w:bCs/>
            <w:noProof/>
            <w:color w:val="auto"/>
            <w:sz w:val="22"/>
            <w:lang w:bidi="ar-SA"/>
          </w:rPr>
          <w:tab/>
        </w:r>
        <w:r w:rsidR="000D5AB3">
          <w:rPr>
            <w:rStyle w:val="Hyperlink"/>
            <w:bCs/>
            <w:iCs/>
            <w:noProof/>
          </w:rPr>
          <w:t>Phase 3: Monitoring (During Operations)</w:t>
        </w:r>
        <w:r w:rsidR="000D5AB3">
          <w:rPr>
            <w:rStyle w:val="Hyperlink"/>
            <w:bCs/>
            <w:noProof/>
            <w:webHidden/>
          </w:rPr>
          <w:tab/>
        </w:r>
        <w:r w:rsidR="000D5AB3">
          <w:rPr>
            <w:rStyle w:val="Hyperlink"/>
            <w:bCs/>
            <w:noProof/>
            <w:webHidden/>
          </w:rPr>
          <w:fldChar w:fldCharType="begin"/>
        </w:r>
        <w:r w:rsidR="000D5AB3">
          <w:rPr>
            <w:rStyle w:val="Hyperlink"/>
            <w:bCs/>
            <w:noProof/>
            <w:webHidden/>
          </w:rPr>
          <w:instrText xml:space="preserve"> PAGEREF _Toc127283799 \h </w:instrText>
        </w:r>
        <w:r w:rsidR="000D5AB3">
          <w:rPr>
            <w:rStyle w:val="Hyperlink"/>
            <w:bCs/>
            <w:noProof/>
            <w:webHidden/>
          </w:rPr>
        </w:r>
        <w:r w:rsidR="000D5AB3">
          <w:rPr>
            <w:rStyle w:val="Hyperlink"/>
            <w:bCs/>
            <w:noProof/>
            <w:webHidden/>
          </w:rPr>
          <w:fldChar w:fldCharType="separate"/>
        </w:r>
        <w:r w:rsidR="000D5AB3">
          <w:rPr>
            <w:rStyle w:val="Hyperlink"/>
            <w:bCs/>
            <w:noProof/>
            <w:webHidden/>
          </w:rPr>
          <w:t>26</w:t>
        </w:r>
        <w:r w:rsidR="000D5AB3">
          <w:rPr>
            <w:rStyle w:val="Hyperlink"/>
            <w:bCs/>
            <w:noProof/>
            <w:webHidden/>
          </w:rPr>
          <w:fldChar w:fldCharType="end"/>
        </w:r>
      </w:hyperlink>
    </w:p>
    <w:p w14:paraId="616329BF" w14:textId="77777777" w:rsidR="000D5AB3" w:rsidRDefault="00000000" w:rsidP="000D5AB3">
      <w:pPr>
        <w:pStyle w:val="TOC3"/>
        <w:rPr>
          <w:rFonts w:asciiTheme="minorHAnsi" w:eastAsiaTheme="minorEastAsia" w:hAnsiTheme="minorHAnsi" w:cstheme="minorBidi"/>
          <w:noProof/>
          <w:color w:val="auto"/>
          <w:sz w:val="22"/>
          <w:szCs w:val="22"/>
          <w:lang w:bidi="ar-SA"/>
        </w:rPr>
      </w:pPr>
      <w:hyperlink r:id="rId40" w:anchor="_Toc127283800" w:history="1">
        <w:r w:rsidR="000D5AB3">
          <w:rPr>
            <w:rStyle w:val="Hyperlink"/>
            <w:noProof/>
          </w:rPr>
          <w:t>3.2.2</w:t>
        </w:r>
        <w:r w:rsidR="000D5AB3">
          <w:rPr>
            <w:rStyle w:val="Hyperlink"/>
            <w:rFonts w:asciiTheme="minorHAnsi" w:eastAsiaTheme="minorEastAsia" w:hAnsiTheme="minorHAnsi" w:cstheme="minorBidi"/>
            <w:noProof/>
            <w:color w:val="auto"/>
            <w:sz w:val="22"/>
            <w:szCs w:val="22"/>
            <w:lang w:bidi="ar-SA"/>
          </w:rPr>
          <w:tab/>
        </w:r>
        <w:r w:rsidR="000D5AB3">
          <w:rPr>
            <w:rStyle w:val="Hyperlink"/>
            <w:noProof/>
          </w:rPr>
          <w:t>Invasive Alien Species Monitoring Programme</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_Toc127283800 \h </w:instrText>
        </w:r>
        <w:r w:rsidR="000D5AB3">
          <w:rPr>
            <w:rStyle w:val="Hyperlink"/>
            <w:noProof/>
            <w:webHidden/>
          </w:rPr>
        </w:r>
        <w:r w:rsidR="000D5AB3">
          <w:rPr>
            <w:rStyle w:val="Hyperlink"/>
            <w:noProof/>
            <w:webHidden/>
          </w:rPr>
          <w:fldChar w:fldCharType="separate"/>
        </w:r>
        <w:r w:rsidR="000D5AB3">
          <w:rPr>
            <w:rStyle w:val="Hyperlink"/>
            <w:noProof/>
            <w:webHidden/>
          </w:rPr>
          <w:t>27</w:t>
        </w:r>
        <w:r w:rsidR="000D5AB3">
          <w:rPr>
            <w:rStyle w:val="Hyperlink"/>
            <w:noProof/>
            <w:webHidden/>
          </w:rPr>
          <w:fldChar w:fldCharType="end"/>
        </w:r>
      </w:hyperlink>
    </w:p>
    <w:p w14:paraId="34457BD3" w14:textId="77777777" w:rsidR="000D5AB3" w:rsidRDefault="00000000" w:rsidP="000D5AB3">
      <w:pPr>
        <w:pStyle w:val="TOC3"/>
        <w:rPr>
          <w:rFonts w:asciiTheme="minorHAnsi" w:eastAsiaTheme="minorEastAsia" w:hAnsiTheme="minorHAnsi" w:cstheme="minorBidi"/>
          <w:noProof/>
          <w:color w:val="auto"/>
          <w:sz w:val="22"/>
          <w:szCs w:val="22"/>
          <w:lang w:bidi="ar-SA"/>
        </w:rPr>
      </w:pPr>
      <w:hyperlink r:id="rId41" w:anchor="_Toc127283801" w:history="1">
        <w:r w:rsidR="000D5AB3">
          <w:rPr>
            <w:rStyle w:val="Hyperlink"/>
            <w:noProof/>
          </w:rPr>
          <w:t>3.2.3</w:t>
        </w:r>
        <w:r w:rsidR="000D5AB3">
          <w:rPr>
            <w:rStyle w:val="Hyperlink"/>
            <w:rFonts w:asciiTheme="minorHAnsi" w:eastAsiaTheme="minorEastAsia" w:hAnsiTheme="minorHAnsi" w:cstheme="minorBidi"/>
            <w:noProof/>
            <w:color w:val="auto"/>
            <w:sz w:val="22"/>
            <w:szCs w:val="22"/>
            <w:lang w:bidi="ar-SA"/>
          </w:rPr>
          <w:tab/>
        </w:r>
        <w:r w:rsidR="000D5AB3">
          <w:rPr>
            <w:rStyle w:val="Hyperlink"/>
            <w:noProof/>
          </w:rPr>
          <w:t>Rehabilitation and Revegetation Programme</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_Toc127283801 \h </w:instrText>
        </w:r>
        <w:r w:rsidR="000D5AB3">
          <w:rPr>
            <w:rStyle w:val="Hyperlink"/>
            <w:noProof/>
            <w:webHidden/>
          </w:rPr>
        </w:r>
        <w:r w:rsidR="000D5AB3">
          <w:rPr>
            <w:rStyle w:val="Hyperlink"/>
            <w:noProof/>
            <w:webHidden/>
          </w:rPr>
          <w:fldChar w:fldCharType="separate"/>
        </w:r>
        <w:r w:rsidR="000D5AB3">
          <w:rPr>
            <w:rStyle w:val="Hyperlink"/>
            <w:noProof/>
            <w:webHidden/>
          </w:rPr>
          <w:t>27</w:t>
        </w:r>
        <w:r w:rsidR="000D5AB3">
          <w:rPr>
            <w:rStyle w:val="Hyperlink"/>
            <w:noProof/>
            <w:webHidden/>
          </w:rPr>
          <w:fldChar w:fldCharType="end"/>
        </w:r>
      </w:hyperlink>
    </w:p>
    <w:p w14:paraId="68AC211F" w14:textId="77777777" w:rsidR="000D5AB3" w:rsidRDefault="000D5AB3" w:rsidP="000D5AB3">
      <w:pPr>
        <w:rPr>
          <w:rFonts w:eastAsia="Arial" w:cs="Arial"/>
          <w:color w:val="auto"/>
          <w:sz w:val="22"/>
          <w:szCs w:val="22"/>
          <w:lang w:bidi="en-ZA"/>
        </w:rPr>
      </w:pPr>
      <w:r>
        <w:fldChar w:fldCharType="end"/>
      </w:r>
    </w:p>
    <w:p w14:paraId="2E7F8970" w14:textId="77777777" w:rsidR="000D5AB3" w:rsidRDefault="000D5AB3" w:rsidP="000D5AB3">
      <w:pPr>
        <w:rPr>
          <w:b/>
          <w:bCs/>
          <w:color w:val="323E4F" w:themeColor="text2" w:themeShade="BF"/>
          <w:sz w:val="28"/>
          <w:szCs w:val="28"/>
        </w:rPr>
        <w:sectPr w:rsidR="000D5AB3" w:rsidSect="00A30A9D">
          <w:type w:val="continuous"/>
          <w:pgSz w:w="11910" w:h="16840"/>
          <w:pgMar w:top="1440" w:right="1440" w:bottom="1440" w:left="1440" w:header="691" w:footer="749" w:gutter="0"/>
          <w:pgNumType w:fmt="lowerRoman"/>
          <w:cols w:space="720"/>
          <w:titlePg/>
          <w:docGrid w:linePitch="272"/>
        </w:sectPr>
      </w:pPr>
    </w:p>
    <w:p w14:paraId="241CBC47" w14:textId="77777777" w:rsidR="000D5AB3" w:rsidRDefault="000D5AB3" w:rsidP="000D5AB3">
      <w:pPr>
        <w:ind w:left="142"/>
        <w:jc w:val="both"/>
        <w:rPr>
          <w:b/>
          <w:bCs/>
          <w:color w:val="323E4F" w:themeColor="text2" w:themeShade="BF"/>
          <w:sz w:val="28"/>
          <w:szCs w:val="28"/>
        </w:rPr>
      </w:pPr>
      <w:r>
        <w:rPr>
          <w:b/>
          <w:bCs/>
          <w:color w:val="323E4F" w:themeColor="text2" w:themeShade="BF"/>
          <w:sz w:val="28"/>
          <w:szCs w:val="28"/>
        </w:rPr>
        <w:lastRenderedPageBreak/>
        <w:t>LIST OF TABLES</w:t>
      </w:r>
    </w:p>
    <w:p w14:paraId="7D6FB579" w14:textId="77777777" w:rsidR="000D5AB3" w:rsidRDefault="000D5AB3" w:rsidP="000D5AB3">
      <w:pPr>
        <w:jc w:val="both"/>
        <w:rPr>
          <w:b/>
          <w:bCs/>
          <w:color w:val="323E4F" w:themeColor="text2" w:themeShade="BF"/>
          <w:sz w:val="28"/>
          <w:szCs w:val="28"/>
        </w:rPr>
      </w:pPr>
    </w:p>
    <w:p w14:paraId="4191E050" w14:textId="77777777" w:rsidR="000D5AB3" w:rsidRDefault="000D5AB3" w:rsidP="000D5AB3">
      <w:pPr>
        <w:pStyle w:val="TableofFigures"/>
        <w:tabs>
          <w:tab w:val="left" w:pos="1157"/>
        </w:tabs>
        <w:spacing w:line="360" w:lineRule="auto"/>
        <w:ind w:left="142"/>
        <w:rPr>
          <w:rFonts w:asciiTheme="minorHAnsi" w:eastAsiaTheme="minorEastAsia" w:hAnsiTheme="minorHAnsi" w:cstheme="minorBidi"/>
          <w:noProof/>
          <w:color w:val="auto"/>
          <w:sz w:val="22"/>
          <w:lang w:bidi="ar-SA"/>
        </w:rPr>
      </w:pPr>
      <w:r>
        <w:rPr>
          <w:b/>
          <w:bCs/>
          <w:color w:val="323E4F" w:themeColor="text2" w:themeShade="BF"/>
          <w:sz w:val="28"/>
          <w:szCs w:val="28"/>
        </w:rPr>
        <w:fldChar w:fldCharType="begin"/>
      </w:r>
      <w:r>
        <w:rPr>
          <w:b/>
          <w:bCs/>
          <w:color w:val="323E4F" w:themeColor="text2" w:themeShade="BF"/>
          <w:sz w:val="28"/>
          <w:szCs w:val="28"/>
        </w:rPr>
        <w:instrText xml:space="preserve"> TOC \h \z \c "Table" </w:instrText>
      </w:r>
      <w:r>
        <w:rPr>
          <w:b/>
          <w:bCs/>
          <w:color w:val="323E4F" w:themeColor="text2" w:themeShade="BF"/>
          <w:sz w:val="28"/>
          <w:szCs w:val="28"/>
        </w:rPr>
        <w:fldChar w:fldCharType="separate"/>
      </w:r>
      <w:hyperlink r:id="rId42" w:anchor="_Toc127273880" w:history="1">
        <w:r>
          <w:rPr>
            <w:rStyle w:val="Hyperlink"/>
            <w:noProof/>
          </w:rPr>
          <w:t>Table 2</w:t>
        </w:r>
        <w:r>
          <w:rPr>
            <w:rStyle w:val="Hyperlink"/>
            <w:noProof/>
          </w:rPr>
          <w:noBreakHyphen/>
          <w:t>1:</w:t>
        </w:r>
        <w:r>
          <w:rPr>
            <w:rStyle w:val="Hyperlink"/>
            <w:rFonts w:asciiTheme="minorHAnsi" w:eastAsiaTheme="minorEastAsia" w:hAnsiTheme="minorHAnsi" w:cstheme="minorBidi"/>
            <w:noProof/>
            <w:color w:val="auto"/>
            <w:sz w:val="22"/>
            <w:lang w:bidi="ar-SA"/>
          </w:rPr>
          <w:tab/>
        </w:r>
        <w:r>
          <w:rPr>
            <w:rStyle w:val="Hyperlink"/>
            <w:noProof/>
          </w:rPr>
          <w:t>Key National Acts, Plans and Policies Considered</w:t>
        </w:r>
        <w:r>
          <w:rPr>
            <w:rStyle w:val="Hyperlink"/>
            <w:noProof/>
            <w:webHidden/>
          </w:rPr>
          <w:tab/>
        </w:r>
        <w:r>
          <w:rPr>
            <w:rStyle w:val="Hyperlink"/>
            <w:noProof/>
            <w:webHidden/>
          </w:rPr>
          <w:fldChar w:fldCharType="begin"/>
        </w:r>
        <w:r>
          <w:rPr>
            <w:rStyle w:val="Hyperlink"/>
            <w:noProof/>
            <w:webHidden/>
          </w:rPr>
          <w:instrText xml:space="preserve"> PAGEREF _Toc127273880 \h </w:instrText>
        </w:r>
        <w:r>
          <w:rPr>
            <w:rStyle w:val="Hyperlink"/>
            <w:noProof/>
            <w:webHidden/>
          </w:rPr>
        </w:r>
        <w:r>
          <w:rPr>
            <w:rStyle w:val="Hyperlink"/>
            <w:noProof/>
            <w:webHidden/>
          </w:rPr>
          <w:fldChar w:fldCharType="separate"/>
        </w:r>
        <w:r>
          <w:rPr>
            <w:rStyle w:val="Hyperlink"/>
            <w:noProof/>
            <w:webHidden/>
          </w:rPr>
          <w:t>5</w:t>
        </w:r>
        <w:r>
          <w:rPr>
            <w:rStyle w:val="Hyperlink"/>
            <w:noProof/>
            <w:webHidden/>
          </w:rPr>
          <w:fldChar w:fldCharType="end"/>
        </w:r>
      </w:hyperlink>
    </w:p>
    <w:p w14:paraId="1457328F" w14:textId="77777777" w:rsidR="000D5AB3" w:rsidRDefault="00000000" w:rsidP="000D5AB3">
      <w:pPr>
        <w:pStyle w:val="TableofFigures"/>
        <w:tabs>
          <w:tab w:val="left" w:pos="1157"/>
        </w:tabs>
        <w:spacing w:line="360" w:lineRule="auto"/>
        <w:ind w:left="142"/>
        <w:rPr>
          <w:rFonts w:asciiTheme="minorHAnsi" w:eastAsiaTheme="minorEastAsia" w:hAnsiTheme="minorHAnsi" w:cstheme="minorBidi"/>
          <w:noProof/>
          <w:color w:val="auto"/>
          <w:sz w:val="22"/>
          <w:lang w:bidi="ar-SA"/>
        </w:rPr>
      </w:pPr>
      <w:hyperlink r:id="rId43" w:anchor="_Toc127273881" w:history="1">
        <w:r w:rsidR="000D5AB3">
          <w:rPr>
            <w:rStyle w:val="Hyperlink"/>
            <w:noProof/>
          </w:rPr>
          <w:t>Table 2</w:t>
        </w:r>
        <w:r w:rsidR="000D5AB3">
          <w:rPr>
            <w:rStyle w:val="Hyperlink"/>
            <w:noProof/>
          </w:rPr>
          <w:noBreakHyphen/>
          <w:t>2:</w:t>
        </w:r>
        <w:r w:rsidR="000D5AB3">
          <w:rPr>
            <w:rStyle w:val="Hyperlink"/>
            <w:rFonts w:asciiTheme="minorHAnsi" w:eastAsiaTheme="minorEastAsia" w:hAnsiTheme="minorHAnsi" w:cstheme="minorBidi"/>
            <w:noProof/>
            <w:color w:val="auto"/>
            <w:sz w:val="22"/>
            <w:lang w:bidi="ar-SA"/>
          </w:rPr>
          <w:tab/>
        </w:r>
        <w:r w:rsidR="000D5AB3">
          <w:rPr>
            <w:rStyle w:val="Hyperlink"/>
            <w:noProof/>
          </w:rPr>
          <w:t>International Conventions, Standards, Guidelines and Practices</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_Toc127273881 \h </w:instrText>
        </w:r>
        <w:r w:rsidR="000D5AB3">
          <w:rPr>
            <w:rStyle w:val="Hyperlink"/>
            <w:noProof/>
            <w:webHidden/>
          </w:rPr>
        </w:r>
        <w:r w:rsidR="000D5AB3">
          <w:rPr>
            <w:rStyle w:val="Hyperlink"/>
            <w:noProof/>
            <w:webHidden/>
          </w:rPr>
          <w:fldChar w:fldCharType="separate"/>
        </w:r>
        <w:r w:rsidR="000D5AB3">
          <w:rPr>
            <w:rStyle w:val="Hyperlink"/>
            <w:noProof/>
            <w:webHidden/>
          </w:rPr>
          <w:t>8</w:t>
        </w:r>
        <w:r w:rsidR="000D5AB3">
          <w:rPr>
            <w:rStyle w:val="Hyperlink"/>
            <w:noProof/>
            <w:webHidden/>
          </w:rPr>
          <w:fldChar w:fldCharType="end"/>
        </w:r>
      </w:hyperlink>
    </w:p>
    <w:p w14:paraId="703B5517" w14:textId="77777777" w:rsidR="000D5AB3" w:rsidRDefault="00000000" w:rsidP="000D5AB3">
      <w:pPr>
        <w:pStyle w:val="TableofFigures"/>
        <w:tabs>
          <w:tab w:val="left" w:pos="1157"/>
        </w:tabs>
        <w:spacing w:line="360" w:lineRule="auto"/>
        <w:ind w:left="142"/>
        <w:rPr>
          <w:rFonts w:asciiTheme="minorHAnsi" w:eastAsiaTheme="minorEastAsia" w:hAnsiTheme="minorHAnsi" w:cstheme="minorBidi"/>
          <w:noProof/>
          <w:color w:val="auto"/>
          <w:sz w:val="22"/>
          <w:lang w:bidi="ar-SA"/>
        </w:rPr>
      </w:pPr>
      <w:hyperlink r:id="rId44" w:anchor="_Toc127273882" w:history="1">
        <w:r w:rsidR="000D5AB3">
          <w:rPr>
            <w:rStyle w:val="Hyperlink"/>
            <w:noProof/>
          </w:rPr>
          <w:t>Table 3</w:t>
        </w:r>
        <w:r w:rsidR="000D5AB3">
          <w:rPr>
            <w:rStyle w:val="Hyperlink"/>
            <w:noProof/>
          </w:rPr>
          <w:noBreakHyphen/>
          <w:t>1:</w:t>
        </w:r>
        <w:r w:rsidR="000D5AB3">
          <w:rPr>
            <w:rStyle w:val="Hyperlink"/>
            <w:rFonts w:asciiTheme="minorHAnsi" w:eastAsiaTheme="minorEastAsia" w:hAnsiTheme="minorHAnsi" w:cstheme="minorBidi"/>
            <w:noProof/>
            <w:color w:val="auto"/>
            <w:sz w:val="22"/>
            <w:lang w:bidi="ar-SA"/>
          </w:rPr>
          <w:tab/>
        </w:r>
        <w:r w:rsidR="000D5AB3">
          <w:rPr>
            <w:rStyle w:val="Hyperlink"/>
            <w:noProof/>
          </w:rPr>
          <w:t>Freshwater Monitoring Requirements</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_Toc127273882 \h </w:instrText>
        </w:r>
        <w:r w:rsidR="000D5AB3">
          <w:rPr>
            <w:rStyle w:val="Hyperlink"/>
            <w:noProof/>
            <w:webHidden/>
          </w:rPr>
        </w:r>
        <w:r w:rsidR="000D5AB3">
          <w:rPr>
            <w:rStyle w:val="Hyperlink"/>
            <w:noProof/>
            <w:webHidden/>
          </w:rPr>
          <w:fldChar w:fldCharType="separate"/>
        </w:r>
        <w:r w:rsidR="000D5AB3">
          <w:rPr>
            <w:rStyle w:val="Hyperlink"/>
            <w:noProof/>
            <w:webHidden/>
          </w:rPr>
          <w:t>16</w:t>
        </w:r>
        <w:r w:rsidR="000D5AB3">
          <w:rPr>
            <w:rStyle w:val="Hyperlink"/>
            <w:noProof/>
            <w:webHidden/>
          </w:rPr>
          <w:fldChar w:fldCharType="end"/>
        </w:r>
      </w:hyperlink>
    </w:p>
    <w:p w14:paraId="2F3C3596" w14:textId="77777777" w:rsidR="000D5AB3" w:rsidRDefault="00000000" w:rsidP="000D5AB3">
      <w:pPr>
        <w:pStyle w:val="TableofFigures"/>
        <w:tabs>
          <w:tab w:val="left" w:pos="1157"/>
        </w:tabs>
        <w:spacing w:line="360" w:lineRule="auto"/>
        <w:ind w:left="142"/>
        <w:rPr>
          <w:rFonts w:asciiTheme="minorHAnsi" w:eastAsiaTheme="minorEastAsia" w:hAnsiTheme="minorHAnsi" w:cstheme="minorBidi"/>
          <w:noProof/>
          <w:color w:val="auto"/>
          <w:sz w:val="22"/>
          <w:lang w:bidi="ar-SA"/>
        </w:rPr>
      </w:pPr>
      <w:hyperlink r:id="rId45" w:anchor="_Toc127273883" w:history="1">
        <w:r w:rsidR="000D5AB3">
          <w:rPr>
            <w:rStyle w:val="Hyperlink"/>
            <w:noProof/>
          </w:rPr>
          <w:t>Table 3</w:t>
        </w:r>
        <w:r w:rsidR="000D5AB3">
          <w:rPr>
            <w:rStyle w:val="Hyperlink"/>
            <w:noProof/>
          </w:rPr>
          <w:noBreakHyphen/>
          <w:t>2:</w:t>
        </w:r>
        <w:r w:rsidR="000D5AB3">
          <w:rPr>
            <w:rStyle w:val="Hyperlink"/>
            <w:rFonts w:asciiTheme="minorHAnsi" w:eastAsiaTheme="minorEastAsia" w:hAnsiTheme="minorHAnsi" w:cstheme="minorBidi"/>
            <w:noProof/>
            <w:color w:val="auto"/>
            <w:sz w:val="22"/>
            <w:lang w:bidi="ar-SA"/>
          </w:rPr>
          <w:tab/>
        </w:r>
        <w:r w:rsidR="000D5AB3">
          <w:rPr>
            <w:rStyle w:val="Hyperlink"/>
            <w:noProof/>
          </w:rPr>
          <w:t>Summary of Eco-Classification results for lower uMkomazi River reach (DWS,2015)</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_Toc127273883 \h </w:instrText>
        </w:r>
        <w:r w:rsidR="000D5AB3">
          <w:rPr>
            <w:rStyle w:val="Hyperlink"/>
            <w:noProof/>
            <w:webHidden/>
          </w:rPr>
        </w:r>
        <w:r w:rsidR="000D5AB3">
          <w:rPr>
            <w:rStyle w:val="Hyperlink"/>
            <w:noProof/>
            <w:webHidden/>
          </w:rPr>
          <w:fldChar w:fldCharType="separate"/>
        </w:r>
        <w:r w:rsidR="000D5AB3">
          <w:rPr>
            <w:rStyle w:val="Hyperlink"/>
            <w:noProof/>
            <w:webHidden/>
          </w:rPr>
          <w:t>18</w:t>
        </w:r>
        <w:r w:rsidR="000D5AB3">
          <w:rPr>
            <w:rStyle w:val="Hyperlink"/>
            <w:noProof/>
            <w:webHidden/>
          </w:rPr>
          <w:fldChar w:fldCharType="end"/>
        </w:r>
      </w:hyperlink>
    </w:p>
    <w:p w14:paraId="33E09A6D" w14:textId="77777777" w:rsidR="000D5AB3" w:rsidRDefault="00000000" w:rsidP="000D5AB3">
      <w:pPr>
        <w:pStyle w:val="TableofFigures"/>
        <w:tabs>
          <w:tab w:val="left" w:pos="1157"/>
        </w:tabs>
        <w:spacing w:line="360" w:lineRule="auto"/>
        <w:ind w:left="1134" w:right="428" w:hanging="992"/>
        <w:rPr>
          <w:rFonts w:asciiTheme="minorHAnsi" w:eastAsiaTheme="minorEastAsia" w:hAnsiTheme="minorHAnsi" w:cstheme="minorBidi"/>
          <w:noProof/>
          <w:color w:val="auto"/>
          <w:sz w:val="22"/>
          <w:lang w:bidi="ar-SA"/>
        </w:rPr>
      </w:pPr>
      <w:hyperlink r:id="rId46" w:anchor="_Toc127273884" w:history="1">
        <w:r w:rsidR="000D5AB3">
          <w:rPr>
            <w:rStyle w:val="Hyperlink"/>
            <w:noProof/>
          </w:rPr>
          <w:t>Table 3</w:t>
        </w:r>
        <w:r w:rsidR="000D5AB3">
          <w:rPr>
            <w:rStyle w:val="Hyperlink"/>
            <w:noProof/>
          </w:rPr>
          <w:noBreakHyphen/>
          <w:t>3:</w:t>
        </w:r>
        <w:r w:rsidR="000D5AB3">
          <w:rPr>
            <w:rStyle w:val="Hyperlink"/>
            <w:rFonts w:asciiTheme="minorHAnsi" w:eastAsiaTheme="minorEastAsia" w:hAnsiTheme="minorHAnsi" w:cstheme="minorBidi"/>
            <w:noProof/>
            <w:color w:val="auto"/>
            <w:sz w:val="22"/>
            <w:lang w:bidi="ar-SA"/>
          </w:rPr>
          <w:tab/>
        </w:r>
        <w:r w:rsidR="000D5AB3">
          <w:rPr>
            <w:rStyle w:val="Hyperlink"/>
            <w:noProof/>
          </w:rPr>
          <w:t>Summary of key hydrological RQOs for the uMkomazi River reach (U10M-04746/ Mk_I_EWR) (DWS, 2015)</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_Toc127273884 \h </w:instrText>
        </w:r>
        <w:r w:rsidR="000D5AB3">
          <w:rPr>
            <w:rStyle w:val="Hyperlink"/>
            <w:noProof/>
            <w:webHidden/>
          </w:rPr>
        </w:r>
        <w:r w:rsidR="000D5AB3">
          <w:rPr>
            <w:rStyle w:val="Hyperlink"/>
            <w:noProof/>
            <w:webHidden/>
          </w:rPr>
          <w:fldChar w:fldCharType="separate"/>
        </w:r>
        <w:r w:rsidR="000D5AB3">
          <w:rPr>
            <w:rStyle w:val="Hyperlink"/>
            <w:noProof/>
            <w:webHidden/>
          </w:rPr>
          <w:t>18</w:t>
        </w:r>
        <w:r w:rsidR="000D5AB3">
          <w:rPr>
            <w:rStyle w:val="Hyperlink"/>
            <w:noProof/>
            <w:webHidden/>
          </w:rPr>
          <w:fldChar w:fldCharType="end"/>
        </w:r>
      </w:hyperlink>
    </w:p>
    <w:p w14:paraId="4A9126C2" w14:textId="77777777" w:rsidR="000D5AB3" w:rsidRDefault="00000000" w:rsidP="000D5AB3">
      <w:pPr>
        <w:pStyle w:val="TableofFigures"/>
        <w:tabs>
          <w:tab w:val="left" w:pos="1157"/>
        </w:tabs>
        <w:spacing w:line="360" w:lineRule="auto"/>
        <w:ind w:left="142"/>
        <w:rPr>
          <w:rFonts w:asciiTheme="minorHAnsi" w:eastAsiaTheme="minorEastAsia" w:hAnsiTheme="minorHAnsi" w:cstheme="minorBidi"/>
          <w:noProof/>
          <w:color w:val="auto"/>
          <w:sz w:val="22"/>
          <w:lang w:bidi="ar-SA"/>
        </w:rPr>
      </w:pPr>
      <w:hyperlink r:id="rId47" w:anchor="_Toc127273885" w:history="1">
        <w:r w:rsidR="000D5AB3">
          <w:rPr>
            <w:rStyle w:val="Hyperlink"/>
            <w:noProof/>
          </w:rPr>
          <w:t>Table 3</w:t>
        </w:r>
        <w:r w:rsidR="000D5AB3">
          <w:rPr>
            <w:rStyle w:val="Hyperlink"/>
            <w:noProof/>
          </w:rPr>
          <w:noBreakHyphen/>
          <w:t>4:</w:t>
        </w:r>
        <w:r w:rsidR="000D5AB3">
          <w:rPr>
            <w:rStyle w:val="Hyperlink"/>
            <w:rFonts w:asciiTheme="minorHAnsi" w:eastAsiaTheme="minorEastAsia" w:hAnsiTheme="minorHAnsi" w:cstheme="minorBidi"/>
            <w:noProof/>
            <w:color w:val="auto"/>
            <w:sz w:val="22"/>
            <w:lang w:bidi="ar-SA"/>
          </w:rPr>
          <w:tab/>
        </w:r>
        <w:r w:rsidR="000D5AB3">
          <w:rPr>
            <w:rStyle w:val="Hyperlink"/>
            <w:noProof/>
          </w:rPr>
          <w:t>Summary of key habitat, biota and water quality RQO’s (DWS, 2015).</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_Toc127273885 \h </w:instrText>
        </w:r>
        <w:r w:rsidR="000D5AB3">
          <w:rPr>
            <w:rStyle w:val="Hyperlink"/>
            <w:noProof/>
            <w:webHidden/>
          </w:rPr>
        </w:r>
        <w:r w:rsidR="000D5AB3">
          <w:rPr>
            <w:rStyle w:val="Hyperlink"/>
            <w:noProof/>
            <w:webHidden/>
          </w:rPr>
          <w:fldChar w:fldCharType="separate"/>
        </w:r>
        <w:r w:rsidR="000D5AB3">
          <w:rPr>
            <w:rStyle w:val="Hyperlink"/>
            <w:noProof/>
            <w:webHidden/>
          </w:rPr>
          <w:t>18</w:t>
        </w:r>
        <w:r w:rsidR="000D5AB3">
          <w:rPr>
            <w:rStyle w:val="Hyperlink"/>
            <w:noProof/>
            <w:webHidden/>
          </w:rPr>
          <w:fldChar w:fldCharType="end"/>
        </w:r>
      </w:hyperlink>
    </w:p>
    <w:p w14:paraId="3D88AE2D" w14:textId="77777777" w:rsidR="000D5AB3" w:rsidRDefault="00000000" w:rsidP="000D5AB3">
      <w:pPr>
        <w:pStyle w:val="TableofFigures"/>
        <w:tabs>
          <w:tab w:val="left" w:pos="1157"/>
        </w:tabs>
        <w:spacing w:line="360" w:lineRule="auto"/>
        <w:ind w:left="142"/>
        <w:rPr>
          <w:rFonts w:asciiTheme="minorHAnsi" w:eastAsiaTheme="minorEastAsia" w:hAnsiTheme="minorHAnsi" w:cstheme="minorBidi"/>
          <w:noProof/>
          <w:color w:val="auto"/>
          <w:sz w:val="22"/>
          <w:lang w:bidi="ar-SA"/>
        </w:rPr>
      </w:pPr>
      <w:hyperlink r:id="rId48" w:anchor="_Toc127273886" w:history="1">
        <w:r w:rsidR="000D5AB3">
          <w:rPr>
            <w:rStyle w:val="Hyperlink"/>
            <w:noProof/>
          </w:rPr>
          <w:t>Table 3</w:t>
        </w:r>
        <w:r w:rsidR="000D5AB3">
          <w:rPr>
            <w:rStyle w:val="Hyperlink"/>
            <w:noProof/>
          </w:rPr>
          <w:noBreakHyphen/>
          <w:t>5:</w:t>
        </w:r>
        <w:r w:rsidR="000D5AB3">
          <w:rPr>
            <w:rStyle w:val="Hyperlink"/>
            <w:rFonts w:asciiTheme="minorHAnsi" w:eastAsiaTheme="minorEastAsia" w:hAnsiTheme="minorHAnsi" w:cstheme="minorBidi"/>
            <w:noProof/>
            <w:color w:val="auto"/>
            <w:sz w:val="22"/>
            <w:lang w:bidi="ar-SA"/>
          </w:rPr>
          <w:tab/>
        </w:r>
        <w:r w:rsidR="000D5AB3">
          <w:rPr>
            <w:rStyle w:val="Hyperlink"/>
            <w:noProof/>
          </w:rPr>
          <w:t>Summary of Eco-Classification results for the lower uMkhomazi Estuary (DWS, 2015)</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_Toc127273886 \h </w:instrText>
        </w:r>
        <w:r w:rsidR="000D5AB3">
          <w:rPr>
            <w:rStyle w:val="Hyperlink"/>
            <w:noProof/>
            <w:webHidden/>
          </w:rPr>
        </w:r>
        <w:r w:rsidR="000D5AB3">
          <w:rPr>
            <w:rStyle w:val="Hyperlink"/>
            <w:noProof/>
            <w:webHidden/>
          </w:rPr>
          <w:fldChar w:fldCharType="separate"/>
        </w:r>
        <w:r w:rsidR="000D5AB3">
          <w:rPr>
            <w:rStyle w:val="Hyperlink"/>
            <w:noProof/>
            <w:webHidden/>
          </w:rPr>
          <w:t>19</w:t>
        </w:r>
        <w:r w:rsidR="000D5AB3">
          <w:rPr>
            <w:rStyle w:val="Hyperlink"/>
            <w:noProof/>
            <w:webHidden/>
          </w:rPr>
          <w:fldChar w:fldCharType="end"/>
        </w:r>
      </w:hyperlink>
    </w:p>
    <w:p w14:paraId="3F8EDC0C" w14:textId="77777777" w:rsidR="000D5AB3" w:rsidRDefault="00000000" w:rsidP="000D5AB3">
      <w:pPr>
        <w:pStyle w:val="TableofFigures"/>
        <w:tabs>
          <w:tab w:val="left" w:pos="1157"/>
        </w:tabs>
        <w:spacing w:line="360" w:lineRule="auto"/>
        <w:ind w:left="142"/>
        <w:rPr>
          <w:rFonts w:asciiTheme="minorHAnsi" w:eastAsiaTheme="minorEastAsia" w:hAnsiTheme="minorHAnsi" w:cstheme="minorBidi"/>
          <w:noProof/>
          <w:color w:val="auto"/>
          <w:sz w:val="22"/>
          <w:lang w:bidi="ar-SA"/>
        </w:rPr>
      </w:pPr>
      <w:hyperlink r:id="rId49" w:anchor="_Toc127273887" w:history="1">
        <w:r w:rsidR="000D5AB3">
          <w:rPr>
            <w:rStyle w:val="Hyperlink"/>
            <w:noProof/>
          </w:rPr>
          <w:t>Table 3</w:t>
        </w:r>
        <w:r w:rsidR="000D5AB3">
          <w:rPr>
            <w:rStyle w:val="Hyperlink"/>
            <w:noProof/>
          </w:rPr>
          <w:noBreakHyphen/>
          <w:t>6:</w:t>
        </w:r>
        <w:r w:rsidR="000D5AB3">
          <w:rPr>
            <w:rStyle w:val="Hyperlink"/>
            <w:rFonts w:asciiTheme="minorHAnsi" w:eastAsiaTheme="minorEastAsia" w:hAnsiTheme="minorHAnsi" w:cstheme="minorBidi"/>
            <w:noProof/>
            <w:color w:val="auto"/>
            <w:sz w:val="22"/>
            <w:lang w:bidi="ar-SA"/>
          </w:rPr>
          <w:tab/>
        </w:r>
        <w:r w:rsidR="000D5AB3">
          <w:rPr>
            <w:rStyle w:val="Hyperlink"/>
            <w:noProof/>
          </w:rPr>
          <w:t>Parameters and constituents</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_Toc127273887 \h </w:instrText>
        </w:r>
        <w:r w:rsidR="000D5AB3">
          <w:rPr>
            <w:rStyle w:val="Hyperlink"/>
            <w:noProof/>
            <w:webHidden/>
          </w:rPr>
        </w:r>
        <w:r w:rsidR="000D5AB3">
          <w:rPr>
            <w:rStyle w:val="Hyperlink"/>
            <w:noProof/>
            <w:webHidden/>
          </w:rPr>
          <w:fldChar w:fldCharType="separate"/>
        </w:r>
        <w:r w:rsidR="000D5AB3">
          <w:rPr>
            <w:rStyle w:val="Hyperlink"/>
            <w:noProof/>
            <w:webHidden/>
          </w:rPr>
          <w:t>22</w:t>
        </w:r>
        <w:r w:rsidR="000D5AB3">
          <w:rPr>
            <w:rStyle w:val="Hyperlink"/>
            <w:noProof/>
            <w:webHidden/>
          </w:rPr>
          <w:fldChar w:fldCharType="end"/>
        </w:r>
      </w:hyperlink>
    </w:p>
    <w:p w14:paraId="669CA12F" w14:textId="77777777" w:rsidR="000D5AB3" w:rsidRDefault="00000000" w:rsidP="000D5AB3">
      <w:pPr>
        <w:pStyle w:val="TableofFigures"/>
        <w:tabs>
          <w:tab w:val="left" w:pos="1157"/>
        </w:tabs>
        <w:spacing w:line="360" w:lineRule="auto"/>
        <w:ind w:left="142"/>
        <w:rPr>
          <w:rFonts w:asciiTheme="minorHAnsi" w:eastAsiaTheme="minorEastAsia" w:hAnsiTheme="minorHAnsi" w:cstheme="minorBidi"/>
          <w:noProof/>
          <w:color w:val="auto"/>
          <w:sz w:val="22"/>
          <w:lang w:bidi="ar-SA"/>
        </w:rPr>
      </w:pPr>
      <w:hyperlink r:id="rId50" w:anchor="_Toc127273888" w:history="1">
        <w:r w:rsidR="000D5AB3">
          <w:rPr>
            <w:rStyle w:val="Hyperlink"/>
            <w:noProof/>
          </w:rPr>
          <w:t>Table 3</w:t>
        </w:r>
        <w:r w:rsidR="000D5AB3">
          <w:rPr>
            <w:rStyle w:val="Hyperlink"/>
            <w:noProof/>
          </w:rPr>
          <w:noBreakHyphen/>
          <w:t>7:</w:t>
        </w:r>
        <w:r w:rsidR="000D5AB3">
          <w:rPr>
            <w:rStyle w:val="Hyperlink"/>
            <w:rFonts w:asciiTheme="minorHAnsi" w:eastAsiaTheme="minorEastAsia" w:hAnsiTheme="minorHAnsi" w:cstheme="minorBidi"/>
            <w:noProof/>
            <w:color w:val="auto"/>
            <w:sz w:val="22"/>
            <w:lang w:bidi="ar-SA"/>
          </w:rPr>
          <w:tab/>
        </w:r>
        <w:r w:rsidR="000D5AB3">
          <w:rPr>
            <w:rStyle w:val="Hyperlink"/>
            <w:noProof/>
          </w:rPr>
          <w:t>Parameters and target value/concentrations</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_Toc127273888 \h </w:instrText>
        </w:r>
        <w:r w:rsidR="000D5AB3">
          <w:rPr>
            <w:rStyle w:val="Hyperlink"/>
            <w:noProof/>
            <w:webHidden/>
          </w:rPr>
        </w:r>
        <w:r w:rsidR="000D5AB3">
          <w:rPr>
            <w:rStyle w:val="Hyperlink"/>
            <w:noProof/>
            <w:webHidden/>
          </w:rPr>
          <w:fldChar w:fldCharType="separate"/>
        </w:r>
        <w:r w:rsidR="000D5AB3">
          <w:rPr>
            <w:rStyle w:val="Hyperlink"/>
            <w:noProof/>
            <w:webHidden/>
          </w:rPr>
          <w:t>23</w:t>
        </w:r>
        <w:r w:rsidR="000D5AB3">
          <w:rPr>
            <w:rStyle w:val="Hyperlink"/>
            <w:noProof/>
            <w:webHidden/>
          </w:rPr>
          <w:fldChar w:fldCharType="end"/>
        </w:r>
      </w:hyperlink>
    </w:p>
    <w:p w14:paraId="38C2B80D" w14:textId="7CE0AB13" w:rsidR="000D5AB3" w:rsidRDefault="000D5AB3" w:rsidP="00EA6A6E">
      <w:pPr>
        <w:ind w:left="142"/>
        <w:jc w:val="both"/>
        <w:rPr>
          <w:b/>
          <w:bCs/>
          <w:color w:val="323E4F" w:themeColor="text2" w:themeShade="BF"/>
          <w:sz w:val="28"/>
          <w:szCs w:val="28"/>
        </w:rPr>
      </w:pPr>
      <w:r>
        <w:rPr>
          <w:b/>
          <w:bCs/>
          <w:color w:val="323E4F" w:themeColor="text2" w:themeShade="BF"/>
          <w:sz w:val="28"/>
          <w:szCs w:val="28"/>
        </w:rPr>
        <w:fldChar w:fldCharType="end"/>
      </w:r>
    </w:p>
    <w:p w14:paraId="211B9727" w14:textId="77777777" w:rsidR="000D5AB3" w:rsidRDefault="000D5AB3" w:rsidP="000D5AB3">
      <w:pPr>
        <w:ind w:left="142"/>
        <w:jc w:val="both"/>
        <w:rPr>
          <w:b/>
          <w:bCs/>
          <w:color w:val="323E4F" w:themeColor="text2" w:themeShade="BF"/>
          <w:sz w:val="28"/>
          <w:szCs w:val="28"/>
        </w:rPr>
      </w:pPr>
      <w:r>
        <w:rPr>
          <w:b/>
          <w:bCs/>
          <w:color w:val="323E4F" w:themeColor="text2" w:themeShade="BF"/>
          <w:sz w:val="28"/>
          <w:szCs w:val="28"/>
        </w:rPr>
        <w:t>LIST OF FIGURES</w:t>
      </w:r>
    </w:p>
    <w:p w14:paraId="3A827122" w14:textId="77777777" w:rsidR="000D5AB3" w:rsidRDefault="000D5AB3" w:rsidP="000D5AB3">
      <w:pPr>
        <w:ind w:left="142"/>
        <w:jc w:val="both"/>
        <w:rPr>
          <w:b/>
          <w:bCs/>
          <w:color w:val="323E4F" w:themeColor="text2" w:themeShade="BF"/>
          <w:sz w:val="28"/>
          <w:szCs w:val="28"/>
        </w:rPr>
      </w:pPr>
    </w:p>
    <w:p w14:paraId="393B0782" w14:textId="77777777" w:rsidR="000D5AB3" w:rsidRDefault="000D5AB3" w:rsidP="000D5AB3">
      <w:pPr>
        <w:pStyle w:val="TableofFigures"/>
        <w:tabs>
          <w:tab w:val="left" w:pos="1320"/>
        </w:tabs>
        <w:spacing w:after="120"/>
        <w:ind w:left="142"/>
        <w:rPr>
          <w:rFonts w:asciiTheme="minorHAnsi" w:eastAsiaTheme="minorEastAsia" w:hAnsiTheme="minorHAnsi" w:cstheme="minorBidi"/>
          <w:noProof/>
          <w:color w:val="auto"/>
          <w:sz w:val="22"/>
          <w:lang w:bidi="ar-SA"/>
        </w:rPr>
      </w:pPr>
      <w:r>
        <w:rPr>
          <w:color w:val="323E4F" w:themeColor="text2" w:themeShade="BF"/>
        </w:rPr>
        <w:fldChar w:fldCharType="begin"/>
      </w:r>
      <w:r>
        <w:rPr>
          <w:color w:val="323E4F" w:themeColor="text2" w:themeShade="BF"/>
        </w:rPr>
        <w:instrText xml:space="preserve"> TOC \h \z \c "Figure" </w:instrText>
      </w:r>
      <w:r>
        <w:rPr>
          <w:color w:val="323E4F" w:themeColor="text2" w:themeShade="BF"/>
        </w:rPr>
        <w:fldChar w:fldCharType="separate"/>
      </w:r>
      <w:hyperlink r:id="rId51" w:anchor="_Toc127175375" w:history="1">
        <w:r>
          <w:rPr>
            <w:rStyle w:val="Hyperlink"/>
            <w:noProof/>
          </w:rPr>
          <w:t>Figure 3</w:t>
        </w:r>
        <w:r>
          <w:rPr>
            <w:rStyle w:val="Hyperlink"/>
            <w:noProof/>
          </w:rPr>
          <w:noBreakHyphen/>
          <w:t>1:</w:t>
        </w:r>
        <w:r>
          <w:rPr>
            <w:rStyle w:val="Hyperlink"/>
            <w:rFonts w:asciiTheme="minorHAnsi" w:eastAsiaTheme="minorEastAsia" w:hAnsiTheme="minorHAnsi" w:cstheme="minorBidi"/>
            <w:noProof/>
            <w:color w:val="auto"/>
            <w:sz w:val="22"/>
            <w:lang w:bidi="ar-SA"/>
          </w:rPr>
          <w:tab/>
        </w:r>
        <w:r>
          <w:rPr>
            <w:rStyle w:val="Hyperlink"/>
            <w:noProof/>
          </w:rPr>
          <w:t>Monitoring Process</w:t>
        </w:r>
        <w:r>
          <w:rPr>
            <w:rStyle w:val="Hyperlink"/>
            <w:noProof/>
            <w:webHidden/>
          </w:rPr>
          <w:tab/>
        </w:r>
        <w:r>
          <w:rPr>
            <w:rStyle w:val="Hyperlink"/>
            <w:noProof/>
            <w:webHidden/>
          </w:rPr>
          <w:fldChar w:fldCharType="begin"/>
        </w:r>
        <w:r>
          <w:rPr>
            <w:rStyle w:val="Hyperlink"/>
            <w:noProof/>
            <w:webHidden/>
          </w:rPr>
          <w:instrText xml:space="preserve"> PAGEREF _Toc127175375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14:paraId="289BDE1F" w14:textId="77777777" w:rsidR="000D5AB3" w:rsidRDefault="00000000" w:rsidP="000D5AB3">
      <w:pPr>
        <w:pStyle w:val="TableofFigures"/>
        <w:tabs>
          <w:tab w:val="left" w:pos="1320"/>
        </w:tabs>
        <w:spacing w:line="360" w:lineRule="auto"/>
        <w:ind w:left="142"/>
        <w:rPr>
          <w:rFonts w:asciiTheme="minorHAnsi" w:eastAsiaTheme="minorEastAsia" w:hAnsiTheme="minorHAnsi" w:cstheme="minorBidi"/>
          <w:noProof/>
          <w:color w:val="auto"/>
          <w:sz w:val="22"/>
          <w:lang w:bidi="ar-SA"/>
        </w:rPr>
      </w:pPr>
      <w:hyperlink r:id="rId52" w:anchor="_Toc127175376" w:history="1">
        <w:r w:rsidR="000D5AB3">
          <w:rPr>
            <w:rStyle w:val="Hyperlink"/>
            <w:noProof/>
          </w:rPr>
          <w:t>Figure 3</w:t>
        </w:r>
        <w:r w:rsidR="000D5AB3">
          <w:rPr>
            <w:rStyle w:val="Hyperlink"/>
            <w:noProof/>
          </w:rPr>
          <w:noBreakHyphen/>
          <w:t>2:</w:t>
        </w:r>
        <w:r w:rsidR="000D5AB3">
          <w:rPr>
            <w:rStyle w:val="Hyperlink"/>
            <w:rFonts w:asciiTheme="minorHAnsi" w:eastAsiaTheme="minorEastAsia" w:hAnsiTheme="minorHAnsi" w:cstheme="minorBidi"/>
            <w:noProof/>
            <w:color w:val="auto"/>
            <w:sz w:val="22"/>
            <w:lang w:bidi="ar-SA"/>
          </w:rPr>
          <w:tab/>
        </w:r>
        <w:r w:rsidR="000D5AB3">
          <w:rPr>
            <w:rStyle w:val="Hyperlink"/>
            <w:noProof/>
          </w:rPr>
          <w:t>Study Area</w:t>
        </w:r>
        <w:r w:rsidR="000D5AB3">
          <w:rPr>
            <w:rStyle w:val="Hyperlink"/>
            <w:noProof/>
            <w:webHidden/>
          </w:rPr>
          <w:tab/>
        </w:r>
        <w:r w:rsidR="000D5AB3">
          <w:rPr>
            <w:rStyle w:val="Hyperlink"/>
            <w:noProof/>
            <w:webHidden/>
          </w:rPr>
          <w:fldChar w:fldCharType="begin"/>
        </w:r>
        <w:r w:rsidR="000D5AB3">
          <w:rPr>
            <w:rStyle w:val="Hyperlink"/>
            <w:noProof/>
            <w:webHidden/>
          </w:rPr>
          <w:instrText xml:space="preserve"> PAGEREF _Toc127175376 \h </w:instrText>
        </w:r>
        <w:r w:rsidR="000D5AB3">
          <w:rPr>
            <w:rStyle w:val="Hyperlink"/>
            <w:noProof/>
            <w:webHidden/>
          </w:rPr>
        </w:r>
        <w:r w:rsidR="000D5AB3">
          <w:rPr>
            <w:rStyle w:val="Hyperlink"/>
            <w:noProof/>
            <w:webHidden/>
          </w:rPr>
          <w:fldChar w:fldCharType="separate"/>
        </w:r>
        <w:r w:rsidR="000D5AB3">
          <w:rPr>
            <w:rStyle w:val="Hyperlink"/>
            <w:noProof/>
            <w:webHidden/>
          </w:rPr>
          <w:t>12</w:t>
        </w:r>
        <w:r w:rsidR="000D5AB3">
          <w:rPr>
            <w:rStyle w:val="Hyperlink"/>
            <w:noProof/>
            <w:webHidden/>
          </w:rPr>
          <w:fldChar w:fldCharType="end"/>
        </w:r>
      </w:hyperlink>
    </w:p>
    <w:p w14:paraId="7EA50135" w14:textId="77777777" w:rsidR="000D5AB3" w:rsidRDefault="000D5AB3" w:rsidP="000D5AB3">
      <w:pPr>
        <w:ind w:left="142"/>
        <w:jc w:val="both"/>
        <w:rPr>
          <w:rFonts w:eastAsia="Arial" w:cs="Arial"/>
          <w:color w:val="323E4F" w:themeColor="text2" w:themeShade="BF"/>
          <w:sz w:val="22"/>
          <w:lang w:bidi="en-ZA"/>
        </w:rPr>
      </w:pPr>
      <w:r>
        <w:rPr>
          <w:color w:val="323E4F" w:themeColor="text2" w:themeShade="BF"/>
        </w:rPr>
        <w:fldChar w:fldCharType="end"/>
      </w:r>
    </w:p>
    <w:p w14:paraId="1B2C4611" w14:textId="77777777" w:rsidR="000D5AB3" w:rsidRDefault="000D5AB3" w:rsidP="000D5AB3">
      <w:pPr>
        <w:rPr>
          <w:color w:val="323E4F" w:themeColor="text2" w:themeShade="BF"/>
        </w:rPr>
        <w:sectPr w:rsidR="000D5AB3" w:rsidSect="00EA6A6E">
          <w:pgSz w:w="11910" w:h="16840"/>
          <w:pgMar w:top="1440" w:right="1440" w:bottom="1440" w:left="1440" w:header="691" w:footer="749" w:gutter="0"/>
          <w:pgNumType w:fmt="lowerRoman"/>
          <w:cols w:space="720"/>
        </w:sectPr>
      </w:pPr>
    </w:p>
    <w:p w14:paraId="750A13DA" w14:textId="77777777" w:rsidR="000D5AB3" w:rsidRDefault="000D5AB3" w:rsidP="000D5AB3">
      <w:pPr>
        <w:pStyle w:val="Heading1"/>
        <w:numPr>
          <w:ilvl w:val="0"/>
          <w:numId w:val="2"/>
        </w:numPr>
        <w:ind w:hanging="148"/>
        <w:rPr>
          <w:color w:val="323E4F" w:themeColor="text2" w:themeShade="BF"/>
        </w:rPr>
      </w:pPr>
      <w:bookmarkStart w:id="0" w:name="_bookmark0"/>
      <w:bookmarkStart w:id="1" w:name="_Toc127283777"/>
      <w:bookmarkEnd w:id="0"/>
      <w:r>
        <w:rPr>
          <w:color w:val="323E4F" w:themeColor="text2" w:themeShade="BF"/>
        </w:rPr>
        <w:lastRenderedPageBreak/>
        <w:t>INTRODUCTION</w:t>
      </w:r>
      <w:bookmarkEnd w:id="1"/>
    </w:p>
    <w:p w14:paraId="1EA87F12" w14:textId="77777777" w:rsidR="000D5AB3" w:rsidRDefault="000D5AB3" w:rsidP="000D5AB3">
      <w:pPr>
        <w:pStyle w:val="BodyText"/>
        <w:spacing w:line="268" w:lineRule="auto"/>
        <w:ind w:right="480"/>
        <w:jc w:val="both"/>
        <w:rPr>
          <w:color w:val="323E4F" w:themeColor="text2" w:themeShade="BF"/>
        </w:rPr>
      </w:pPr>
      <w:bookmarkStart w:id="2" w:name="_bookmark1"/>
      <w:bookmarkEnd w:id="2"/>
    </w:p>
    <w:p w14:paraId="411F862B" w14:textId="4F8CE635" w:rsidR="000D5AB3" w:rsidRDefault="000D5AB3" w:rsidP="000D5AB3">
      <w:pPr>
        <w:pStyle w:val="BodyText"/>
        <w:tabs>
          <w:tab w:val="right" w:pos="180"/>
        </w:tabs>
        <w:spacing w:line="268" w:lineRule="auto"/>
        <w:ind w:left="270" w:right="480"/>
        <w:jc w:val="both"/>
        <w:rPr>
          <w:color w:val="323E4F" w:themeColor="text2" w:themeShade="BF"/>
          <w:lang w:val="en-GB"/>
        </w:rPr>
      </w:pPr>
      <w:r>
        <w:rPr>
          <w:color w:val="323E4F" w:themeColor="text2" w:themeShade="BF"/>
          <w:lang w:val="en-GB"/>
        </w:rPr>
        <w:t xml:space="preserve">The eThekwini Water and Sanitation (EWS) Branch of the eThekwini Metropolitan Municipality intends to assess the potential to design, finance, construct, operate and maintain two new sewage treatment plants (STPs) at </w:t>
      </w:r>
      <w:proofErr w:type="spellStart"/>
      <w:r>
        <w:rPr>
          <w:color w:val="323E4F" w:themeColor="text2" w:themeShade="BF"/>
          <w:lang w:val="en-GB"/>
        </w:rPr>
        <w:t>uMdloti</w:t>
      </w:r>
      <w:proofErr w:type="spellEnd"/>
      <w:r>
        <w:rPr>
          <w:color w:val="323E4F" w:themeColor="text2" w:themeShade="BF"/>
          <w:lang w:val="en-GB"/>
        </w:rPr>
        <w:t xml:space="preserve"> and </w:t>
      </w:r>
      <w:proofErr w:type="spellStart"/>
      <w:r>
        <w:rPr>
          <w:color w:val="323E4F" w:themeColor="text2" w:themeShade="BF"/>
          <w:lang w:val="en-GB"/>
        </w:rPr>
        <w:t>uMkhomazi</w:t>
      </w:r>
      <w:proofErr w:type="spellEnd"/>
      <w:r>
        <w:rPr>
          <w:color w:val="323E4F" w:themeColor="text2" w:themeShade="BF"/>
          <w:lang w:val="en-GB"/>
        </w:rPr>
        <w:t xml:space="preserve"> as a Public Private Partnership (PPP). This agreement is expected to be in place for twenty (20) to thirty (30) years. For planning purposes, the maximum term of thirty (30) years is utilised and assumed to be between 2023 to 2053. The ultimate objective of this project is for the EWS to improve levels of service and to increase the availability and reliability of water resources in the Municipality. The IFC advisory services has engaged Royal </w:t>
      </w:r>
      <w:proofErr w:type="spellStart"/>
      <w:r>
        <w:rPr>
          <w:color w:val="323E4F" w:themeColor="text2" w:themeShade="BF"/>
          <w:lang w:val="en-GB"/>
        </w:rPr>
        <w:t>HaskoningDHV</w:t>
      </w:r>
      <w:proofErr w:type="spellEnd"/>
      <w:r>
        <w:rPr>
          <w:color w:val="323E4F" w:themeColor="text2" w:themeShade="BF"/>
          <w:lang w:val="en-GB"/>
        </w:rPr>
        <w:t xml:space="preserve"> (Pty) Ltd (Royal </w:t>
      </w:r>
      <w:proofErr w:type="spellStart"/>
      <w:r>
        <w:rPr>
          <w:color w:val="323E4F" w:themeColor="text2" w:themeShade="BF"/>
          <w:lang w:val="en-GB"/>
        </w:rPr>
        <w:t>HaskoningDHV</w:t>
      </w:r>
      <w:proofErr w:type="spellEnd"/>
      <w:r>
        <w:rPr>
          <w:color w:val="323E4F" w:themeColor="text2" w:themeShade="BF"/>
          <w:lang w:val="en-GB"/>
        </w:rPr>
        <w:t>) as consultant to provide Technical, Environmental and Social (TES) advisory services</w:t>
      </w:r>
      <w:r w:rsidR="00EA6A6E">
        <w:rPr>
          <w:color w:val="323E4F" w:themeColor="text2" w:themeShade="BF"/>
          <w:lang w:val="en-GB"/>
        </w:rPr>
        <w:t>.</w:t>
      </w:r>
    </w:p>
    <w:p w14:paraId="716AF509" w14:textId="77777777" w:rsidR="000D5AB3" w:rsidRDefault="000D5AB3" w:rsidP="000D5AB3">
      <w:pPr>
        <w:pStyle w:val="BodyText"/>
        <w:tabs>
          <w:tab w:val="right" w:pos="180"/>
        </w:tabs>
        <w:spacing w:line="268" w:lineRule="auto"/>
        <w:ind w:left="270" w:right="480"/>
        <w:jc w:val="both"/>
        <w:rPr>
          <w:color w:val="323E4F" w:themeColor="text2" w:themeShade="BF"/>
          <w:lang w:val="en-GB"/>
        </w:rPr>
      </w:pPr>
    </w:p>
    <w:p w14:paraId="2F475D2C" w14:textId="77777777" w:rsidR="000D5AB3" w:rsidRDefault="000D5AB3" w:rsidP="000D5AB3">
      <w:pPr>
        <w:pStyle w:val="BodyText"/>
        <w:tabs>
          <w:tab w:val="right" w:pos="180"/>
        </w:tabs>
        <w:spacing w:line="268" w:lineRule="auto"/>
        <w:ind w:left="270" w:right="480"/>
        <w:jc w:val="both"/>
        <w:rPr>
          <w:color w:val="323E4F" w:themeColor="text2" w:themeShade="BF"/>
          <w:lang w:val="en-GB"/>
        </w:rPr>
      </w:pPr>
      <w:r>
        <w:rPr>
          <w:color w:val="323E4F" w:themeColor="text2" w:themeShade="BF"/>
          <w:lang w:val="en-GB"/>
        </w:rPr>
        <w:t xml:space="preserve">The project entails the following components: </w:t>
      </w:r>
    </w:p>
    <w:p w14:paraId="5FCE210C" w14:textId="0B604432" w:rsidR="000D5AB3" w:rsidRDefault="000D5AB3" w:rsidP="00EA6A6E">
      <w:pPr>
        <w:pStyle w:val="BodyText"/>
        <w:numPr>
          <w:ilvl w:val="0"/>
          <w:numId w:val="35"/>
        </w:numPr>
        <w:tabs>
          <w:tab w:val="right" w:pos="180"/>
        </w:tabs>
        <w:spacing w:line="268" w:lineRule="auto"/>
        <w:ind w:right="480"/>
        <w:jc w:val="both"/>
        <w:rPr>
          <w:color w:val="323E4F" w:themeColor="text2" w:themeShade="BF"/>
          <w:lang w:val="en-GB"/>
        </w:rPr>
      </w:pPr>
      <w:r>
        <w:rPr>
          <w:color w:val="323E4F" w:themeColor="text2" w:themeShade="BF"/>
          <w:lang w:val="en-GB"/>
        </w:rPr>
        <w:t xml:space="preserve">New </w:t>
      </w:r>
      <w:r w:rsidR="00BE7246">
        <w:rPr>
          <w:color w:val="323E4F" w:themeColor="text2" w:themeShade="BF"/>
          <w:lang w:val="en-GB"/>
        </w:rPr>
        <w:t>Umkomaas STP</w:t>
      </w:r>
      <w:r>
        <w:rPr>
          <w:color w:val="323E4F" w:themeColor="text2" w:themeShade="BF"/>
          <w:lang w:val="en-GB"/>
        </w:rPr>
        <w:t xml:space="preserve"> designed to a provisional plant capacity of 11Ml/d,</w:t>
      </w:r>
    </w:p>
    <w:p w14:paraId="01D6AED1" w14:textId="77777777" w:rsidR="000D5AB3" w:rsidRDefault="000D5AB3" w:rsidP="00EA6A6E">
      <w:pPr>
        <w:pStyle w:val="BodyText"/>
        <w:numPr>
          <w:ilvl w:val="0"/>
          <w:numId w:val="35"/>
        </w:numPr>
        <w:tabs>
          <w:tab w:val="right" w:pos="180"/>
        </w:tabs>
        <w:spacing w:line="268" w:lineRule="auto"/>
        <w:ind w:right="480"/>
        <w:jc w:val="both"/>
        <w:rPr>
          <w:color w:val="323E4F" w:themeColor="text2" w:themeShade="BF"/>
          <w:lang w:val="en-GB"/>
        </w:rPr>
      </w:pPr>
      <w:r>
        <w:rPr>
          <w:color w:val="323E4F" w:themeColor="text2" w:themeShade="BF"/>
          <w:lang w:val="en-GB"/>
        </w:rPr>
        <w:t>Sludge Handling and Beneficiation plant within the new regional STP to treat sludge generated by wastewater treatment process,</w:t>
      </w:r>
    </w:p>
    <w:p w14:paraId="23FD3928" w14:textId="77777777" w:rsidR="000D5AB3" w:rsidRDefault="000D5AB3" w:rsidP="00EA6A6E">
      <w:pPr>
        <w:pStyle w:val="BodyText"/>
        <w:numPr>
          <w:ilvl w:val="0"/>
          <w:numId w:val="35"/>
        </w:numPr>
        <w:tabs>
          <w:tab w:val="right" w:pos="180"/>
        </w:tabs>
        <w:spacing w:line="268" w:lineRule="auto"/>
        <w:ind w:right="480"/>
        <w:jc w:val="both"/>
        <w:rPr>
          <w:color w:val="323E4F" w:themeColor="text2" w:themeShade="BF"/>
          <w:lang w:val="en-GB"/>
        </w:rPr>
      </w:pPr>
      <w:r>
        <w:rPr>
          <w:color w:val="323E4F" w:themeColor="text2" w:themeShade="BF"/>
          <w:lang w:val="en-GB"/>
        </w:rPr>
        <w:t>Construction of Raw Sewage Conveyance Systems to collect the sewage at the existing main outfall sewers, located at the old STPs, and convey this to the new STP. The following two (2) Sewage Conveyance Systems are proposed:</w:t>
      </w:r>
    </w:p>
    <w:p w14:paraId="448673F9" w14:textId="305C15CA" w:rsidR="000D5AB3" w:rsidRDefault="000D5AB3" w:rsidP="00EA6A6E">
      <w:pPr>
        <w:pStyle w:val="BodyText"/>
        <w:numPr>
          <w:ilvl w:val="0"/>
          <w:numId w:val="35"/>
        </w:numPr>
        <w:tabs>
          <w:tab w:val="right" w:pos="1276"/>
        </w:tabs>
        <w:spacing w:line="268" w:lineRule="auto"/>
        <w:ind w:right="480"/>
        <w:jc w:val="both"/>
        <w:rPr>
          <w:color w:val="323E4F" w:themeColor="text2" w:themeShade="BF"/>
          <w:lang w:val="en-GB"/>
        </w:rPr>
      </w:pPr>
      <w:r>
        <w:rPr>
          <w:color w:val="323E4F" w:themeColor="text2" w:themeShade="BF"/>
          <w:lang w:val="en-GB"/>
        </w:rPr>
        <w:t xml:space="preserve">Craigieburn STP to new regional </w:t>
      </w:r>
      <w:r w:rsidR="00BE7246">
        <w:rPr>
          <w:color w:val="323E4F" w:themeColor="text2" w:themeShade="BF"/>
          <w:lang w:val="en-GB"/>
        </w:rPr>
        <w:t>Umkomaas STP</w:t>
      </w:r>
      <w:r>
        <w:rPr>
          <w:color w:val="323E4F" w:themeColor="text2" w:themeShade="BF"/>
          <w:lang w:val="en-GB"/>
        </w:rPr>
        <w:t>; and</w:t>
      </w:r>
    </w:p>
    <w:p w14:paraId="751BEA06" w14:textId="7F4C7AB2" w:rsidR="000D5AB3" w:rsidRDefault="000D5AB3" w:rsidP="00EA6A6E">
      <w:pPr>
        <w:pStyle w:val="BodyText"/>
        <w:numPr>
          <w:ilvl w:val="0"/>
          <w:numId w:val="35"/>
        </w:numPr>
        <w:tabs>
          <w:tab w:val="right" w:pos="1276"/>
        </w:tabs>
        <w:spacing w:line="268" w:lineRule="auto"/>
        <w:ind w:right="480"/>
        <w:jc w:val="both"/>
        <w:rPr>
          <w:color w:val="323E4F" w:themeColor="text2" w:themeShade="BF"/>
          <w:lang w:val="en-GB"/>
        </w:rPr>
      </w:pPr>
      <w:r>
        <w:rPr>
          <w:color w:val="323E4F" w:themeColor="text2" w:themeShade="BF"/>
          <w:lang w:val="en-GB"/>
        </w:rPr>
        <w:t xml:space="preserve">Old Umkomaas STP to new regional </w:t>
      </w:r>
      <w:r w:rsidR="00BE7246">
        <w:rPr>
          <w:color w:val="323E4F" w:themeColor="text2" w:themeShade="BF"/>
          <w:lang w:val="en-GB"/>
        </w:rPr>
        <w:t>Umkomaas STP</w:t>
      </w:r>
      <w:r>
        <w:rPr>
          <w:color w:val="323E4F" w:themeColor="text2" w:themeShade="BF"/>
          <w:lang w:val="en-GB"/>
        </w:rPr>
        <w:t>.</w:t>
      </w:r>
    </w:p>
    <w:p w14:paraId="4AEDEED3" w14:textId="77777777" w:rsidR="000D5AB3" w:rsidRDefault="000D5AB3" w:rsidP="00EA6A6E">
      <w:pPr>
        <w:pStyle w:val="BodyText"/>
        <w:numPr>
          <w:ilvl w:val="0"/>
          <w:numId w:val="35"/>
        </w:numPr>
        <w:tabs>
          <w:tab w:val="right" w:pos="180"/>
        </w:tabs>
        <w:spacing w:line="268" w:lineRule="auto"/>
        <w:ind w:right="480"/>
        <w:jc w:val="both"/>
        <w:rPr>
          <w:color w:val="323E4F" w:themeColor="text2" w:themeShade="BF"/>
          <w:lang w:val="en-GB"/>
        </w:rPr>
      </w:pPr>
      <w:r>
        <w:rPr>
          <w:color w:val="323E4F" w:themeColor="text2" w:themeShade="BF"/>
          <w:lang w:val="en-GB"/>
        </w:rPr>
        <w:t xml:space="preserve">A Treated Effluent Pipeline (TEP) to the South African Pulp and Paper Industries (SAPPI) as the off taker plus a bypass discharge to the </w:t>
      </w:r>
      <w:proofErr w:type="spellStart"/>
      <w:r>
        <w:rPr>
          <w:color w:val="323E4F" w:themeColor="text2" w:themeShade="BF"/>
          <w:lang w:val="en-GB"/>
        </w:rPr>
        <w:t>uMkhomazi</w:t>
      </w:r>
      <w:proofErr w:type="spellEnd"/>
      <w:r>
        <w:rPr>
          <w:color w:val="323E4F" w:themeColor="text2" w:themeShade="BF"/>
          <w:lang w:val="en-GB"/>
        </w:rPr>
        <w:t xml:space="preserve"> River, </w:t>
      </w:r>
    </w:p>
    <w:p w14:paraId="24EFFE3A" w14:textId="77777777" w:rsidR="000D5AB3" w:rsidRDefault="000D5AB3" w:rsidP="00EA6A6E">
      <w:pPr>
        <w:pStyle w:val="BodyText"/>
        <w:numPr>
          <w:ilvl w:val="0"/>
          <w:numId w:val="35"/>
        </w:numPr>
        <w:tabs>
          <w:tab w:val="right" w:pos="180"/>
        </w:tabs>
        <w:spacing w:line="268" w:lineRule="auto"/>
        <w:ind w:right="480"/>
        <w:jc w:val="both"/>
        <w:rPr>
          <w:color w:val="323E4F" w:themeColor="text2" w:themeShade="BF"/>
          <w:lang w:val="en-GB"/>
        </w:rPr>
      </w:pPr>
      <w:r>
        <w:rPr>
          <w:color w:val="323E4F" w:themeColor="text2" w:themeShade="BF"/>
          <w:lang w:val="en-GB"/>
        </w:rPr>
        <w:t>Combined Heat and Power (Biogas) facility, and</w:t>
      </w:r>
    </w:p>
    <w:p w14:paraId="25F8CE4A" w14:textId="77777777" w:rsidR="000D5AB3" w:rsidRDefault="000D5AB3" w:rsidP="00EA6A6E">
      <w:pPr>
        <w:pStyle w:val="BodyText"/>
        <w:numPr>
          <w:ilvl w:val="0"/>
          <w:numId w:val="35"/>
        </w:numPr>
        <w:tabs>
          <w:tab w:val="right" w:pos="180"/>
        </w:tabs>
        <w:spacing w:line="268" w:lineRule="auto"/>
        <w:ind w:right="480"/>
        <w:jc w:val="both"/>
        <w:rPr>
          <w:color w:val="323E4F" w:themeColor="text2" w:themeShade="BF"/>
          <w:lang w:val="en-GB"/>
        </w:rPr>
      </w:pPr>
      <w:r>
        <w:rPr>
          <w:color w:val="323E4F" w:themeColor="text2" w:themeShade="BF"/>
          <w:lang w:val="en-GB"/>
        </w:rPr>
        <w:t xml:space="preserve">The establishment of a construction camp/s (on or off the new proposed STP site). </w:t>
      </w:r>
    </w:p>
    <w:p w14:paraId="550EB0D8" w14:textId="77777777" w:rsidR="000D5AB3" w:rsidRDefault="000D5AB3" w:rsidP="000D5AB3">
      <w:pPr>
        <w:pStyle w:val="BodyText"/>
        <w:tabs>
          <w:tab w:val="right" w:pos="180"/>
        </w:tabs>
        <w:spacing w:line="268" w:lineRule="auto"/>
        <w:ind w:left="270" w:right="480"/>
        <w:jc w:val="both"/>
        <w:rPr>
          <w:color w:val="323E4F" w:themeColor="text2" w:themeShade="BF"/>
          <w:lang w:val="en-GB"/>
        </w:rPr>
      </w:pPr>
    </w:p>
    <w:p w14:paraId="2FA31EA5" w14:textId="48E49780" w:rsidR="000D5AB3" w:rsidRDefault="000D5AB3" w:rsidP="000D5AB3">
      <w:pPr>
        <w:pStyle w:val="BodyText"/>
        <w:tabs>
          <w:tab w:val="right" w:pos="180"/>
        </w:tabs>
        <w:spacing w:line="268" w:lineRule="auto"/>
        <w:ind w:left="270" w:right="480"/>
        <w:jc w:val="both"/>
        <w:rPr>
          <w:color w:val="323E4F" w:themeColor="text2" w:themeShade="BF"/>
          <w:lang w:val="en-GB"/>
        </w:rPr>
      </w:pPr>
      <w:r>
        <w:rPr>
          <w:color w:val="323E4F" w:themeColor="text2" w:themeShade="BF"/>
          <w:lang w:val="en-GB"/>
        </w:rPr>
        <w:t xml:space="preserve">The new </w:t>
      </w:r>
      <w:r w:rsidR="00BE7246">
        <w:rPr>
          <w:color w:val="323E4F" w:themeColor="text2" w:themeShade="BF"/>
          <w:lang w:val="en-GB"/>
        </w:rPr>
        <w:t>Umkomaas STP</w:t>
      </w:r>
      <w:r>
        <w:rPr>
          <w:color w:val="323E4F" w:themeColor="text2" w:themeShade="BF"/>
          <w:lang w:val="en-GB"/>
        </w:rPr>
        <w:t xml:space="preserve"> will replace the following existing plants that will need to be decommissioned once the new works is fully operational:</w:t>
      </w:r>
    </w:p>
    <w:p w14:paraId="1FDB610E" w14:textId="77777777" w:rsidR="000D5AB3" w:rsidRDefault="000D5AB3" w:rsidP="00EA6A6E">
      <w:pPr>
        <w:pStyle w:val="BodyText"/>
        <w:numPr>
          <w:ilvl w:val="0"/>
          <w:numId w:val="35"/>
        </w:numPr>
        <w:tabs>
          <w:tab w:val="right" w:pos="180"/>
        </w:tabs>
        <w:spacing w:line="268" w:lineRule="auto"/>
        <w:ind w:right="480"/>
        <w:jc w:val="both"/>
        <w:rPr>
          <w:color w:val="323E4F" w:themeColor="text2" w:themeShade="BF"/>
          <w:lang w:val="en-GB"/>
        </w:rPr>
      </w:pPr>
      <w:r>
        <w:rPr>
          <w:color w:val="323E4F" w:themeColor="text2" w:themeShade="BF"/>
          <w:lang w:val="en-GB"/>
        </w:rPr>
        <w:t>Old Umkomaas STP, and</w:t>
      </w:r>
    </w:p>
    <w:p w14:paraId="3E272A02" w14:textId="77777777" w:rsidR="000D5AB3" w:rsidRDefault="000D5AB3" w:rsidP="00EA6A6E">
      <w:pPr>
        <w:pStyle w:val="BodyText"/>
        <w:numPr>
          <w:ilvl w:val="0"/>
          <w:numId w:val="35"/>
        </w:numPr>
        <w:tabs>
          <w:tab w:val="right" w:pos="180"/>
        </w:tabs>
        <w:spacing w:line="268" w:lineRule="auto"/>
        <w:ind w:right="480"/>
        <w:jc w:val="both"/>
        <w:rPr>
          <w:color w:val="323E4F" w:themeColor="text2" w:themeShade="BF"/>
          <w:lang w:val="en-GB"/>
        </w:rPr>
      </w:pPr>
      <w:r>
        <w:rPr>
          <w:color w:val="323E4F" w:themeColor="text2" w:themeShade="BF"/>
          <w:lang w:val="en-GB"/>
        </w:rPr>
        <w:t>Craigieburn STP.</w:t>
      </w:r>
    </w:p>
    <w:p w14:paraId="7F8352FC" w14:textId="77777777" w:rsidR="000D5AB3" w:rsidRDefault="000D5AB3" w:rsidP="000D5AB3">
      <w:pPr>
        <w:pStyle w:val="BodyText"/>
        <w:spacing w:line="268" w:lineRule="auto"/>
        <w:ind w:right="480"/>
        <w:jc w:val="both"/>
        <w:rPr>
          <w:color w:val="323E4F" w:themeColor="text2" w:themeShade="BF"/>
        </w:rPr>
      </w:pPr>
      <w:bookmarkStart w:id="3" w:name="_bookmark2"/>
      <w:bookmarkEnd w:id="3"/>
    </w:p>
    <w:p w14:paraId="6C137997" w14:textId="77777777" w:rsidR="000D5AB3" w:rsidRDefault="000D5AB3" w:rsidP="000D5AB3">
      <w:pPr>
        <w:pStyle w:val="Heading2"/>
        <w:numPr>
          <w:ilvl w:val="1"/>
          <w:numId w:val="2"/>
        </w:numPr>
        <w:ind w:hanging="292"/>
        <w:rPr>
          <w:color w:val="323E4F" w:themeColor="text2" w:themeShade="BF"/>
        </w:rPr>
      </w:pPr>
      <w:bookmarkStart w:id="4" w:name="_bookmark3"/>
      <w:bookmarkStart w:id="5" w:name="_Toc127283778"/>
      <w:bookmarkEnd w:id="4"/>
      <w:r>
        <w:rPr>
          <w:color w:val="323E4F" w:themeColor="text2" w:themeShade="BF"/>
        </w:rPr>
        <w:t>Purpose</w:t>
      </w:r>
      <w:bookmarkEnd w:id="5"/>
    </w:p>
    <w:p w14:paraId="422C935C" w14:textId="77777777" w:rsidR="000D5AB3" w:rsidRDefault="000D5AB3" w:rsidP="000D5AB3">
      <w:pPr>
        <w:tabs>
          <w:tab w:val="left" w:pos="2246"/>
        </w:tabs>
        <w:rPr>
          <w:color w:val="323E4F" w:themeColor="text2" w:themeShade="BF"/>
        </w:rPr>
      </w:pPr>
    </w:p>
    <w:p w14:paraId="431E13DA" w14:textId="5DBFFF56" w:rsidR="000D5AB3" w:rsidRDefault="000D5AB3" w:rsidP="000D5AB3">
      <w:pPr>
        <w:pStyle w:val="BodyText"/>
        <w:spacing w:line="268" w:lineRule="auto"/>
        <w:ind w:left="308" w:right="480"/>
        <w:jc w:val="both"/>
        <w:rPr>
          <w:color w:val="323E4F" w:themeColor="text2" w:themeShade="BF"/>
        </w:rPr>
      </w:pPr>
      <w:r>
        <w:rPr>
          <w:color w:val="323E4F" w:themeColor="text2" w:themeShade="BF"/>
        </w:rPr>
        <w:t xml:space="preserve">In line with the TES advisory services for Phase 1, Royal </w:t>
      </w:r>
      <w:proofErr w:type="spellStart"/>
      <w:r>
        <w:rPr>
          <w:color w:val="323E4F" w:themeColor="text2" w:themeShade="BF"/>
        </w:rPr>
        <w:t>HaskoningDHV</w:t>
      </w:r>
      <w:proofErr w:type="spellEnd"/>
      <w:r>
        <w:rPr>
          <w:color w:val="323E4F" w:themeColor="text2" w:themeShade="BF"/>
        </w:rPr>
        <w:t xml:space="preserve"> has been appointed to undertake an Environmental and Social Scoping Study (ESS) for the proposed project. As part of this study, a Terms of Reference (</w:t>
      </w:r>
      <w:proofErr w:type="spellStart"/>
      <w:r>
        <w:rPr>
          <w:color w:val="323E4F" w:themeColor="text2" w:themeShade="BF"/>
        </w:rPr>
        <w:t>ToR</w:t>
      </w:r>
      <w:proofErr w:type="spellEnd"/>
      <w:r>
        <w:rPr>
          <w:color w:val="323E4F" w:themeColor="text2" w:themeShade="BF"/>
        </w:rPr>
        <w:t xml:space="preserve">) for an Environmental Monitoring Programme is required. This document serves to provide this </w:t>
      </w:r>
      <w:proofErr w:type="spellStart"/>
      <w:r>
        <w:rPr>
          <w:color w:val="323E4F" w:themeColor="text2" w:themeShade="BF"/>
        </w:rPr>
        <w:t>ToR</w:t>
      </w:r>
      <w:proofErr w:type="spellEnd"/>
      <w:r>
        <w:rPr>
          <w:color w:val="323E4F" w:themeColor="text2" w:themeShade="BF"/>
        </w:rPr>
        <w:t xml:space="preserve"> and relates to the proposed </w:t>
      </w:r>
      <w:r w:rsidR="00BE7246">
        <w:rPr>
          <w:color w:val="323E4F" w:themeColor="text2" w:themeShade="BF"/>
        </w:rPr>
        <w:t>Umkomaas STP</w:t>
      </w:r>
      <w:r>
        <w:rPr>
          <w:color w:val="323E4F" w:themeColor="text2" w:themeShade="BF"/>
        </w:rPr>
        <w:t xml:space="preserve">. </w:t>
      </w:r>
    </w:p>
    <w:p w14:paraId="73EC6D75" w14:textId="77777777" w:rsidR="000D5AB3" w:rsidRDefault="000D5AB3" w:rsidP="000D5AB3">
      <w:pPr>
        <w:rPr>
          <w:color w:val="323E4F" w:themeColor="text2" w:themeShade="BF"/>
        </w:rPr>
        <w:sectPr w:rsidR="000D5AB3" w:rsidSect="00EA6A6E">
          <w:pgSz w:w="11910" w:h="16840"/>
          <w:pgMar w:top="1440" w:right="1440" w:bottom="1440" w:left="1440" w:header="691" w:footer="749" w:gutter="0"/>
          <w:cols w:space="720"/>
        </w:sectPr>
      </w:pPr>
    </w:p>
    <w:p w14:paraId="044A3381" w14:textId="77777777" w:rsidR="000D5AB3" w:rsidRDefault="000D5AB3" w:rsidP="000D5AB3">
      <w:pPr>
        <w:pStyle w:val="Heading1"/>
        <w:numPr>
          <w:ilvl w:val="0"/>
          <w:numId w:val="2"/>
        </w:numPr>
        <w:ind w:hanging="148"/>
        <w:rPr>
          <w:color w:val="323E4F" w:themeColor="text2" w:themeShade="BF"/>
        </w:rPr>
      </w:pPr>
      <w:bookmarkStart w:id="6" w:name="_bookmark4"/>
      <w:bookmarkStart w:id="7" w:name="_Toc127283779"/>
      <w:bookmarkEnd w:id="6"/>
      <w:r>
        <w:rPr>
          <w:color w:val="323E4F" w:themeColor="text2" w:themeShade="BF"/>
        </w:rPr>
        <w:lastRenderedPageBreak/>
        <w:t>REGULATORY FRAMEWORK</w:t>
      </w:r>
      <w:bookmarkEnd w:id="7"/>
    </w:p>
    <w:p w14:paraId="2DA686F3" w14:textId="77777777" w:rsidR="000D5AB3" w:rsidRDefault="000D5AB3" w:rsidP="000D5AB3">
      <w:pPr>
        <w:pStyle w:val="BodyText"/>
        <w:spacing w:before="197" w:line="268" w:lineRule="auto"/>
        <w:ind w:left="308" w:right="575"/>
        <w:jc w:val="both"/>
        <w:rPr>
          <w:color w:val="323E4F" w:themeColor="text2" w:themeShade="BF"/>
        </w:rPr>
      </w:pPr>
      <w:proofErr w:type="gramStart"/>
      <w:r>
        <w:rPr>
          <w:color w:val="323E4F" w:themeColor="text2" w:themeShade="BF"/>
        </w:rPr>
        <w:t>In order to</w:t>
      </w:r>
      <w:proofErr w:type="gramEnd"/>
      <w:r>
        <w:rPr>
          <w:color w:val="323E4F" w:themeColor="text2" w:themeShade="BF"/>
        </w:rPr>
        <w:t xml:space="preserve"> protect the environment and ensure that the development is undertaken in an environmentally and socially responsible manner, there are a number of significant environmental related legislation that need to be taken into account during the Scoping study which also need to be highlighted in this </w:t>
      </w:r>
      <w:proofErr w:type="spellStart"/>
      <w:r>
        <w:rPr>
          <w:color w:val="323E4F" w:themeColor="text2" w:themeShade="BF"/>
        </w:rPr>
        <w:t>ToR</w:t>
      </w:r>
      <w:proofErr w:type="spellEnd"/>
      <w:r>
        <w:rPr>
          <w:color w:val="323E4F" w:themeColor="text2" w:themeShade="BF"/>
        </w:rPr>
        <w:t>.</w:t>
      </w:r>
    </w:p>
    <w:p w14:paraId="6893DCC2" w14:textId="77777777" w:rsidR="000D5AB3" w:rsidRDefault="000D5AB3" w:rsidP="000D5AB3">
      <w:pPr>
        <w:pStyle w:val="BodyText"/>
        <w:jc w:val="both"/>
        <w:rPr>
          <w:color w:val="323E4F" w:themeColor="text2" w:themeShade="BF"/>
          <w:sz w:val="22"/>
        </w:rPr>
      </w:pPr>
    </w:p>
    <w:p w14:paraId="0B88FF6F" w14:textId="77777777" w:rsidR="000D5AB3" w:rsidRDefault="000D5AB3" w:rsidP="000D5AB3">
      <w:pPr>
        <w:pStyle w:val="Caption"/>
        <w:rPr>
          <w:color w:val="323E4F" w:themeColor="text2" w:themeShade="BF"/>
        </w:rPr>
      </w:pPr>
      <w:bookmarkStart w:id="8" w:name="_bookmark5"/>
      <w:bookmarkStart w:id="9" w:name="_Toc127273880"/>
      <w:bookmarkEnd w:id="8"/>
      <w:r>
        <w:rPr>
          <w:color w:val="323E4F" w:themeColor="text2" w:themeShade="BF"/>
        </w:rPr>
        <w:t xml:space="preserve">Table </w:t>
      </w:r>
      <w:r>
        <w:fldChar w:fldCharType="begin"/>
      </w:r>
      <w:r>
        <w:rPr>
          <w:color w:val="323E4F" w:themeColor="text2" w:themeShade="BF"/>
        </w:rPr>
        <w:instrText xml:space="preserve"> STYLEREF 1 \s </w:instrText>
      </w:r>
      <w:r>
        <w:fldChar w:fldCharType="separate"/>
      </w:r>
      <w:r>
        <w:rPr>
          <w:noProof/>
          <w:color w:val="323E4F" w:themeColor="text2" w:themeShade="BF"/>
        </w:rPr>
        <w:t>2</w:t>
      </w:r>
      <w:r>
        <w:fldChar w:fldCharType="end"/>
      </w:r>
      <w:r>
        <w:rPr>
          <w:color w:val="323E4F" w:themeColor="text2" w:themeShade="BF"/>
        </w:rPr>
        <w:noBreakHyphen/>
      </w:r>
      <w:r>
        <w:fldChar w:fldCharType="begin"/>
      </w:r>
      <w:r>
        <w:rPr>
          <w:color w:val="323E4F" w:themeColor="text2" w:themeShade="BF"/>
        </w:rPr>
        <w:instrText xml:space="preserve"> SEQ Table \* ARABIC \s 1 </w:instrText>
      </w:r>
      <w:r>
        <w:fldChar w:fldCharType="separate"/>
      </w:r>
      <w:r>
        <w:rPr>
          <w:noProof/>
          <w:color w:val="323E4F" w:themeColor="text2" w:themeShade="BF"/>
        </w:rPr>
        <w:t>1</w:t>
      </w:r>
      <w:r>
        <w:fldChar w:fldCharType="end"/>
      </w:r>
      <w:r>
        <w:rPr>
          <w:color w:val="323E4F" w:themeColor="text2" w:themeShade="BF"/>
        </w:rPr>
        <w:t>:</w:t>
      </w:r>
      <w:r>
        <w:rPr>
          <w:color w:val="323E4F" w:themeColor="text2" w:themeShade="BF"/>
        </w:rPr>
        <w:tab/>
        <w:t>Key National Acts, Plans and Policies Considered</w:t>
      </w:r>
      <w:bookmarkEnd w:id="9"/>
    </w:p>
    <w:tbl>
      <w:tblPr>
        <w:tblW w:w="5000" w:type="pct"/>
        <w:tblCellSpacing w:w="9" w:type="dxa"/>
        <w:tblCellMar>
          <w:left w:w="0" w:type="dxa"/>
          <w:right w:w="0" w:type="dxa"/>
        </w:tblCellMar>
        <w:tblLook w:val="01E0" w:firstRow="1" w:lastRow="1" w:firstColumn="1" w:lastColumn="1" w:noHBand="0" w:noVBand="0"/>
      </w:tblPr>
      <w:tblGrid>
        <w:gridCol w:w="3382"/>
        <w:gridCol w:w="49"/>
        <w:gridCol w:w="10529"/>
      </w:tblGrid>
      <w:tr w:rsidR="000D5AB3" w14:paraId="49374707" w14:textId="77777777" w:rsidTr="00917F04">
        <w:trPr>
          <w:trHeight w:val="332"/>
          <w:tblHeader/>
          <w:tblCellSpacing w:w="9" w:type="dxa"/>
        </w:trPr>
        <w:tc>
          <w:tcPr>
            <w:tcW w:w="1214" w:type="pct"/>
            <w:gridSpan w:val="2"/>
            <w:shd w:val="clear" w:color="auto" w:fill="00567D"/>
            <w:hideMark/>
          </w:tcPr>
          <w:p w14:paraId="21BBE997" w14:textId="77777777" w:rsidR="000D5AB3" w:rsidRDefault="000D5AB3">
            <w:pPr>
              <w:pStyle w:val="TableParagraph"/>
              <w:spacing w:before="56"/>
              <w:jc w:val="both"/>
              <w:rPr>
                <w:b/>
                <w:color w:val="FFFFFF" w:themeColor="background1"/>
                <w:sz w:val="18"/>
              </w:rPr>
            </w:pPr>
            <w:r>
              <w:rPr>
                <w:b/>
                <w:color w:val="FFFFFF" w:themeColor="background1"/>
                <w:sz w:val="18"/>
              </w:rPr>
              <w:t>Acts / Plans / Policies</w:t>
            </w:r>
          </w:p>
        </w:tc>
        <w:tc>
          <w:tcPr>
            <w:tcW w:w="3764" w:type="pct"/>
            <w:shd w:val="clear" w:color="auto" w:fill="00567D"/>
            <w:hideMark/>
          </w:tcPr>
          <w:p w14:paraId="40FD1C66" w14:textId="77777777" w:rsidR="000D5AB3" w:rsidRDefault="000D5AB3">
            <w:pPr>
              <w:pStyle w:val="TableParagraph"/>
              <w:spacing w:before="56"/>
              <w:ind w:left="-1"/>
              <w:jc w:val="both"/>
              <w:rPr>
                <w:b/>
                <w:color w:val="FFFFFF" w:themeColor="background1"/>
                <w:sz w:val="18"/>
              </w:rPr>
            </w:pPr>
            <w:r>
              <w:rPr>
                <w:b/>
                <w:color w:val="FFFFFF" w:themeColor="background1"/>
                <w:sz w:val="18"/>
              </w:rPr>
              <w:t>Objectives, Important Aspects, Associated Notices and Regulations</w:t>
            </w:r>
          </w:p>
        </w:tc>
      </w:tr>
      <w:tr w:rsidR="000D5AB3" w14:paraId="36FA8E76" w14:textId="77777777" w:rsidTr="000C5758">
        <w:trPr>
          <w:trHeight w:val="4176"/>
          <w:tblCellSpacing w:w="9" w:type="dxa"/>
        </w:trPr>
        <w:tc>
          <w:tcPr>
            <w:tcW w:w="1214" w:type="pct"/>
            <w:gridSpan w:val="2"/>
            <w:shd w:val="clear" w:color="auto" w:fill="B1E7FF"/>
          </w:tcPr>
          <w:p w14:paraId="68ACA671" w14:textId="77777777" w:rsidR="000D5AB3" w:rsidRDefault="000D5AB3">
            <w:pPr>
              <w:pStyle w:val="TableParagraph"/>
              <w:jc w:val="both"/>
              <w:rPr>
                <w:b/>
                <w:color w:val="323E4F" w:themeColor="text2" w:themeShade="BF"/>
                <w:sz w:val="20"/>
              </w:rPr>
            </w:pPr>
          </w:p>
          <w:p w14:paraId="427A2128" w14:textId="77777777" w:rsidR="000D5AB3" w:rsidRDefault="000D5AB3">
            <w:pPr>
              <w:pStyle w:val="TableParagraph"/>
              <w:jc w:val="both"/>
              <w:rPr>
                <w:b/>
                <w:color w:val="323E4F" w:themeColor="text2" w:themeShade="BF"/>
                <w:sz w:val="20"/>
              </w:rPr>
            </w:pPr>
          </w:p>
          <w:p w14:paraId="6256C8C8" w14:textId="77777777" w:rsidR="000D5AB3" w:rsidRDefault="000D5AB3">
            <w:pPr>
              <w:pStyle w:val="TableParagraph"/>
              <w:jc w:val="both"/>
              <w:rPr>
                <w:b/>
                <w:color w:val="323E4F" w:themeColor="text2" w:themeShade="BF"/>
                <w:sz w:val="20"/>
              </w:rPr>
            </w:pPr>
          </w:p>
          <w:p w14:paraId="366184E9" w14:textId="77777777" w:rsidR="000D5AB3" w:rsidRDefault="000D5AB3">
            <w:pPr>
              <w:pStyle w:val="TableParagraph"/>
              <w:jc w:val="both"/>
              <w:rPr>
                <w:b/>
                <w:color w:val="323E4F" w:themeColor="text2" w:themeShade="BF"/>
                <w:sz w:val="20"/>
              </w:rPr>
            </w:pPr>
          </w:p>
          <w:p w14:paraId="5634B9D5" w14:textId="77777777" w:rsidR="000D5AB3" w:rsidRDefault="000D5AB3">
            <w:pPr>
              <w:pStyle w:val="TableParagraph"/>
              <w:jc w:val="both"/>
              <w:rPr>
                <w:b/>
                <w:color w:val="323E4F" w:themeColor="text2" w:themeShade="BF"/>
                <w:sz w:val="20"/>
              </w:rPr>
            </w:pPr>
          </w:p>
          <w:p w14:paraId="3FC9FC64" w14:textId="77777777" w:rsidR="000D5AB3" w:rsidRDefault="000D5AB3">
            <w:pPr>
              <w:pStyle w:val="TableParagraph"/>
              <w:jc w:val="both"/>
              <w:rPr>
                <w:b/>
                <w:color w:val="323E4F" w:themeColor="text2" w:themeShade="BF"/>
                <w:sz w:val="20"/>
              </w:rPr>
            </w:pPr>
          </w:p>
          <w:p w14:paraId="42E46444" w14:textId="77777777" w:rsidR="000D5AB3" w:rsidRDefault="000D5AB3">
            <w:pPr>
              <w:pStyle w:val="TableParagraph"/>
              <w:jc w:val="both"/>
              <w:rPr>
                <w:b/>
                <w:color w:val="323E4F" w:themeColor="text2" w:themeShade="BF"/>
                <w:sz w:val="20"/>
              </w:rPr>
            </w:pPr>
          </w:p>
          <w:p w14:paraId="4EE759AC" w14:textId="77777777" w:rsidR="000D5AB3" w:rsidRDefault="000D5AB3">
            <w:pPr>
              <w:pStyle w:val="TableParagraph"/>
              <w:spacing w:before="5"/>
              <w:jc w:val="both"/>
              <w:rPr>
                <w:b/>
                <w:color w:val="323E4F" w:themeColor="text2" w:themeShade="BF"/>
                <w:sz w:val="27"/>
              </w:rPr>
            </w:pPr>
          </w:p>
          <w:p w14:paraId="1C67F494" w14:textId="77777777" w:rsidR="000D5AB3" w:rsidRDefault="000D5AB3">
            <w:pPr>
              <w:pStyle w:val="TableParagraph"/>
              <w:spacing w:line="266" w:lineRule="auto"/>
              <w:ind w:right="138"/>
              <w:jc w:val="both"/>
              <w:rPr>
                <w:color w:val="323E4F" w:themeColor="text2" w:themeShade="BF"/>
                <w:sz w:val="18"/>
              </w:rPr>
            </w:pPr>
            <w:r>
              <w:rPr>
                <w:color w:val="323E4F" w:themeColor="text2" w:themeShade="BF"/>
                <w:sz w:val="18"/>
              </w:rPr>
              <w:t>The Constitution (No. 108 of 1996)</w:t>
            </w:r>
          </w:p>
        </w:tc>
        <w:tc>
          <w:tcPr>
            <w:tcW w:w="3764" w:type="pct"/>
            <w:shd w:val="clear" w:color="auto" w:fill="B1E7FF"/>
          </w:tcPr>
          <w:p w14:paraId="5B1E841E" w14:textId="77777777" w:rsidR="000D5AB3" w:rsidRDefault="000D5AB3">
            <w:pPr>
              <w:pStyle w:val="TableParagraph"/>
              <w:spacing w:before="56" w:line="266" w:lineRule="auto"/>
              <w:ind w:left="-1" w:right="177"/>
              <w:jc w:val="both"/>
              <w:rPr>
                <w:color w:val="323E4F" w:themeColor="text2" w:themeShade="BF"/>
                <w:sz w:val="18"/>
              </w:rPr>
            </w:pPr>
            <w:r>
              <w:rPr>
                <w:color w:val="323E4F" w:themeColor="text2" w:themeShade="BF"/>
                <w:sz w:val="18"/>
              </w:rPr>
              <w:t>This includes the right to have the environment protected through legislative or other means. Among other things the Constitution states:</w:t>
            </w:r>
          </w:p>
          <w:p w14:paraId="3CBF4F23" w14:textId="77777777" w:rsidR="000D5AB3" w:rsidRDefault="000D5AB3">
            <w:pPr>
              <w:pStyle w:val="TableParagraph"/>
              <w:spacing w:before="2"/>
              <w:ind w:left="-1"/>
              <w:jc w:val="both"/>
              <w:rPr>
                <w:color w:val="323E4F" w:themeColor="text2" w:themeShade="BF"/>
                <w:sz w:val="18"/>
              </w:rPr>
            </w:pPr>
            <w:r>
              <w:rPr>
                <w:color w:val="323E4F" w:themeColor="text2" w:themeShade="BF"/>
                <w:sz w:val="18"/>
              </w:rPr>
              <w:t>Section 10: Everyone has the right –</w:t>
            </w:r>
          </w:p>
          <w:p w14:paraId="124BBC32" w14:textId="77777777" w:rsidR="000D5AB3" w:rsidRDefault="000D5AB3">
            <w:pPr>
              <w:pStyle w:val="TableParagraph"/>
              <w:numPr>
                <w:ilvl w:val="0"/>
                <w:numId w:val="6"/>
              </w:numPr>
              <w:tabs>
                <w:tab w:val="left" w:pos="720"/>
              </w:tabs>
              <w:spacing w:before="28"/>
              <w:jc w:val="both"/>
              <w:rPr>
                <w:color w:val="323E4F" w:themeColor="text2" w:themeShade="BF"/>
                <w:sz w:val="18"/>
              </w:rPr>
            </w:pPr>
            <w:r>
              <w:rPr>
                <w:color w:val="323E4F" w:themeColor="text2" w:themeShade="BF"/>
                <w:sz w:val="18"/>
              </w:rPr>
              <w:t>To an environment that is not harmful to their health or well-being;</w:t>
            </w:r>
            <w:r>
              <w:rPr>
                <w:color w:val="323E4F" w:themeColor="text2" w:themeShade="BF"/>
                <w:spacing w:val="-14"/>
                <w:sz w:val="18"/>
              </w:rPr>
              <w:t xml:space="preserve"> </w:t>
            </w:r>
            <w:r>
              <w:rPr>
                <w:color w:val="323E4F" w:themeColor="text2" w:themeShade="BF"/>
                <w:sz w:val="18"/>
              </w:rPr>
              <w:t>and</w:t>
            </w:r>
          </w:p>
          <w:p w14:paraId="7E7F92C4" w14:textId="77777777" w:rsidR="000D5AB3" w:rsidRDefault="000D5AB3">
            <w:pPr>
              <w:pStyle w:val="TableParagraph"/>
              <w:numPr>
                <w:ilvl w:val="0"/>
                <w:numId w:val="6"/>
              </w:numPr>
              <w:tabs>
                <w:tab w:val="left" w:pos="720"/>
              </w:tabs>
              <w:spacing w:before="26" w:line="271" w:lineRule="auto"/>
              <w:ind w:right="174"/>
              <w:jc w:val="both"/>
              <w:rPr>
                <w:color w:val="323E4F" w:themeColor="text2" w:themeShade="BF"/>
                <w:sz w:val="18"/>
              </w:rPr>
            </w:pPr>
            <w:r>
              <w:rPr>
                <w:color w:val="323E4F" w:themeColor="text2" w:themeShade="BF"/>
                <w:sz w:val="18"/>
              </w:rPr>
              <w:t>To have the environment protected, for the benefit of present and future generations, through reasonable legislative and other measures that</w:t>
            </w:r>
            <w:r>
              <w:rPr>
                <w:color w:val="323E4F" w:themeColor="text2" w:themeShade="BF"/>
                <w:spacing w:val="-7"/>
                <w:sz w:val="18"/>
              </w:rPr>
              <w:t xml:space="preserve"> </w:t>
            </w:r>
            <w:r>
              <w:rPr>
                <w:color w:val="323E4F" w:themeColor="text2" w:themeShade="BF"/>
                <w:sz w:val="18"/>
              </w:rPr>
              <w:t>–</w:t>
            </w:r>
          </w:p>
          <w:p w14:paraId="7F2E69C7" w14:textId="77777777" w:rsidR="000D5AB3" w:rsidRDefault="000D5AB3">
            <w:pPr>
              <w:pStyle w:val="TableParagraph"/>
              <w:numPr>
                <w:ilvl w:val="1"/>
                <w:numId w:val="6"/>
              </w:numPr>
              <w:tabs>
                <w:tab w:val="left" w:pos="1265"/>
              </w:tabs>
              <w:spacing w:line="203" w:lineRule="exact"/>
              <w:jc w:val="both"/>
              <w:rPr>
                <w:color w:val="323E4F" w:themeColor="text2" w:themeShade="BF"/>
                <w:sz w:val="18"/>
              </w:rPr>
            </w:pPr>
            <w:r>
              <w:rPr>
                <w:color w:val="323E4F" w:themeColor="text2" w:themeShade="BF"/>
                <w:sz w:val="18"/>
              </w:rPr>
              <w:t>prevent pollution and ecological</w:t>
            </w:r>
            <w:r>
              <w:rPr>
                <w:color w:val="323E4F" w:themeColor="text2" w:themeShade="BF"/>
                <w:spacing w:val="-2"/>
                <w:sz w:val="18"/>
              </w:rPr>
              <w:t xml:space="preserve"> </w:t>
            </w:r>
            <w:proofErr w:type="gramStart"/>
            <w:r>
              <w:rPr>
                <w:color w:val="323E4F" w:themeColor="text2" w:themeShade="BF"/>
                <w:sz w:val="18"/>
              </w:rPr>
              <w:t>degradation;</w:t>
            </w:r>
            <w:proofErr w:type="gramEnd"/>
          </w:p>
          <w:p w14:paraId="329CEBCF" w14:textId="77777777" w:rsidR="000D5AB3" w:rsidRDefault="000D5AB3">
            <w:pPr>
              <w:pStyle w:val="TableParagraph"/>
              <w:numPr>
                <w:ilvl w:val="1"/>
                <w:numId w:val="6"/>
              </w:numPr>
              <w:tabs>
                <w:tab w:val="left" w:pos="1265"/>
              </w:tabs>
              <w:spacing w:before="26"/>
              <w:jc w:val="both"/>
              <w:rPr>
                <w:color w:val="323E4F" w:themeColor="text2" w:themeShade="BF"/>
                <w:sz w:val="18"/>
              </w:rPr>
            </w:pPr>
            <w:r>
              <w:rPr>
                <w:color w:val="323E4F" w:themeColor="text2" w:themeShade="BF"/>
                <w:sz w:val="18"/>
              </w:rPr>
              <w:t>promote conservation;</w:t>
            </w:r>
            <w:r>
              <w:rPr>
                <w:color w:val="323E4F" w:themeColor="text2" w:themeShade="BF"/>
                <w:spacing w:val="-3"/>
                <w:sz w:val="18"/>
              </w:rPr>
              <w:t xml:space="preserve"> </w:t>
            </w:r>
            <w:r>
              <w:rPr>
                <w:color w:val="323E4F" w:themeColor="text2" w:themeShade="BF"/>
                <w:sz w:val="18"/>
              </w:rPr>
              <w:t>and</w:t>
            </w:r>
          </w:p>
          <w:p w14:paraId="490F290F" w14:textId="77777777" w:rsidR="000D5AB3" w:rsidRDefault="000D5AB3">
            <w:pPr>
              <w:pStyle w:val="TableParagraph"/>
              <w:numPr>
                <w:ilvl w:val="1"/>
                <w:numId w:val="6"/>
              </w:numPr>
              <w:tabs>
                <w:tab w:val="left" w:pos="1265"/>
              </w:tabs>
              <w:spacing w:before="28" w:line="268" w:lineRule="auto"/>
              <w:ind w:right="170"/>
              <w:jc w:val="both"/>
              <w:rPr>
                <w:color w:val="323E4F" w:themeColor="text2" w:themeShade="BF"/>
                <w:sz w:val="18"/>
              </w:rPr>
            </w:pPr>
            <w:r>
              <w:rPr>
                <w:color w:val="323E4F" w:themeColor="text2" w:themeShade="BF"/>
                <w:sz w:val="18"/>
              </w:rPr>
              <w:t>secure ecologically sustainable development and use of natural resources while promoting justifiable economic and social development.</w:t>
            </w:r>
          </w:p>
          <w:p w14:paraId="65A6FB84" w14:textId="77777777" w:rsidR="000D5AB3" w:rsidRDefault="000D5AB3">
            <w:pPr>
              <w:pStyle w:val="TableParagraph"/>
              <w:spacing w:before="2"/>
              <w:jc w:val="both"/>
              <w:rPr>
                <w:b/>
                <w:color w:val="323E4F" w:themeColor="text2" w:themeShade="BF"/>
                <w:sz w:val="20"/>
              </w:rPr>
            </w:pPr>
          </w:p>
          <w:p w14:paraId="520BD357" w14:textId="77777777" w:rsidR="000D5AB3" w:rsidRDefault="000D5AB3">
            <w:pPr>
              <w:pStyle w:val="TableParagraph"/>
              <w:spacing w:line="271" w:lineRule="auto"/>
              <w:ind w:left="-1" w:right="174"/>
              <w:jc w:val="both"/>
              <w:rPr>
                <w:color w:val="323E4F" w:themeColor="text2" w:themeShade="BF"/>
                <w:sz w:val="18"/>
              </w:rPr>
            </w:pPr>
            <w:r>
              <w:rPr>
                <w:color w:val="323E4F" w:themeColor="text2" w:themeShade="BF"/>
                <w:sz w:val="18"/>
              </w:rPr>
              <w:t>Section 156(1): assigns municipalities executive authority in respect of matters listed in Schedule 4B of the Constitution (including sanitation).</w:t>
            </w:r>
          </w:p>
          <w:p w14:paraId="2AB78906" w14:textId="77777777" w:rsidR="000D5AB3" w:rsidRDefault="000D5AB3">
            <w:pPr>
              <w:pStyle w:val="TableParagraph"/>
              <w:spacing w:before="11"/>
              <w:jc w:val="both"/>
              <w:rPr>
                <w:b/>
                <w:color w:val="323E4F" w:themeColor="text2" w:themeShade="BF"/>
                <w:sz w:val="19"/>
              </w:rPr>
            </w:pPr>
          </w:p>
          <w:p w14:paraId="5E106B8B" w14:textId="77777777" w:rsidR="000D5AB3" w:rsidRDefault="000D5AB3">
            <w:pPr>
              <w:pStyle w:val="TableParagraph"/>
              <w:spacing w:line="268" w:lineRule="auto"/>
              <w:ind w:left="-1" w:right="173"/>
              <w:jc w:val="both"/>
              <w:rPr>
                <w:color w:val="323E4F" w:themeColor="text2" w:themeShade="BF"/>
                <w:sz w:val="18"/>
              </w:rPr>
            </w:pPr>
            <w:r>
              <w:rPr>
                <w:color w:val="323E4F" w:themeColor="text2" w:themeShade="BF"/>
                <w:sz w:val="18"/>
              </w:rPr>
              <w:t>Section</w:t>
            </w:r>
            <w:r>
              <w:rPr>
                <w:color w:val="323E4F" w:themeColor="text2" w:themeShade="BF"/>
                <w:spacing w:val="-15"/>
                <w:sz w:val="18"/>
              </w:rPr>
              <w:t xml:space="preserve"> </w:t>
            </w:r>
            <w:r>
              <w:rPr>
                <w:color w:val="323E4F" w:themeColor="text2" w:themeShade="BF"/>
                <w:sz w:val="18"/>
              </w:rPr>
              <w:t>154(1):</w:t>
            </w:r>
            <w:r>
              <w:rPr>
                <w:color w:val="323E4F" w:themeColor="text2" w:themeShade="BF"/>
                <w:spacing w:val="-15"/>
                <w:sz w:val="18"/>
              </w:rPr>
              <w:t xml:space="preserve"> </w:t>
            </w:r>
            <w:r>
              <w:rPr>
                <w:color w:val="323E4F" w:themeColor="text2" w:themeShade="BF"/>
                <w:sz w:val="18"/>
              </w:rPr>
              <w:t>the</w:t>
            </w:r>
            <w:r>
              <w:rPr>
                <w:color w:val="323E4F" w:themeColor="text2" w:themeShade="BF"/>
                <w:spacing w:val="-17"/>
                <w:sz w:val="18"/>
              </w:rPr>
              <w:t xml:space="preserve"> </w:t>
            </w:r>
            <w:r>
              <w:rPr>
                <w:color w:val="323E4F" w:themeColor="text2" w:themeShade="BF"/>
                <w:sz w:val="18"/>
              </w:rPr>
              <w:t>national</w:t>
            </w:r>
            <w:r>
              <w:rPr>
                <w:color w:val="323E4F" w:themeColor="text2" w:themeShade="BF"/>
                <w:spacing w:val="-13"/>
                <w:sz w:val="18"/>
              </w:rPr>
              <w:t xml:space="preserve"> </w:t>
            </w:r>
            <w:r>
              <w:rPr>
                <w:color w:val="323E4F" w:themeColor="text2" w:themeShade="BF"/>
                <w:sz w:val="18"/>
              </w:rPr>
              <w:t>government</w:t>
            </w:r>
            <w:r>
              <w:rPr>
                <w:color w:val="323E4F" w:themeColor="text2" w:themeShade="BF"/>
                <w:spacing w:val="-16"/>
                <w:sz w:val="18"/>
              </w:rPr>
              <w:t xml:space="preserve"> </w:t>
            </w:r>
            <w:r>
              <w:rPr>
                <w:color w:val="323E4F" w:themeColor="text2" w:themeShade="BF"/>
                <w:sz w:val="18"/>
              </w:rPr>
              <w:t>and</w:t>
            </w:r>
            <w:r>
              <w:rPr>
                <w:color w:val="323E4F" w:themeColor="text2" w:themeShade="BF"/>
                <w:spacing w:val="-17"/>
                <w:sz w:val="18"/>
              </w:rPr>
              <w:t xml:space="preserve"> </w:t>
            </w:r>
            <w:r>
              <w:rPr>
                <w:color w:val="323E4F" w:themeColor="text2" w:themeShade="BF"/>
                <w:sz w:val="18"/>
              </w:rPr>
              <w:t>provincial</w:t>
            </w:r>
            <w:r>
              <w:rPr>
                <w:color w:val="323E4F" w:themeColor="text2" w:themeShade="BF"/>
                <w:spacing w:val="-13"/>
                <w:sz w:val="18"/>
              </w:rPr>
              <w:t xml:space="preserve"> </w:t>
            </w:r>
            <w:r>
              <w:rPr>
                <w:color w:val="323E4F" w:themeColor="text2" w:themeShade="BF"/>
                <w:sz w:val="18"/>
              </w:rPr>
              <w:t>governments,</w:t>
            </w:r>
            <w:r>
              <w:rPr>
                <w:color w:val="323E4F" w:themeColor="text2" w:themeShade="BF"/>
                <w:spacing w:val="-16"/>
                <w:sz w:val="18"/>
              </w:rPr>
              <w:t xml:space="preserve"> </w:t>
            </w:r>
            <w:r>
              <w:rPr>
                <w:color w:val="323E4F" w:themeColor="text2" w:themeShade="BF"/>
                <w:sz w:val="18"/>
              </w:rPr>
              <w:t>by</w:t>
            </w:r>
            <w:r>
              <w:rPr>
                <w:color w:val="323E4F" w:themeColor="text2" w:themeShade="BF"/>
                <w:spacing w:val="-16"/>
                <w:sz w:val="18"/>
              </w:rPr>
              <w:t xml:space="preserve"> </w:t>
            </w:r>
            <w:r>
              <w:rPr>
                <w:color w:val="323E4F" w:themeColor="text2" w:themeShade="BF"/>
                <w:sz w:val="18"/>
              </w:rPr>
              <w:t>legislation</w:t>
            </w:r>
            <w:r>
              <w:rPr>
                <w:color w:val="323E4F" w:themeColor="text2" w:themeShade="BF"/>
                <w:spacing w:val="-14"/>
                <w:sz w:val="18"/>
              </w:rPr>
              <w:t xml:space="preserve"> </w:t>
            </w:r>
            <w:r>
              <w:rPr>
                <w:color w:val="323E4F" w:themeColor="text2" w:themeShade="BF"/>
                <w:sz w:val="18"/>
              </w:rPr>
              <w:t>and other</w:t>
            </w:r>
            <w:r>
              <w:rPr>
                <w:color w:val="323E4F" w:themeColor="text2" w:themeShade="BF"/>
                <w:spacing w:val="-10"/>
                <w:sz w:val="18"/>
              </w:rPr>
              <w:t xml:space="preserve"> </w:t>
            </w:r>
            <w:r>
              <w:rPr>
                <w:color w:val="323E4F" w:themeColor="text2" w:themeShade="BF"/>
                <w:sz w:val="18"/>
              </w:rPr>
              <w:t>measures,</w:t>
            </w:r>
            <w:r>
              <w:rPr>
                <w:color w:val="323E4F" w:themeColor="text2" w:themeShade="BF"/>
                <w:spacing w:val="-9"/>
                <w:sz w:val="18"/>
              </w:rPr>
              <w:t xml:space="preserve"> </w:t>
            </w:r>
            <w:r>
              <w:rPr>
                <w:color w:val="323E4F" w:themeColor="text2" w:themeShade="BF"/>
                <w:sz w:val="18"/>
              </w:rPr>
              <w:t>must</w:t>
            </w:r>
            <w:r>
              <w:rPr>
                <w:color w:val="323E4F" w:themeColor="text2" w:themeShade="BF"/>
                <w:spacing w:val="-9"/>
                <w:sz w:val="18"/>
              </w:rPr>
              <w:t xml:space="preserve"> </w:t>
            </w:r>
            <w:r>
              <w:rPr>
                <w:color w:val="323E4F" w:themeColor="text2" w:themeShade="BF"/>
                <w:sz w:val="18"/>
              </w:rPr>
              <w:t>support</w:t>
            </w:r>
            <w:r>
              <w:rPr>
                <w:color w:val="323E4F" w:themeColor="text2" w:themeShade="BF"/>
                <w:spacing w:val="-9"/>
                <w:sz w:val="18"/>
              </w:rPr>
              <w:t xml:space="preserve"> </w:t>
            </w:r>
            <w:r>
              <w:rPr>
                <w:color w:val="323E4F" w:themeColor="text2" w:themeShade="BF"/>
                <w:sz w:val="18"/>
              </w:rPr>
              <w:t>and</w:t>
            </w:r>
            <w:r>
              <w:rPr>
                <w:color w:val="323E4F" w:themeColor="text2" w:themeShade="BF"/>
                <w:spacing w:val="-9"/>
                <w:sz w:val="18"/>
              </w:rPr>
              <w:t xml:space="preserve"> </w:t>
            </w:r>
            <w:r>
              <w:rPr>
                <w:color w:val="323E4F" w:themeColor="text2" w:themeShade="BF"/>
                <w:sz w:val="18"/>
              </w:rPr>
              <w:t>strengthen</w:t>
            </w:r>
            <w:r>
              <w:rPr>
                <w:color w:val="323E4F" w:themeColor="text2" w:themeShade="BF"/>
                <w:spacing w:val="-6"/>
                <w:sz w:val="18"/>
              </w:rPr>
              <w:t xml:space="preserve"> </w:t>
            </w:r>
            <w:r>
              <w:rPr>
                <w:color w:val="323E4F" w:themeColor="text2" w:themeShade="BF"/>
                <w:sz w:val="18"/>
              </w:rPr>
              <w:t>the</w:t>
            </w:r>
            <w:r>
              <w:rPr>
                <w:color w:val="323E4F" w:themeColor="text2" w:themeShade="BF"/>
                <w:spacing w:val="-9"/>
                <w:sz w:val="18"/>
              </w:rPr>
              <w:t xml:space="preserve"> </w:t>
            </w:r>
            <w:r>
              <w:rPr>
                <w:color w:val="323E4F" w:themeColor="text2" w:themeShade="BF"/>
                <w:sz w:val="18"/>
              </w:rPr>
              <w:t>capacity</w:t>
            </w:r>
            <w:r>
              <w:rPr>
                <w:color w:val="323E4F" w:themeColor="text2" w:themeShade="BF"/>
                <w:spacing w:val="-8"/>
                <w:sz w:val="18"/>
              </w:rPr>
              <w:t xml:space="preserve"> </w:t>
            </w:r>
            <w:r>
              <w:rPr>
                <w:color w:val="323E4F" w:themeColor="text2" w:themeShade="BF"/>
                <w:sz w:val="18"/>
              </w:rPr>
              <w:t>of</w:t>
            </w:r>
            <w:r>
              <w:rPr>
                <w:color w:val="323E4F" w:themeColor="text2" w:themeShade="BF"/>
                <w:spacing w:val="-11"/>
                <w:sz w:val="18"/>
              </w:rPr>
              <w:t xml:space="preserve"> </w:t>
            </w:r>
            <w:r>
              <w:rPr>
                <w:color w:val="323E4F" w:themeColor="text2" w:themeShade="BF"/>
                <w:sz w:val="18"/>
              </w:rPr>
              <w:t>municipalities</w:t>
            </w:r>
            <w:r>
              <w:rPr>
                <w:color w:val="323E4F" w:themeColor="text2" w:themeShade="BF"/>
                <w:spacing w:val="-6"/>
                <w:sz w:val="18"/>
              </w:rPr>
              <w:t xml:space="preserve"> </w:t>
            </w:r>
            <w:r>
              <w:rPr>
                <w:color w:val="323E4F" w:themeColor="text2" w:themeShade="BF"/>
                <w:sz w:val="18"/>
              </w:rPr>
              <w:t>to</w:t>
            </w:r>
            <w:r>
              <w:rPr>
                <w:color w:val="323E4F" w:themeColor="text2" w:themeShade="BF"/>
                <w:spacing w:val="-9"/>
                <w:sz w:val="18"/>
              </w:rPr>
              <w:t xml:space="preserve"> </w:t>
            </w:r>
            <w:r>
              <w:rPr>
                <w:color w:val="323E4F" w:themeColor="text2" w:themeShade="BF"/>
                <w:sz w:val="18"/>
              </w:rPr>
              <w:t>manage their own affairs, to exercise their powers and to perform their</w:t>
            </w:r>
            <w:r>
              <w:rPr>
                <w:color w:val="323E4F" w:themeColor="text2" w:themeShade="BF"/>
                <w:spacing w:val="-18"/>
                <w:sz w:val="18"/>
              </w:rPr>
              <w:t xml:space="preserve"> </w:t>
            </w:r>
            <w:r>
              <w:rPr>
                <w:color w:val="323E4F" w:themeColor="text2" w:themeShade="BF"/>
                <w:sz w:val="18"/>
              </w:rPr>
              <w:t>functions</w:t>
            </w:r>
          </w:p>
        </w:tc>
      </w:tr>
      <w:tr w:rsidR="000D5AB3" w14:paraId="1AC3855E" w14:textId="77777777" w:rsidTr="00917F04">
        <w:trPr>
          <w:trHeight w:val="4608"/>
          <w:tblCellSpacing w:w="9" w:type="dxa"/>
        </w:trPr>
        <w:tc>
          <w:tcPr>
            <w:tcW w:w="1214" w:type="pct"/>
            <w:gridSpan w:val="2"/>
            <w:shd w:val="clear" w:color="auto" w:fill="B1E7FF"/>
          </w:tcPr>
          <w:p w14:paraId="45380BF9" w14:textId="77777777" w:rsidR="000D5AB3" w:rsidRDefault="000D5AB3">
            <w:pPr>
              <w:pStyle w:val="TableParagraph"/>
              <w:jc w:val="both"/>
              <w:rPr>
                <w:b/>
                <w:color w:val="323E4F" w:themeColor="text2" w:themeShade="BF"/>
                <w:sz w:val="20"/>
              </w:rPr>
            </w:pPr>
          </w:p>
          <w:p w14:paraId="123037C3" w14:textId="77777777" w:rsidR="000D5AB3" w:rsidRDefault="000D5AB3">
            <w:pPr>
              <w:pStyle w:val="TableParagraph"/>
              <w:jc w:val="both"/>
              <w:rPr>
                <w:b/>
                <w:color w:val="323E4F" w:themeColor="text2" w:themeShade="BF"/>
                <w:sz w:val="20"/>
              </w:rPr>
            </w:pPr>
          </w:p>
          <w:p w14:paraId="5ED7E152" w14:textId="77777777" w:rsidR="000D5AB3" w:rsidRDefault="000D5AB3">
            <w:pPr>
              <w:pStyle w:val="TableParagraph"/>
              <w:jc w:val="both"/>
              <w:rPr>
                <w:b/>
                <w:color w:val="323E4F" w:themeColor="text2" w:themeShade="BF"/>
                <w:sz w:val="20"/>
              </w:rPr>
            </w:pPr>
          </w:p>
          <w:p w14:paraId="1AEBEA72" w14:textId="77777777" w:rsidR="000D5AB3" w:rsidRDefault="000D5AB3">
            <w:pPr>
              <w:pStyle w:val="TableParagraph"/>
              <w:jc w:val="both"/>
              <w:rPr>
                <w:b/>
                <w:color w:val="323E4F" w:themeColor="text2" w:themeShade="BF"/>
                <w:sz w:val="20"/>
              </w:rPr>
            </w:pPr>
          </w:p>
          <w:p w14:paraId="678DE137" w14:textId="77777777" w:rsidR="000D5AB3" w:rsidRDefault="000D5AB3">
            <w:pPr>
              <w:pStyle w:val="TableParagraph"/>
              <w:jc w:val="both"/>
              <w:rPr>
                <w:b/>
                <w:color w:val="323E4F" w:themeColor="text2" w:themeShade="BF"/>
                <w:sz w:val="20"/>
              </w:rPr>
            </w:pPr>
          </w:p>
          <w:p w14:paraId="4905F7F6" w14:textId="77777777" w:rsidR="000D5AB3" w:rsidRDefault="000D5AB3">
            <w:pPr>
              <w:pStyle w:val="TableParagraph"/>
              <w:jc w:val="both"/>
              <w:rPr>
                <w:b/>
                <w:color w:val="323E4F" w:themeColor="text2" w:themeShade="BF"/>
                <w:sz w:val="20"/>
              </w:rPr>
            </w:pPr>
          </w:p>
          <w:p w14:paraId="05067150" w14:textId="77777777" w:rsidR="000D5AB3" w:rsidRDefault="000D5AB3">
            <w:pPr>
              <w:pStyle w:val="TableParagraph"/>
              <w:jc w:val="both"/>
              <w:rPr>
                <w:b/>
                <w:color w:val="323E4F" w:themeColor="text2" w:themeShade="BF"/>
                <w:sz w:val="20"/>
              </w:rPr>
            </w:pPr>
          </w:p>
          <w:p w14:paraId="6335AE7A" w14:textId="77777777" w:rsidR="000D5AB3" w:rsidRDefault="000D5AB3">
            <w:pPr>
              <w:pStyle w:val="TableParagraph"/>
              <w:jc w:val="both"/>
              <w:rPr>
                <w:b/>
                <w:color w:val="323E4F" w:themeColor="text2" w:themeShade="BF"/>
                <w:sz w:val="20"/>
              </w:rPr>
            </w:pPr>
          </w:p>
          <w:p w14:paraId="1D7362CD" w14:textId="77777777" w:rsidR="000D5AB3" w:rsidRDefault="000D5AB3">
            <w:pPr>
              <w:pStyle w:val="TableParagraph"/>
              <w:jc w:val="both"/>
              <w:rPr>
                <w:b/>
                <w:color w:val="323E4F" w:themeColor="text2" w:themeShade="BF"/>
                <w:sz w:val="20"/>
              </w:rPr>
            </w:pPr>
          </w:p>
          <w:p w14:paraId="6EA21C33" w14:textId="77777777" w:rsidR="000D5AB3" w:rsidRDefault="000D5AB3">
            <w:pPr>
              <w:pStyle w:val="TableParagraph"/>
              <w:spacing w:before="1"/>
              <w:jc w:val="both"/>
              <w:rPr>
                <w:b/>
                <w:color w:val="323E4F" w:themeColor="text2" w:themeShade="BF"/>
                <w:sz w:val="28"/>
              </w:rPr>
            </w:pPr>
          </w:p>
          <w:p w14:paraId="5C20C68A" w14:textId="77777777" w:rsidR="000D5AB3" w:rsidRDefault="000D5AB3">
            <w:pPr>
              <w:pStyle w:val="TableParagraph"/>
              <w:spacing w:line="268" w:lineRule="auto"/>
              <w:ind w:right="158"/>
              <w:jc w:val="both"/>
              <w:rPr>
                <w:color w:val="323E4F" w:themeColor="text2" w:themeShade="BF"/>
                <w:sz w:val="18"/>
              </w:rPr>
            </w:pPr>
            <w:r>
              <w:rPr>
                <w:color w:val="323E4F" w:themeColor="text2" w:themeShade="BF"/>
                <w:sz w:val="18"/>
              </w:rPr>
              <w:t>National Environmental Management Act, 1998 (Act No. 107 of 1998) (as amended)</w:t>
            </w:r>
          </w:p>
        </w:tc>
        <w:tc>
          <w:tcPr>
            <w:tcW w:w="3764" w:type="pct"/>
            <w:shd w:val="clear" w:color="auto" w:fill="B1E7FF"/>
          </w:tcPr>
          <w:p w14:paraId="706D7944" w14:textId="77777777" w:rsidR="000D5AB3" w:rsidRDefault="000D5AB3">
            <w:pPr>
              <w:pStyle w:val="TableParagraph"/>
              <w:spacing w:before="55"/>
              <w:ind w:left="-1"/>
              <w:jc w:val="both"/>
              <w:rPr>
                <w:b/>
                <w:i/>
                <w:color w:val="323E4F" w:themeColor="text2" w:themeShade="BF"/>
                <w:sz w:val="18"/>
              </w:rPr>
            </w:pPr>
            <w:r>
              <w:rPr>
                <w:b/>
                <w:i/>
                <w:color w:val="323E4F" w:themeColor="text2" w:themeShade="BF"/>
                <w:sz w:val="18"/>
              </w:rPr>
              <w:t>Objectives:</w:t>
            </w:r>
          </w:p>
          <w:p w14:paraId="32D21D71" w14:textId="77777777" w:rsidR="000D5AB3" w:rsidRDefault="000D5AB3">
            <w:pPr>
              <w:pStyle w:val="TableParagraph"/>
              <w:spacing w:before="28" w:line="268" w:lineRule="auto"/>
              <w:ind w:left="-1" w:right="163"/>
              <w:jc w:val="both"/>
              <w:rPr>
                <w:color w:val="323E4F" w:themeColor="text2" w:themeShade="BF"/>
                <w:sz w:val="18"/>
              </w:rPr>
            </w:pPr>
            <w:r>
              <w:rPr>
                <w:color w:val="323E4F" w:themeColor="text2" w:themeShade="BF"/>
                <w:sz w:val="18"/>
              </w:rPr>
              <w:t>To provide for co-operative environmental governance by establishing principles for decision-making</w:t>
            </w:r>
            <w:r>
              <w:rPr>
                <w:color w:val="323E4F" w:themeColor="text2" w:themeShade="BF"/>
                <w:spacing w:val="-10"/>
                <w:sz w:val="18"/>
              </w:rPr>
              <w:t xml:space="preserve"> </w:t>
            </w:r>
            <w:r>
              <w:rPr>
                <w:color w:val="323E4F" w:themeColor="text2" w:themeShade="BF"/>
                <w:sz w:val="18"/>
              </w:rPr>
              <w:t>on</w:t>
            </w:r>
            <w:r>
              <w:rPr>
                <w:color w:val="323E4F" w:themeColor="text2" w:themeShade="BF"/>
                <w:spacing w:val="-10"/>
                <w:sz w:val="18"/>
              </w:rPr>
              <w:t xml:space="preserve"> </w:t>
            </w:r>
            <w:r>
              <w:rPr>
                <w:color w:val="323E4F" w:themeColor="text2" w:themeShade="BF"/>
                <w:sz w:val="18"/>
              </w:rPr>
              <w:t>matters</w:t>
            </w:r>
            <w:r>
              <w:rPr>
                <w:color w:val="323E4F" w:themeColor="text2" w:themeShade="BF"/>
                <w:spacing w:val="-8"/>
                <w:sz w:val="18"/>
              </w:rPr>
              <w:t xml:space="preserve"> </w:t>
            </w:r>
            <w:r>
              <w:rPr>
                <w:color w:val="323E4F" w:themeColor="text2" w:themeShade="BF"/>
                <w:sz w:val="18"/>
              </w:rPr>
              <w:t>affecting</w:t>
            </w:r>
            <w:r>
              <w:rPr>
                <w:color w:val="323E4F" w:themeColor="text2" w:themeShade="BF"/>
                <w:spacing w:val="-10"/>
                <w:sz w:val="18"/>
              </w:rPr>
              <w:t xml:space="preserve"> </w:t>
            </w:r>
            <w:r>
              <w:rPr>
                <w:color w:val="323E4F" w:themeColor="text2" w:themeShade="BF"/>
                <w:sz w:val="18"/>
              </w:rPr>
              <w:t>the</w:t>
            </w:r>
            <w:r>
              <w:rPr>
                <w:color w:val="323E4F" w:themeColor="text2" w:themeShade="BF"/>
                <w:spacing w:val="-9"/>
                <w:sz w:val="18"/>
              </w:rPr>
              <w:t xml:space="preserve"> </w:t>
            </w:r>
            <w:r>
              <w:rPr>
                <w:color w:val="323E4F" w:themeColor="text2" w:themeShade="BF"/>
                <w:sz w:val="18"/>
              </w:rPr>
              <w:t>environment,</w:t>
            </w:r>
            <w:r>
              <w:rPr>
                <w:color w:val="323E4F" w:themeColor="text2" w:themeShade="BF"/>
                <w:spacing w:val="-10"/>
                <w:sz w:val="18"/>
              </w:rPr>
              <w:t xml:space="preserve"> </w:t>
            </w:r>
            <w:r>
              <w:rPr>
                <w:color w:val="323E4F" w:themeColor="text2" w:themeShade="BF"/>
                <w:sz w:val="18"/>
              </w:rPr>
              <w:t>institutions</w:t>
            </w:r>
            <w:r>
              <w:rPr>
                <w:color w:val="323E4F" w:themeColor="text2" w:themeShade="BF"/>
                <w:spacing w:val="-8"/>
                <w:sz w:val="18"/>
              </w:rPr>
              <w:t xml:space="preserve"> </w:t>
            </w:r>
            <w:r>
              <w:rPr>
                <w:color w:val="323E4F" w:themeColor="text2" w:themeShade="BF"/>
                <w:sz w:val="18"/>
              </w:rPr>
              <w:t>that</w:t>
            </w:r>
            <w:r>
              <w:rPr>
                <w:color w:val="323E4F" w:themeColor="text2" w:themeShade="BF"/>
                <w:spacing w:val="-10"/>
                <w:sz w:val="18"/>
              </w:rPr>
              <w:t xml:space="preserve"> </w:t>
            </w:r>
            <w:r>
              <w:rPr>
                <w:color w:val="323E4F" w:themeColor="text2" w:themeShade="BF"/>
                <w:sz w:val="18"/>
              </w:rPr>
              <w:t>will</w:t>
            </w:r>
            <w:r>
              <w:rPr>
                <w:color w:val="323E4F" w:themeColor="text2" w:themeShade="BF"/>
                <w:spacing w:val="-9"/>
                <w:sz w:val="18"/>
              </w:rPr>
              <w:t xml:space="preserve"> </w:t>
            </w:r>
            <w:r>
              <w:rPr>
                <w:color w:val="323E4F" w:themeColor="text2" w:themeShade="BF"/>
                <w:sz w:val="18"/>
              </w:rPr>
              <w:t>promote</w:t>
            </w:r>
            <w:r>
              <w:rPr>
                <w:color w:val="323E4F" w:themeColor="text2" w:themeShade="BF"/>
                <w:spacing w:val="-2"/>
                <w:sz w:val="18"/>
              </w:rPr>
              <w:t xml:space="preserve"> </w:t>
            </w:r>
            <w:r>
              <w:rPr>
                <w:color w:val="323E4F" w:themeColor="text2" w:themeShade="BF"/>
                <w:sz w:val="18"/>
              </w:rPr>
              <w:t>co- operative governance and procedures for co-ordinating environmental functions exercised by organs of</w:t>
            </w:r>
            <w:r>
              <w:rPr>
                <w:color w:val="323E4F" w:themeColor="text2" w:themeShade="BF"/>
                <w:spacing w:val="-1"/>
                <w:sz w:val="18"/>
              </w:rPr>
              <w:t xml:space="preserve"> </w:t>
            </w:r>
            <w:r>
              <w:rPr>
                <w:color w:val="323E4F" w:themeColor="text2" w:themeShade="BF"/>
                <w:sz w:val="18"/>
              </w:rPr>
              <w:t>state.</w:t>
            </w:r>
          </w:p>
          <w:p w14:paraId="41C035B8" w14:textId="77777777" w:rsidR="000D5AB3" w:rsidRDefault="000D5AB3">
            <w:pPr>
              <w:pStyle w:val="TableParagraph"/>
              <w:spacing w:before="4"/>
              <w:jc w:val="both"/>
              <w:rPr>
                <w:b/>
                <w:color w:val="323E4F" w:themeColor="text2" w:themeShade="BF"/>
                <w:sz w:val="20"/>
              </w:rPr>
            </w:pPr>
          </w:p>
          <w:p w14:paraId="05D99A21" w14:textId="77777777" w:rsidR="000D5AB3" w:rsidRDefault="000D5AB3">
            <w:pPr>
              <w:pStyle w:val="TableParagraph"/>
              <w:ind w:left="-1"/>
              <w:jc w:val="both"/>
              <w:rPr>
                <w:b/>
                <w:i/>
                <w:color w:val="323E4F" w:themeColor="text2" w:themeShade="BF"/>
                <w:sz w:val="18"/>
              </w:rPr>
            </w:pPr>
            <w:r>
              <w:rPr>
                <w:b/>
                <w:i/>
                <w:color w:val="323E4F" w:themeColor="text2" w:themeShade="BF"/>
                <w:sz w:val="18"/>
              </w:rPr>
              <w:t>Relevant Notices and Regulations:</w:t>
            </w:r>
          </w:p>
          <w:p w14:paraId="07FAA601" w14:textId="77777777" w:rsidR="000D5AB3" w:rsidRDefault="000D5AB3">
            <w:pPr>
              <w:pStyle w:val="TableParagraph"/>
              <w:numPr>
                <w:ilvl w:val="0"/>
                <w:numId w:val="8"/>
              </w:numPr>
              <w:tabs>
                <w:tab w:val="left" w:pos="720"/>
              </w:tabs>
              <w:spacing w:before="26" w:line="268" w:lineRule="auto"/>
              <w:ind w:right="167"/>
              <w:jc w:val="both"/>
              <w:rPr>
                <w:color w:val="323E4F" w:themeColor="text2" w:themeShade="BF"/>
                <w:sz w:val="18"/>
              </w:rPr>
            </w:pPr>
            <w:r>
              <w:rPr>
                <w:color w:val="323E4F" w:themeColor="text2" w:themeShade="BF"/>
                <w:sz w:val="18"/>
              </w:rPr>
              <w:t>Environmental Impact Assessment Regulations, 2014 (Government Notice Regulations - GNR 326 in Government Gazette (GG) 40772 as amended on 04 April</w:t>
            </w:r>
            <w:r>
              <w:rPr>
                <w:color w:val="323E4F" w:themeColor="text2" w:themeShade="BF"/>
                <w:spacing w:val="-1"/>
                <w:sz w:val="18"/>
              </w:rPr>
              <w:t xml:space="preserve"> </w:t>
            </w:r>
            <w:r>
              <w:rPr>
                <w:color w:val="323E4F" w:themeColor="text2" w:themeShade="BF"/>
                <w:sz w:val="18"/>
              </w:rPr>
              <w:t>2017).</w:t>
            </w:r>
          </w:p>
          <w:p w14:paraId="35BF28D0" w14:textId="77777777" w:rsidR="000D5AB3" w:rsidRDefault="000D5AB3">
            <w:pPr>
              <w:pStyle w:val="TableParagraph"/>
              <w:numPr>
                <w:ilvl w:val="0"/>
                <w:numId w:val="8"/>
              </w:numPr>
              <w:tabs>
                <w:tab w:val="left" w:pos="720"/>
              </w:tabs>
              <w:spacing w:line="271" w:lineRule="auto"/>
              <w:ind w:right="176"/>
              <w:jc w:val="both"/>
              <w:rPr>
                <w:color w:val="323E4F" w:themeColor="text2" w:themeShade="BF"/>
                <w:sz w:val="18"/>
              </w:rPr>
            </w:pPr>
            <w:r>
              <w:rPr>
                <w:color w:val="323E4F" w:themeColor="text2" w:themeShade="BF"/>
                <w:sz w:val="18"/>
              </w:rPr>
              <w:t>Guideline on Need and Desirability in terms of the EIA Regulations (2010), GN 891 of</w:t>
            </w:r>
            <w:r>
              <w:rPr>
                <w:color w:val="323E4F" w:themeColor="text2" w:themeShade="BF"/>
                <w:spacing w:val="-3"/>
                <w:sz w:val="18"/>
              </w:rPr>
              <w:t xml:space="preserve"> </w:t>
            </w:r>
            <w:r>
              <w:rPr>
                <w:color w:val="323E4F" w:themeColor="text2" w:themeShade="BF"/>
                <w:sz w:val="18"/>
              </w:rPr>
              <w:t>2014.</w:t>
            </w:r>
          </w:p>
          <w:p w14:paraId="018D931A" w14:textId="77777777" w:rsidR="000D5AB3" w:rsidRDefault="000D5AB3">
            <w:pPr>
              <w:pStyle w:val="TableParagraph"/>
              <w:numPr>
                <w:ilvl w:val="0"/>
                <w:numId w:val="8"/>
              </w:numPr>
              <w:tabs>
                <w:tab w:val="left" w:pos="720"/>
              </w:tabs>
              <w:spacing w:line="203" w:lineRule="exact"/>
              <w:jc w:val="both"/>
              <w:rPr>
                <w:color w:val="323E4F" w:themeColor="text2" w:themeShade="BF"/>
                <w:sz w:val="18"/>
              </w:rPr>
            </w:pPr>
            <w:r>
              <w:rPr>
                <w:color w:val="323E4F" w:themeColor="text2" w:themeShade="BF"/>
                <w:sz w:val="18"/>
              </w:rPr>
              <w:t>Listing Notice 1 (GNR 327) as amended in</w:t>
            </w:r>
            <w:r>
              <w:rPr>
                <w:color w:val="323E4F" w:themeColor="text2" w:themeShade="BF"/>
                <w:spacing w:val="-12"/>
                <w:sz w:val="18"/>
              </w:rPr>
              <w:t xml:space="preserve"> </w:t>
            </w:r>
            <w:r>
              <w:rPr>
                <w:color w:val="323E4F" w:themeColor="text2" w:themeShade="BF"/>
                <w:sz w:val="18"/>
              </w:rPr>
              <w:t>2017.</w:t>
            </w:r>
          </w:p>
          <w:p w14:paraId="2F50F043" w14:textId="77777777" w:rsidR="000D5AB3" w:rsidRDefault="000D5AB3">
            <w:pPr>
              <w:pStyle w:val="TableParagraph"/>
              <w:numPr>
                <w:ilvl w:val="0"/>
                <w:numId w:val="8"/>
              </w:numPr>
              <w:tabs>
                <w:tab w:val="left" w:pos="720"/>
              </w:tabs>
              <w:spacing w:before="25"/>
              <w:jc w:val="both"/>
              <w:rPr>
                <w:color w:val="323E4F" w:themeColor="text2" w:themeShade="BF"/>
                <w:sz w:val="18"/>
              </w:rPr>
            </w:pPr>
            <w:r>
              <w:rPr>
                <w:color w:val="323E4F" w:themeColor="text2" w:themeShade="BF"/>
                <w:sz w:val="18"/>
              </w:rPr>
              <w:t>Listing Notice 2 (GNR 325) as amended in</w:t>
            </w:r>
            <w:r>
              <w:rPr>
                <w:color w:val="323E4F" w:themeColor="text2" w:themeShade="BF"/>
                <w:spacing w:val="-12"/>
                <w:sz w:val="18"/>
              </w:rPr>
              <w:t xml:space="preserve"> </w:t>
            </w:r>
            <w:r>
              <w:rPr>
                <w:color w:val="323E4F" w:themeColor="text2" w:themeShade="BF"/>
                <w:sz w:val="18"/>
              </w:rPr>
              <w:t>2017.</w:t>
            </w:r>
          </w:p>
          <w:p w14:paraId="4F1E0D70" w14:textId="77777777" w:rsidR="000D5AB3" w:rsidRDefault="000D5AB3">
            <w:pPr>
              <w:pStyle w:val="TableParagraph"/>
              <w:numPr>
                <w:ilvl w:val="0"/>
                <w:numId w:val="8"/>
              </w:numPr>
              <w:tabs>
                <w:tab w:val="left" w:pos="720"/>
              </w:tabs>
              <w:spacing w:before="28"/>
              <w:jc w:val="both"/>
              <w:rPr>
                <w:color w:val="323E4F" w:themeColor="text2" w:themeShade="BF"/>
                <w:sz w:val="18"/>
              </w:rPr>
            </w:pPr>
            <w:r>
              <w:rPr>
                <w:color w:val="323E4F" w:themeColor="text2" w:themeShade="BF"/>
                <w:sz w:val="18"/>
              </w:rPr>
              <w:t>Listing Notice 3 (GNR 324) as amended in</w:t>
            </w:r>
            <w:r>
              <w:rPr>
                <w:color w:val="323E4F" w:themeColor="text2" w:themeShade="BF"/>
                <w:spacing w:val="-12"/>
                <w:sz w:val="18"/>
              </w:rPr>
              <w:t xml:space="preserve"> </w:t>
            </w:r>
            <w:r>
              <w:rPr>
                <w:color w:val="323E4F" w:themeColor="text2" w:themeShade="BF"/>
                <w:sz w:val="18"/>
              </w:rPr>
              <w:t>2017.</w:t>
            </w:r>
          </w:p>
          <w:p w14:paraId="4EF65186" w14:textId="77777777" w:rsidR="000D5AB3" w:rsidRDefault="000D5AB3">
            <w:pPr>
              <w:pStyle w:val="TableParagraph"/>
              <w:numPr>
                <w:ilvl w:val="0"/>
                <w:numId w:val="8"/>
              </w:numPr>
              <w:tabs>
                <w:tab w:val="left" w:pos="720"/>
              </w:tabs>
              <w:spacing w:before="26"/>
              <w:jc w:val="both"/>
              <w:rPr>
                <w:color w:val="323E4F" w:themeColor="text2" w:themeShade="BF"/>
                <w:sz w:val="18"/>
              </w:rPr>
            </w:pPr>
            <w:r>
              <w:rPr>
                <w:color w:val="323E4F" w:themeColor="text2" w:themeShade="BF"/>
                <w:sz w:val="18"/>
              </w:rPr>
              <w:t>Public Participation Guideline in terms of NEMA EIA Regulations</w:t>
            </w:r>
            <w:r>
              <w:rPr>
                <w:color w:val="323E4F" w:themeColor="text2" w:themeShade="BF"/>
                <w:spacing w:val="-13"/>
                <w:sz w:val="18"/>
              </w:rPr>
              <w:t xml:space="preserve"> </w:t>
            </w:r>
            <w:r>
              <w:rPr>
                <w:color w:val="323E4F" w:themeColor="text2" w:themeShade="BF"/>
                <w:sz w:val="18"/>
              </w:rPr>
              <w:t>(2017).</w:t>
            </w:r>
          </w:p>
          <w:p w14:paraId="5AA25CF1" w14:textId="77777777" w:rsidR="000D5AB3" w:rsidRDefault="000D5AB3">
            <w:pPr>
              <w:pStyle w:val="TableParagraph"/>
              <w:numPr>
                <w:ilvl w:val="0"/>
                <w:numId w:val="8"/>
              </w:numPr>
              <w:tabs>
                <w:tab w:val="left" w:pos="720"/>
              </w:tabs>
              <w:spacing w:before="26" w:line="268" w:lineRule="auto"/>
              <w:ind w:right="170"/>
              <w:jc w:val="both"/>
              <w:rPr>
                <w:color w:val="323E4F" w:themeColor="text2" w:themeShade="BF"/>
                <w:sz w:val="18"/>
              </w:rPr>
            </w:pPr>
            <w:r>
              <w:rPr>
                <w:color w:val="323E4F" w:themeColor="text2" w:themeShade="BF"/>
                <w:sz w:val="18"/>
              </w:rPr>
              <w:t>Procedures for the Assessment and Minimum Criteria for Reporting on Identified</w:t>
            </w:r>
            <w:r>
              <w:rPr>
                <w:color w:val="323E4F" w:themeColor="text2" w:themeShade="BF"/>
                <w:spacing w:val="-10"/>
                <w:sz w:val="18"/>
              </w:rPr>
              <w:t xml:space="preserve"> </w:t>
            </w:r>
            <w:r>
              <w:rPr>
                <w:color w:val="323E4F" w:themeColor="text2" w:themeShade="BF"/>
                <w:sz w:val="18"/>
              </w:rPr>
              <w:t>Environmental</w:t>
            </w:r>
            <w:r>
              <w:rPr>
                <w:color w:val="323E4F" w:themeColor="text2" w:themeShade="BF"/>
                <w:spacing w:val="-9"/>
                <w:sz w:val="18"/>
              </w:rPr>
              <w:t xml:space="preserve"> </w:t>
            </w:r>
            <w:r>
              <w:rPr>
                <w:color w:val="323E4F" w:themeColor="text2" w:themeShade="BF"/>
                <w:sz w:val="18"/>
              </w:rPr>
              <w:t>Themes</w:t>
            </w:r>
            <w:r>
              <w:rPr>
                <w:color w:val="323E4F" w:themeColor="text2" w:themeShade="BF"/>
                <w:spacing w:val="-8"/>
                <w:sz w:val="18"/>
              </w:rPr>
              <w:t xml:space="preserve"> </w:t>
            </w:r>
            <w:r>
              <w:rPr>
                <w:color w:val="323E4F" w:themeColor="text2" w:themeShade="BF"/>
                <w:sz w:val="18"/>
              </w:rPr>
              <w:t>in</w:t>
            </w:r>
            <w:r>
              <w:rPr>
                <w:color w:val="323E4F" w:themeColor="text2" w:themeShade="BF"/>
                <w:spacing w:val="-9"/>
                <w:sz w:val="18"/>
              </w:rPr>
              <w:t xml:space="preserve"> </w:t>
            </w:r>
            <w:r>
              <w:rPr>
                <w:color w:val="323E4F" w:themeColor="text2" w:themeShade="BF"/>
                <w:sz w:val="18"/>
              </w:rPr>
              <w:t>terms</w:t>
            </w:r>
            <w:r>
              <w:rPr>
                <w:color w:val="323E4F" w:themeColor="text2" w:themeShade="BF"/>
                <w:spacing w:val="-8"/>
                <w:sz w:val="18"/>
              </w:rPr>
              <w:t xml:space="preserve"> </w:t>
            </w:r>
            <w:r>
              <w:rPr>
                <w:color w:val="323E4F" w:themeColor="text2" w:themeShade="BF"/>
                <w:sz w:val="18"/>
              </w:rPr>
              <w:t>of</w:t>
            </w:r>
            <w:r>
              <w:rPr>
                <w:color w:val="323E4F" w:themeColor="text2" w:themeShade="BF"/>
                <w:spacing w:val="-9"/>
                <w:sz w:val="18"/>
              </w:rPr>
              <w:t xml:space="preserve"> </w:t>
            </w:r>
            <w:r>
              <w:rPr>
                <w:color w:val="323E4F" w:themeColor="text2" w:themeShade="BF"/>
                <w:sz w:val="18"/>
              </w:rPr>
              <w:t>Sections</w:t>
            </w:r>
            <w:r>
              <w:rPr>
                <w:color w:val="323E4F" w:themeColor="text2" w:themeShade="BF"/>
                <w:spacing w:val="-9"/>
                <w:sz w:val="18"/>
              </w:rPr>
              <w:t xml:space="preserve"> </w:t>
            </w:r>
            <w:r>
              <w:rPr>
                <w:color w:val="323E4F" w:themeColor="text2" w:themeShade="BF"/>
                <w:sz w:val="18"/>
              </w:rPr>
              <w:t>24(5)(a)</w:t>
            </w:r>
            <w:r>
              <w:rPr>
                <w:color w:val="323E4F" w:themeColor="text2" w:themeShade="BF"/>
                <w:spacing w:val="-9"/>
                <w:sz w:val="18"/>
              </w:rPr>
              <w:t xml:space="preserve"> </w:t>
            </w:r>
            <w:r>
              <w:rPr>
                <w:color w:val="323E4F" w:themeColor="text2" w:themeShade="BF"/>
                <w:sz w:val="18"/>
              </w:rPr>
              <w:t>and</w:t>
            </w:r>
            <w:r>
              <w:rPr>
                <w:color w:val="323E4F" w:themeColor="text2" w:themeShade="BF"/>
                <w:spacing w:val="-9"/>
                <w:sz w:val="18"/>
              </w:rPr>
              <w:t xml:space="preserve"> </w:t>
            </w:r>
            <w:r>
              <w:rPr>
                <w:color w:val="323E4F" w:themeColor="text2" w:themeShade="BF"/>
                <w:sz w:val="18"/>
              </w:rPr>
              <w:t>(h)</w:t>
            </w:r>
            <w:r>
              <w:rPr>
                <w:color w:val="323E4F" w:themeColor="text2" w:themeShade="BF"/>
                <w:spacing w:val="-9"/>
                <w:sz w:val="18"/>
              </w:rPr>
              <w:t xml:space="preserve"> </w:t>
            </w:r>
            <w:r>
              <w:rPr>
                <w:color w:val="323E4F" w:themeColor="text2" w:themeShade="BF"/>
                <w:sz w:val="18"/>
              </w:rPr>
              <w:t>and</w:t>
            </w:r>
            <w:r>
              <w:rPr>
                <w:color w:val="323E4F" w:themeColor="text2" w:themeShade="BF"/>
                <w:spacing w:val="-9"/>
                <w:sz w:val="18"/>
              </w:rPr>
              <w:t xml:space="preserve"> </w:t>
            </w:r>
            <w:r>
              <w:rPr>
                <w:color w:val="323E4F" w:themeColor="text2" w:themeShade="BF"/>
                <w:sz w:val="18"/>
              </w:rPr>
              <w:t>44 of the National Environmental Management Act, 1998, when applying for Environmental Authorisation in GG 43110, 20 March</w:t>
            </w:r>
            <w:r>
              <w:rPr>
                <w:color w:val="323E4F" w:themeColor="text2" w:themeShade="BF"/>
                <w:spacing w:val="-11"/>
                <w:sz w:val="18"/>
              </w:rPr>
              <w:t xml:space="preserve"> </w:t>
            </w:r>
            <w:r>
              <w:rPr>
                <w:color w:val="323E4F" w:themeColor="text2" w:themeShade="BF"/>
                <w:sz w:val="18"/>
              </w:rPr>
              <w:t>2020).</w:t>
            </w:r>
          </w:p>
          <w:p w14:paraId="21D46C89" w14:textId="77777777" w:rsidR="000D5AB3" w:rsidRDefault="000D5AB3">
            <w:pPr>
              <w:pStyle w:val="TableParagraph"/>
              <w:spacing w:before="3"/>
              <w:jc w:val="both"/>
              <w:rPr>
                <w:b/>
                <w:color w:val="323E4F" w:themeColor="text2" w:themeShade="BF"/>
                <w:sz w:val="20"/>
              </w:rPr>
            </w:pPr>
          </w:p>
          <w:p w14:paraId="6D547538" w14:textId="77777777" w:rsidR="000D5AB3" w:rsidRDefault="000D5AB3">
            <w:pPr>
              <w:pStyle w:val="TableParagraph"/>
              <w:ind w:left="-1"/>
              <w:jc w:val="both"/>
              <w:rPr>
                <w:color w:val="323E4F" w:themeColor="text2" w:themeShade="BF"/>
                <w:sz w:val="18"/>
              </w:rPr>
            </w:pPr>
            <w:r>
              <w:rPr>
                <w:color w:val="323E4F" w:themeColor="text2" w:themeShade="BF"/>
                <w:sz w:val="18"/>
              </w:rPr>
              <w:t>Relevance to the proposed</w:t>
            </w:r>
            <w:r>
              <w:rPr>
                <w:color w:val="323E4F" w:themeColor="text2" w:themeShade="BF"/>
                <w:spacing w:val="-16"/>
                <w:sz w:val="18"/>
              </w:rPr>
              <w:t xml:space="preserve"> </w:t>
            </w:r>
            <w:r>
              <w:rPr>
                <w:color w:val="323E4F" w:themeColor="text2" w:themeShade="BF"/>
                <w:sz w:val="18"/>
              </w:rPr>
              <w:t>project:</w:t>
            </w:r>
          </w:p>
          <w:p w14:paraId="5C21E10D" w14:textId="77777777" w:rsidR="000D5AB3" w:rsidRDefault="000D5AB3">
            <w:pPr>
              <w:pStyle w:val="TableParagraph"/>
              <w:numPr>
                <w:ilvl w:val="0"/>
                <w:numId w:val="8"/>
              </w:numPr>
              <w:tabs>
                <w:tab w:val="left" w:pos="720"/>
              </w:tabs>
              <w:spacing w:before="28" w:line="266" w:lineRule="auto"/>
              <w:ind w:right="175"/>
              <w:jc w:val="both"/>
              <w:rPr>
                <w:color w:val="323E4F" w:themeColor="text2" w:themeShade="BF"/>
                <w:sz w:val="18"/>
              </w:rPr>
            </w:pPr>
            <w:r>
              <w:rPr>
                <w:color w:val="323E4F" w:themeColor="text2" w:themeShade="BF"/>
                <w:sz w:val="18"/>
              </w:rPr>
              <w:t xml:space="preserve">Development must be socially, </w:t>
            </w:r>
            <w:proofErr w:type="gramStart"/>
            <w:r>
              <w:rPr>
                <w:color w:val="323E4F" w:themeColor="text2" w:themeShade="BF"/>
                <w:sz w:val="18"/>
              </w:rPr>
              <w:t>environmentally</w:t>
            </w:r>
            <w:proofErr w:type="gramEnd"/>
            <w:r>
              <w:rPr>
                <w:color w:val="323E4F" w:themeColor="text2" w:themeShade="BF"/>
                <w:sz w:val="18"/>
              </w:rPr>
              <w:t xml:space="preserve"> and economically sustainable.</w:t>
            </w:r>
          </w:p>
        </w:tc>
      </w:tr>
      <w:tr w:rsidR="000D5AB3" w14:paraId="50001299" w14:textId="77777777" w:rsidTr="00917F04">
        <w:tblPrEx>
          <w:tblCellSpacing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trHeight w:val="1965"/>
        </w:trPr>
        <w:tc>
          <w:tcPr>
            <w:tcW w:w="1203" w:type="pct"/>
            <w:tcBorders>
              <w:top w:val="single" w:sz="8" w:space="0" w:color="FFFFFF"/>
              <w:left w:val="nil"/>
              <w:bottom w:val="single" w:sz="8" w:space="0" w:color="FFFFFF"/>
              <w:right w:val="single" w:sz="8" w:space="0" w:color="FFFFFF"/>
            </w:tcBorders>
            <w:shd w:val="clear" w:color="auto" w:fill="B1E7FF"/>
          </w:tcPr>
          <w:p w14:paraId="0875E010" w14:textId="77777777" w:rsidR="000D5AB3" w:rsidRDefault="000D5AB3" w:rsidP="00F41561">
            <w:pPr>
              <w:pStyle w:val="TableParagraph"/>
              <w:rPr>
                <w:rFonts w:ascii="Times New Roman"/>
                <w:color w:val="323E4F" w:themeColor="text2" w:themeShade="BF"/>
                <w:sz w:val="16"/>
              </w:rPr>
            </w:pPr>
          </w:p>
        </w:tc>
        <w:tc>
          <w:tcPr>
            <w:tcW w:w="3775" w:type="pct"/>
            <w:gridSpan w:val="2"/>
            <w:tcBorders>
              <w:top w:val="single" w:sz="8" w:space="0" w:color="FFFFFF"/>
              <w:left w:val="single" w:sz="8" w:space="0" w:color="FFFFFF"/>
              <w:bottom w:val="single" w:sz="8" w:space="0" w:color="FFFFFF"/>
              <w:right w:val="nil"/>
            </w:tcBorders>
            <w:shd w:val="clear" w:color="auto" w:fill="B1E7FF"/>
            <w:hideMark/>
          </w:tcPr>
          <w:p w14:paraId="2D217099" w14:textId="77777777" w:rsidR="000D5AB3" w:rsidRDefault="000D5AB3">
            <w:pPr>
              <w:pStyle w:val="TableParagraph"/>
              <w:numPr>
                <w:ilvl w:val="0"/>
                <w:numId w:val="10"/>
              </w:numPr>
              <w:tabs>
                <w:tab w:val="left" w:pos="720"/>
              </w:tabs>
              <w:spacing w:before="37" w:line="268" w:lineRule="auto"/>
              <w:ind w:right="167"/>
              <w:jc w:val="both"/>
              <w:rPr>
                <w:color w:val="323E4F" w:themeColor="text2" w:themeShade="BF"/>
                <w:sz w:val="18"/>
              </w:rPr>
            </w:pPr>
            <w:r>
              <w:rPr>
                <w:color w:val="323E4F" w:themeColor="text2" w:themeShade="BF"/>
                <w:sz w:val="18"/>
              </w:rPr>
              <w:t>Environmental management must be integrated, acknowledging that all elements</w:t>
            </w:r>
            <w:r>
              <w:rPr>
                <w:color w:val="323E4F" w:themeColor="text2" w:themeShade="BF"/>
                <w:spacing w:val="-4"/>
                <w:sz w:val="18"/>
              </w:rPr>
              <w:t xml:space="preserve"> </w:t>
            </w:r>
            <w:r>
              <w:rPr>
                <w:color w:val="323E4F" w:themeColor="text2" w:themeShade="BF"/>
                <w:sz w:val="18"/>
              </w:rPr>
              <w:t>of</w:t>
            </w:r>
            <w:r>
              <w:rPr>
                <w:color w:val="323E4F" w:themeColor="text2" w:themeShade="BF"/>
                <w:spacing w:val="-5"/>
                <w:sz w:val="18"/>
              </w:rPr>
              <w:t xml:space="preserve"> </w:t>
            </w:r>
            <w:r>
              <w:rPr>
                <w:color w:val="323E4F" w:themeColor="text2" w:themeShade="BF"/>
                <w:sz w:val="18"/>
              </w:rPr>
              <w:t>the</w:t>
            </w:r>
            <w:r>
              <w:rPr>
                <w:color w:val="323E4F" w:themeColor="text2" w:themeShade="BF"/>
                <w:spacing w:val="-5"/>
                <w:sz w:val="18"/>
              </w:rPr>
              <w:t xml:space="preserve"> </w:t>
            </w:r>
            <w:r>
              <w:rPr>
                <w:color w:val="323E4F" w:themeColor="text2" w:themeShade="BF"/>
                <w:sz w:val="18"/>
              </w:rPr>
              <w:t>environment</w:t>
            </w:r>
            <w:r>
              <w:rPr>
                <w:color w:val="323E4F" w:themeColor="text2" w:themeShade="BF"/>
                <w:spacing w:val="-6"/>
                <w:sz w:val="18"/>
              </w:rPr>
              <w:t xml:space="preserve"> </w:t>
            </w:r>
            <w:r>
              <w:rPr>
                <w:color w:val="323E4F" w:themeColor="text2" w:themeShade="BF"/>
                <w:sz w:val="18"/>
              </w:rPr>
              <w:t>are</w:t>
            </w:r>
            <w:r>
              <w:rPr>
                <w:color w:val="323E4F" w:themeColor="text2" w:themeShade="BF"/>
                <w:spacing w:val="-5"/>
                <w:sz w:val="18"/>
              </w:rPr>
              <w:t xml:space="preserve"> </w:t>
            </w:r>
            <w:r>
              <w:rPr>
                <w:color w:val="323E4F" w:themeColor="text2" w:themeShade="BF"/>
                <w:sz w:val="18"/>
              </w:rPr>
              <w:t>linked</w:t>
            </w:r>
            <w:r>
              <w:rPr>
                <w:color w:val="323E4F" w:themeColor="text2" w:themeShade="BF"/>
                <w:spacing w:val="-4"/>
                <w:sz w:val="18"/>
              </w:rPr>
              <w:t xml:space="preserve"> </w:t>
            </w:r>
            <w:r>
              <w:rPr>
                <w:color w:val="323E4F" w:themeColor="text2" w:themeShade="BF"/>
                <w:sz w:val="18"/>
              </w:rPr>
              <w:t>and</w:t>
            </w:r>
            <w:r>
              <w:rPr>
                <w:color w:val="323E4F" w:themeColor="text2" w:themeShade="BF"/>
                <w:spacing w:val="-7"/>
                <w:sz w:val="18"/>
              </w:rPr>
              <w:t xml:space="preserve"> </w:t>
            </w:r>
            <w:r>
              <w:rPr>
                <w:color w:val="323E4F" w:themeColor="text2" w:themeShade="BF"/>
                <w:sz w:val="18"/>
              </w:rPr>
              <w:t>interrelated;</w:t>
            </w:r>
            <w:r>
              <w:rPr>
                <w:color w:val="323E4F" w:themeColor="text2" w:themeShade="BF"/>
                <w:spacing w:val="-7"/>
                <w:sz w:val="18"/>
              </w:rPr>
              <w:t xml:space="preserve"> </w:t>
            </w:r>
            <w:r>
              <w:rPr>
                <w:color w:val="323E4F" w:themeColor="text2" w:themeShade="BF"/>
                <w:sz w:val="18"/>
              </w:rPr>
              <w:t>the</w:t>
            </w:r>
            <w:r>
              <w:rPr>
                <w:color w:val="323E4F" w:themeColor="text2" w:themeShade="BF"/>
                <w:spacing w:val="-6"/>
                <w:sz w:val="18"/>
              </w:rPr>
              <w:t xml:space="preserve"> </w:t>
            </w:r>
            <w:r>
              <w:rPr>
                <w:color w:val="323E4F" w:themeColor="text2" w:themeShade="BF"/>
                <w:sz w:val="18"/>
              </w:rPr>
              <w:t>social,</w:t>
            </w:r>
            <w:r>
              <w:rPr>
                <w:color w:val="323E4F" w:themeColor="text2" w:themeShade="BF"/>
                <w:spacing w:val="-7"/>
                <w:sz w:val="18"/>
              </w:rPr>
              <w:t xml:space="preserve"> </w:t>
            </w:r>
            <w:proofErr w:type="gramStart"/>
            <w:r>
              <w:rPr>
                <w:color w:val="323E4F" w:themeColor="text2" w:themeShade="BF"/>
                <w:sz w:val="18"/>
              </w:rPr>
              <w:t>economic</w:t>
            </w:r>
            <w:proofErr w:type="gramEnd"/>
            <w:r>
              <w:rPr>
                <w:color w:val="323E4F" w:themeColor="text2" w:themeShade="BF"/>
                <w:sz w:val="18"/>
              </w:rPr>
              <w:t xml:space="preserve"> and</w:t>
            </w:r>
            <w:r>
              <w:rPr>
                <w:color w:val="323E4F" w:themeColor="text2" w:themeShade="BF"/>
                <w:spacing w:val="-8"/>
                <w:sz w:val="18"/>
              </w:rPr>
              <w:t xml:space="preserve"> </w:t>
            </w:r>
            <w:r>
              <w:rPr>
                <w:color w:val="323E4F" w:themeColor="text2" w:themeShade="BF"/>
                <w:sz w:val="18"/>
              </w:rPr>
              <w:t>environmental</w:t>
            </w:r>
            <w:r>
              <w:rPr>
                <w:color w:val="323E4F" w:themeColor="text2" w:themeShade="BF"/>
                <w:spacing w:val="-10"/>
                <w:sz w:val="18"/>
              </w:rPr>
              <w:t xml:space="preserve"> </w:t>
            </w:r>
            <w:r>
              <w:rPr>
                <w:color w:val="323E4F" w:themeColor="text2" w:themeShade="BF"/>
                <w:sz w:val="18"/>
              </w:rPr>
              <w:t>impacts</w:t>
            </w:r>
            <w:r>
              <w:rPr>
                <w:color w:val="323E4F" w:themeColor="text2" w:themeShade="BF"/>
                <w:spacing w:val="-7"/>
                <w:sz w:val="18"/>
              </w:rPr>
              <w:t xml:space="preserve"> </w:t>
            </w:r>
            <w:r>
              <w:rPr>
                <w:color w:val="323E4F" w:themeColor="text2" w:themeShade="BF"/>
                <w:sz w:val="18"/>
              </w:rPr>
              <w:t>of</w:t>
            </w:r>
            <w:r>
              <w:rPr>
                <w:color w:val="323E4F" w:themeColor="text2" w:themeShade="BF"/>
                <w:spacing w:val="-10"/>
                <w:sz w:val="18"/>
              </w:rPr>
              <w:t xml:space="preserve"> </w:t>
            </w:r>
            <w:r>
              <w:rPr>
                <w:color w:val="323E4F" w:themeColor="text2" w:themeShade="BF"/>
                <w:sz w:val="18"/>
              </w:rPr>
              <w:t>activities</w:t>
            </w:r>
            <w:r>
              <w:rPr>
                <w:color w:val="323E4F" w:themeColor="text2" w:themeShade="BF"/>
                <w:spacing w:val="-9"/>
                <w:sz w:val="18"/>
              </w:rPr>
              <w:t xml:space="preserve"> </w:t>
            </w:r>
            <w:r>
              <w:rPr>
                <w:color w:val="323E4F" w:themeColor="text2" w:themeShade="BF"/>
                <w:sz w:val="18"/>
              </w:rPr>
              <w:t>including</w:t>
            </w:r>
            <w:r>
              <w:rPr>
                <w:color w:val="323E4F" w:themeColor="text2" w:themeShade="BF"/>
                <w:spacing w:val="-7"/>
                <w:sz w:val="18"/>
              </w:rPr>
              <w:t xml:space="preserve"> </w:t>
            </w:r>
            <w:r>
              <w:rPr>
                <w:color w:val="323E4F" w:themeColor="text2" w:themeShade="BF"/>
                <w:sz w:val="18"/>
              </w:rPr>
              <w:t>disadvantages</w:t>
            </w:r>
            <w:r>
              <w:rPr>
                <w:color w:val="323E4F" w:themeColor="text2" w:themeShade="BF"/>
                <w:spacing w:val="-9"/>
                <w:sz w:val="18"/>
              </w:rPr>
              <w:t xml:space="preserve"> </w:t>
            </w:r>
            <w:r>
              <w:rPr>
                <w:color w:val="323E4F" w:themeColor="text2" w:themeShade="BF"/>
                <w:sz w:val="18"/>
              </w:rPr>
              <w:t>and</w:t>
            </w:r>
            <w:r>
              <w:rPr>
                <w:color w:val="323E4F" w:themeColor="text2" w:themeShade="BF"/>
                <w:spacing w:val="-10"/>
                <w:sz w:val="18"/>
              </w:rPr>
              <w:t xml:space="preserve"> </w:t>
            </w:r>
            <w:r>
              <w:rPr>
                <w:color w:val="323E4F" w:themeColor="text2" w:themeShade="BF"/>
                <w:sz w:val="18"/>
              </w:rPr>
              <w:t>benefits, must be considered, assessed and evaluated and decisions must be appropriate in the light of such</w:t>
            </w:r>
            <w:r>
              <w:rPr>
                <w:color w:val="323E4F" w:themeColor="text2" w:themeShade="BF"/>
                <w:spacing w:val="-10"/>
                <w:sz w:val="18"/>
              </w:rPr>
              <w:t xml:space="preserve"> </w:t>
            </w:r>
            <w:r>
              <w:rPr>
                <w:color w:val="323E4F" w:themeColor="text2" w:themeShade="BF"/>
                <w:sz w:val="18"/>
              </w:rPr>
              <w:t>consideration.</w:t>
            </w:r>
          </w:p>
          <w:p w14:paraId="76E96C8E" w14:textId="77777777" w:rsidR="000D5AB3" w:rsidRDefault="000D5AB3">
            <w:pPr>
              <w:pStyle w:val="TableParagraph"/>
              <w:numPr>
                <w:ilvl w:val="0"/>
                <w:numId w:val="10"/>
              </w:numPr>
              <w:tabs>
                <w:tab w:val="left" w:pos="720"/>
              </w:tabs>
              <w:spacing w:line="206" w:lineRule="exact"/>
              <w:jc w:val="both"/>
              <w:rPr>
                <w:color w:val="323E4F" w:themeColor="text2" w:themeShade="BF"/>
                <w:sz w:val="18"/>
              </w:rPr>
            </w:pPr>
            <w:r>
              <w:rPr>
                <w:color w:val="323E4F" w:themeColor="text2" w:themeShade="BF"/>
                <w:sz w:val="18"/>
              </w:rPr>
              <w:t>‘Polluter Pays’</w:t>
            </w:r>
            <w:r>
              <w:rPr>
                <w:color w:val="323E4F" w:themeColor="text2" w:themeShade="BF"/>
                <w:spacing w:val="-1"/>
                <w:sz w:val="18"/>
              </w:rPr>
              <w:t xml:space="preserve"> </w:t>
            </w:r>
            <w:r>
              <w:rPr>
                <w:color w:val="323E4F" w:themeColor="text2" w:themeShade="BF"/>
                <w:sz w:val="18"/>
              </w:rPr>
              <w:t>principle.</w:t>
            </w:r>
          </w:p>
          <w:p w14:paraId="73F66EA8" w14:textId="77777777" w:rsidR="000D5AB3" w:rsidRDefault="000D5AB3">
            <w:pPr>
              <w:pStyle w:val="TableParagraph"/>
              <w:numPr>
                <w:ilvl w:val="0"/>
                <w:numId w:val="10"/>
              </w:numPr>
              <w:tabs>
                <w:tab w:val="left" w:pos="720"/>
              </w:tabs>
              <w:spacing w:before="26" w:line="266" w:lineRule="auto"/>
              <w:ind w:right="172"/>
              <w:jc w:val="both"/>
              <w:rPr>
                <w:color w:val="323E4F" w:themeColor="text2" w:themeShade="BF"/>
                <w:sz w:val="18"/>
              </w:rPr>
            </w:pPr>
            <w:r>
              <w:rPr>
                <w:color w:val="323E4F" w:themeColor="text2" w:themeShade="BF"/>
                <w:sz w:val="18"/>
              </w:rPr>
              <w:t>Any</w:t>
            </w:r>
            <w:r>
              <w:rPr>
                <w:color w:val="323E4F" w:themeColor="text2" w:themeShade="BF"/>
                <w:spacing w:val="-8"/>
                <w:sz w:val="18"/>
              </w:rPr>
              <w:t xml:space="preserve"> </w:t>
            </w:r>
            <w:r>
              <w:rPr>
                <w:color w:val="323E4F" w:themeColor="text2" w:themeShade="BF"/>
                <w:sz w:val="18"/>
              </w:rPr>
              <w:t>activity</w:t>
            </w:r>
            <w:r>
              <w:rPr>
                <w:color w:val="323E4F" w:themeColor="text2" w:themeShade="BF"/>
                <w:spacing w:val="-8"/>
                <w:sz w:val="18"/>
              </w:rPr>
              <w:t xml:space="preserve"> </w:t>
            </w:r>
            <w:r>
              <w:rPr>
                <w:color w:val="323E4F" w:themeColor="text2" w:themeShade="BF"/>
                <w:sz w:val="18"/>
              </w:rPr>
              <w:t>that</w:t>
            </w:r>
            <w:r>
              <w:rPr>
                <w:color w:val="323E4F" w:themeColor="text2" w:themeShade="BF"/>
                <w:spacing w:val="-11"/>
                <w:sz w:val="18"/>
              </w:rPr>
              <w:t xml:space="preserve"> </w:t>
            </w:r>
            <w:r>
              <w:rPr>
                <w:color w:val="323E4F" w:themeColor="text2" w:themeShade="BF"/>
                <w:sz w:val="18"/>
              </w:rPr>
              <w:t>is</w:t>
            </w:r>
            <w:r>
              <w:rPr>
                <w:color w:val="323E4F" w:themeColor="text2" w:themeShade="BF"/>
                <w:spacing w:val="-11"/>
                <w:sz w:val="18"/>
              </w:rPr>
              <w:t xml:space="preserve"> </w:t>
            </w:r>
            <w:r>
              <w:rPr>
                <w:color w:val="323E4F" w:themeColor="text2" w:themeShade="BF"/>
                <w:sz w:val="18"/>
              </w:rPr>
              <w:t>proposed</w:t>
            </w:r>
            <w:r>
              <w:rPr>
                <w:color w:val="323E4F" w:themeColor="text2" w:themeShade="BF"/>
                <w:spacing w:val="-10"/>
                <w:sz w:val="18"/>
              </w:rPr>
              <w:t xml:space="preserve"> </w:t>
            </w:r>
            <w:r>
              <w:rPr>
                <w:color w:val="323E4F" w:themeColor="text2" w:themeShade="BF"/>
                <w:sz w:val="18"/>
              </w:rPr>
              <w:t>and</w:t>
            </w:r>
            <w:r>
              <w:rPr>
                <w:color w:val="323E4F" w:themeColor="text2" w:themeShade="BF"/>
                <w:spacing w:val="-9"/>
                <w:sz w:val="18"/>
              </w:rPr>
              <w:t xml:space="preserve"> </w:t>
            </w:r>
            <w:r>
              <w:rPr>
                <w:color w:val="323E4F" w:themeColor="text2" w:themeShade="BF"/>
                <w:sz w:val="18"/>
              </w:rPr>
              <w:t>which</w:t>
            </w:r>
            <w:r>
              <w:rPr>
                <w:color w:val="323E4F" w:themeColor="text2" w:themeShade="BF"/>
                <w:spacing w:val="-11"/>
                <w:sz w:val="18"/>
              </w:rPr>
              <w:t xml:space="preserve"> </w:t>
            </w:r>
            <w:r>
              <w:rPr>
                <w:color w:val="323E4F" w:themeColor="text2" w:themeShade="BF"/>
                <w:sz w:val="18"/>
              </w:rPr>
              <w:t>is</w:t>
            </w:r>
            <w:r>
              <w:rPr>
                <w:color w:val="323E4F" w:themeColor="text2" w:themeShade="BF"/>
                <w:spacing w:val="-10"/>
                <w:sz w:val="18"/>
              </w:rPr>
              <w:t xml:space="preserve"> </w:t>
            </w:r>
            <w:r>
              <w:rPr>
                <w:color w:val="323E4F" w:themeColor="text2" w:themeShade="BF"/>
                <w:sz w:val="18"/>
              </w:rPr>
              <w:t>listed</w:t>
            </w:r>
            <w:r>
              <w:rPr>
                <w:color w:val="323E4F" w:themeColor="text2" w:themeShade="BF"/>
                <w:spacing w:val="-11"/>
                <w:sz w:val="18"/>
              </w:rPr>
              <w:t xml:space="preserve"> </w:t>
            </w:r>
            <w:r>
              <w:rPr>
                <w:color w:val="323E4F" w:themeColor="text2" w:themeShade="BF"/>
                <w:sz w:val="18"/>
              </w:rPr>
              <w:t>in</w:t>
            </w:r>
            <w:r>
              <w:rPr>
                <w:color w:val="323E4F" w:themeColor="text2" w:themeShade="BF"/>
                <w:spacing w:val="-11"/>
                <w:sz w:val="18"/>
              </w:rPr>
              <w:t xml:space="preserve"> </w:t>
            </w:r>
            <w:r>
              <w:rPr>
                <w:color w:val="323E4F" w:themeColor="text2" w:themeShade="BF"/>
                <w:sz w:val="18"/>
              </w:rPr>
              <w:t>the</w:t>
            </w:r>
            <w:r>
              <w:rPr>
                <w:color w:val="323E4F" w:themeColor="text2" w:themeShade="BF"/>
                <w:spacing w:val="-11"/>
                <w:sz w:val="18"/>
              </w:rPr>
              <w:t xml:space="preserve"> </w:t>
            </w:r>
            <w:r>
              <w:rPr>
                <w:color w:val="323E4F" w:themeColor="text2" w:themeShade="BF"/>
                <w:sz w:val="18"/>
              </w:rPr>
              <w:t>NEMA</w:t>
            </w:r>
            <w:r>
              <w:rPr>
                <w:color w:val="323E4F" w:themeColor="text2" w:themeShade="BF"/>
                <w:spacing w:val="-8"/>
                <w:sz w:val="18"/>
              </w:rPr>
              <w:t xml:space="preserve"> </w:t>
            </w:r>
            <w:r>
              <w:rPr>
                <w:color w:val="323E4F" w:themeColor="text2" w:themeShade="BF"/>
                <w:sz w:val="18"/>
              </w:rPr>
              <w:t>EIA</w:t>
            </w:r>
            <w:r>
              <w:rPr>
                <w:color w:val="323E4F" w:themeColor="text2" w:themeShade="BF"/>
                <w:spacing w:val="-9"/>
                <w:sz w:val="18"/>
              </w:rPr>
              <w:t xml:space="preserve"> </w:t>
            </w:r>
            <w:r>
              <w:rPr>
                <w:color w:val="323E4F" w:themeColor="text2" w:themeShade="BF"/>
                <w:sz w:val="18"/>
              </w:rPr>
              <w:t>Regulations, requires</w:t>
            </w:r>
            <w:r>
              <w:rPr>
                <w:color w:val="323E4F" w:themeColor="text2" w:themeShade="BF"/>
                <w:spacing w:val="1"/>
                <w:sz w:val="18"/>
              </w:rPr>
              <w:t xml:space="preserve"> </w:t>
            </w:r>
            <w:r>
              <w:rPr>
                <w:color w:val="323E4F" w:themeColor="text2" w:themeShade="BF"/>
                <w:sz w:val="18"/>
              </w:rPr>
              <w:t>EA.</w:t>
            </w:r>
          </w:p>
        </w:tc>
      </w:tr>
      <w:tr w:rsidR="000D5AB3" w14:paraId="0A1DA7F1" w14:textId="77777777" w:rsidTr="000C5758">
        <w:tblPrEx>
          <w:tblCellSpacing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trHeight w:val="5184"/>
        </w:trPr>
        <w:tc>
          <w:tcPr>
            <w:tcW w:w="1203" w:type="pct"/>
            <w:tcBorders>
              <w:top w:val="single" w:sz="8" w:space="0" w:color="FFFFFF"/>
              <w:left w:val="nil"/>
              <w:bottom w:val="single" w:sz="8" w:space="0" w:color="FFFFFF"/>
              <w:right w:val="single" w:sz="8" w:space="0" w:color="FFFFFF"/>
            </w:tcBorders>
            <w:shd w:val="clear" w:color="auto" w:fill="B1E7FF"/>
          </w:tcPr>
          <w:p w14:paraId="2DD66341" w14:textId="77777777" w:rsidR="000D5AB3" w:rsidRDefault="000D5AB3">
            <w:pPr>
              <w:pStyle w:val="TableParagraph"/>
              <w:jc w:val="both"/>
              <w:rPr>
                <w:rFonts w:ascii="Times New Roman"/>
                <w:color w:val="323E4F" w:themeColor="text2" w:themeShade="BF"/>
                <w:sz w:val="20"/>
              </w:rPr>
            </w:pPr>
          </w:p>
          <w:p w14:paraId="14AA8F21" w14:textId="77777777" w:rsidR="000D5AB3" w:rsidRDefault="000D5AB3">
            <w:pPr>
              <w:pStyle w:val="TableParagraph"/>
              <w:jc w:val="both"/>
              <w:rPr>
                <w:rFonts w:ascii="Times New Roman"/>
                <w:color w:val="323E4F" w:themeColor="text2" w:themeShade="BF"/>
                <w:sz w:val="20"/>
              </w:rPr>
            </w:pPr>
          </w:p>
          <w:p w14:paraId="6E41A8A5" w14:textId="77777777" w:rsidR="000D5AB3" w:rsidRDefault="000D5AB3">
            <w:pPr>
              <w:pStyle w:val="TableParagraph"/>
              <w:jc w:val="both"/>
              <w:rPr>
                <w:rFonts w:ascii="Times New Roman"/>
                <w:color w:val="323E4F" w:themeColor="text2" w:themeShade="BF"/>
                <w:sz w:val="20"/>
              </w:rPr>
            </w:pPr>
          </w:p>
          <w:p w14:paraId="67EFC2F7" w14:textId="77777777" w:rsidR="000D5AB3" w:rsidRDefault="000D5AB3">
            <w:pPr>
              <w:pStyle w:val="TableParagraph"/>
              <w:jc w:val="both"/>
              <w:rPr>
                <w:rFonts w:ascii="Times New Roman"/>
                <w:color w:val="323E4F" w:themeColor="text2" w:themeShade="BF"/>
                <w:sz w:val="20"/>
              </w:rPr>
            </w:pPr>
          </w:p>
          <w:p w14:paraId="741775D6" w14:textId="77777777" w:rsidR="000D5AB3" w:rsidRDefault="000D5AB3">
            <w:pPr>
              <w:pStyle w:val="TableParagraph"/>
              <w:jc w:val="both"/>
              <w:rPr>
                <w:rFonts w:ascii="Times New Roman"/>
                <w:color w:val="323E4F" w:themeColor="text2" w:themeShade="BF"/>
                <w:sz w:val="20"/>
              </w:rPr>
            </w:pPr>
          </w:p>
          <w:p w14:paraId="43109977" w14:textId="77777777" w:rsidR="000D5AB3" w:rsidRDefault="000D5AB3">
            <w:pPr>
              <w:pStyle w:val="TableParagraph"/>
              <w:jc w:val="both"/>
              <w:rPr>
                <w:rFonts w:ascii="Times New Roman"/>
                <w:color w:val="323E4F" w:themeColor="text2" w:themeShade="BF"/>
                <w:sz w:val="20"/>
              </w:rPr>
            </w:pPr>
          </w:p>
          <w:p w14:paraId="6EDC347B" w14:textId="77777777" w:rsidR="000D5AB3" w:rsidRDefault="000D5AB3">
            <w:pPr>
              <w:pStyle w:val="TableParagraph"/>
              <w:jc w:val="both"/>
              <w:rPr>
                <w:rFonts w:ascii="Times New Roman"/>
                <w:color w:val="323E4F" w:themeColor="text2" w:themeShade="BF"/>
                <w:sz w:val="20"/>
              </w:rPr>
            </w:pPr>
          </w:p>
          <w:p w14:paraId="10D6531D" w14:textId="77777777" w:rsidR="000D5AB3" w:rsidRDefault="000D5AB3">
            <w:pPr>
              <w:pStyle w:val="TableParagraph"/>
              <w:jc w:val="both"/>
              <w:rPr>
                <w:rFonts w:ascii="Times New Roman"/>
                <w:color w:val="323E4F" w:themeColor="text2" w:themeShade="BF"/>
                <w:sz w:val="20"/>
              </w:rPr>
            </w:pPr>
          </w:p>
          <w:p w14:paraId="093F3FE7" w14:textId="77777777" w:rsidR="000D5AB3" w:rsidRDefault="000D5AB3">
            <w:pPr>
              <w:pStyle w:val="TableParagraph"/>
              <w:jc w:val="both"/>
              <w:rPr>
                <w:rFonts w:ascii="Times New Roman"/>
                <w:color w:val="323E4F" w:themeColor="text2" w:themeShade="BF"/>
                <w:sz w:val="20"/>
              </w:rPr>
            </w:pPr>
          </w:p>
          <w:p w14:paraId="5A833584" w14:textId="77777777" w:rsidR="000D5AB3" w:rsidRDefault="000D5AB3">
            <w:pPr>
              <w:pStyle w:val="TableParagraph"/>
              <w:jc w:val="both"/>
              <w:rPr>
                <w:rFonts w:ascii="Times New Roman"/>
                <w:color w:val="323E4F" w:themeColor="text2" w:themeShade="BF"/>
                <w:sz w:val="20"/>
              </w:rPr>
            </w:pPr>
          </w:p>
          <w:p w14:paraId="76A8F66C" w14:textId="77777777" w:rsidR="000D5AB3" w:rsidRDefault="000D5AB3">
            <w:pPr>
              <w:pStyle w:val="TableParagraph"/>
              <w:jc w:val="both"/>
              <w:rPr>
                <w:rFonts w:ascii="Times New Roman"/>
                <w:color w:val="323E4F" w:themeColor="text2" w:themeShade="BF"/>
                <w:sz w:val="20"/>
              </w:rPr>
            </w:pPr>
          </w:p>
          <w:p w14:paraId="4B027589" w14:textId="77777777" w:rsidR="000D5AB3" w:rsidRDefault="000D5AB3">
            <w:pPr>
              <w:pStyle w:val="TableParagraph"/>
              <w:jc w:val="both"/>
              <w:rPr>
                <w:rFonts w:ascii="Times New Roman"/>
                <w:color w:val="323E4F" w:themeColor="text2" w:themeShade="BF"/>
                <w:sz w:val="20"/>
              </w:rPr>
            </w:pPr>
          </w:p>
          <w:p w14:paraId="3863DC9D" w14:textId="77777777" w:rsidR="000D5AB3" w:rsidRDefault="000D5AB3">
            <w:pPr>
              <w:pStyle w:val="TableParagraph"/>
              <w:jc w:val="both"/>
              <w:rPr>
                <w:rFonts w:ascii="Times New Roman"/>
                <w:color w:val="323E4F" w:themeColor="text2" w:themeShade="BF"/>
                <w:sz w:val="20"/>
              </w:rPr>
            </w:pPr>
          </w:p>
          <w:p w14:paraId="6A1356B0" w14:textId="77777777" w:rsidR="000D5AB3" w:rsidRDefault="000D5AB3">
            <w:pPr>
              <w:pStyle w:val="TableParagraph"/>
              <w:spacing w:before="2"/>
              <w:jc w:val="both"/>
              <w:rPr>
                <w:rFonts w:ascii="Times New Roman"/>
                <w:color w:val="323E4F" w:themeColor="text2" w:themeShade="BF"/>
                <w:sz w:val="19"/>
              </w:rPr>
            </w:pPr>
          </w:p>
          <w:p w14:paraId="02F18E1C" w14:textId="77777777" w:rsidR="000D5AB3" w:rsidRDefault="000D5AB3">
            <w:pPr>
              <w:pStyle w:val="TableParagraph"/>
              <w:spacing w:line="271" w:lineRule="auto"/>
              <w:ind w:right="179"/>
              <w:jc w:val="both"/>
              <w:rPr>
                <w:color w:val="323E4F" w:themeColor="text2" w:themeShade="BF"/>
                <w:sz w:val="18"/>
              </w:rPr>
            </w:pPr>
            <w:r>
              <w:rPr>
                <w:color w:val="323E4F" w:themeColor="text2" w:themeShade="BF"/>
                <w:sz w:val="18"/>
              </w:rPr>
              <w:t>National Water Act (Act No. 36 of 1998) (as amended)</w:t>
            </w:r>
          </w:p>
        </w:tc>
        <w:tc>
          <w:tcPr>
            <w:tcW w:w="3775" w:type="pct"/>
            <w:gridSpan w:val="2"/>
            <w:tcBorders>
              <w:top w:val="single" w:sz="8" w:space="0" w:color="FFFFFF"/>
              <w:left w:val="single" w:sz="8" w:space="0" w:color="FFFFFF"/>
              <w:bottom w:val="single" w:sz="8" w:space="0" w:color="FFFFFF"/>
              <w:right w:val="nil"/>
            </w:tcBorders>
            <w:shd w:val="clear" w:color="auto" w:fill="B1E7FF"/>
          </w:tcPr>
          <w:p w14:paraId="07E5786E" w14:textId="77777777" w:rsidR="000D5AB3" w:rsidRDefault="000D5AB3">
            <w:pPr>
              <w:pStyle w:val="TableParagraph"/>
              <w:spacing w:before="56"/>
              <w:ind w:left="-1"/>
              <w:jc w:val="both"/>
              <w:rPr>
                <w:b/>
                <w:i/>
                <w:color w:val="323E4F" w:themeColor="text2" w:themeShade="BF"/>
                <w:sz w:val="18"/>
              </w:rPr>
            </w:pPr>
            <w:r>
              <w:rPr>
                <w:b/>
                <w:i/>
                <w:color w:val="323E4F" w:themeColor="text2" w:themeShade="BF"/>
                <w:sz w:val="18"/>
              </w:rPr>
              <w:t>Objectives:</w:t>
            </w:r>
          </w:p>
          <w:p w14:paraId="0949C68B" w14:textId="77777777" w:rsidR="000D5AB3" w:rsidRDefault="000D5AB3">
            <w:pPr>
              <w:pStyle w:val="TableParagraph"/>
              <w:spacing w:before="26" w:line="268" w:lineRule="auto"/>
              <w:ind w:left="-1" w:right="171"/>
              <w:jc w:val="both"/>
              <w:rPr>
                <w:color w:val="323E4F" w:themeColor="text2" w:themeShade="BF"/>
                <w:sz w:val="18"/>
              </w:rPr>
            </w:pPr>
            <w:r>
              <w:rPr>
                <w:color w:val="323E4F" w:themeColor="text2" w:themeShade="BF"/>
                <w:sz w:val="18"/>
              </w:rPr>
              <w:t>The National Water Act (NWA) is a legal framework for the effective and sustainable management</w:t>
            </w:r>
            <w:r>
              <w:rPr>
                <w:color w:val="323E4F" w:themeColor="text2" w:themeShade="BF"/>
                <w:spacing w:val="-11"/>
                <w:sz w:val="18"/>
              </w:rPr>
              <w:t xml:space="preserve"> </w:t>
            </w:r>
            <w:r>
              <w:rPr>
                <w:color w:val="323E4F" w:themeColor="text2" w:themeShade="BF"/>
                <w:sz w:val="18"/>
              </w:rPr>
              <w:t>of</w:t>
            </w:r>
            <w:r>
              <w:rPr>
                <w:color w:val="323E4F" w:themeColor="text2" w:themeShade="BF"/>
                <w:spacing w:val="-9"/>
                <w:sz w:val="18"/>
              </w:rPr>
              <w:t xml:space="preserve"> </w:t>
            </w:r>
            <w:r>
              <w:rPr>
                <w:color w:val="323E4F" w:themeColor="text2" w:themeShade="BF"/>
                <w:sz w:val="18"/>
              </w:rPr>
              <w:t>water</w:t>
            </w:r>
            <w:r>
              <w:rPr>
                <w:color w:val="323E4F" w:themeColor="text2" w:themeShade="BF"/>
                <w:spacing w:val="-9"/>
                <w:sz w:val="18"/>
              </w:rPr>
              <w:t xml:space="preserve"> </w:t>
            </w:r>
            <w:r>
              <w:rPr>
                <w:color w:val="323E4F" w:themeColor="text2" w:themeShade="BF"/>
                <w:sz w:val="18"/>
              </w:rPr>
              <w:t>resources</w:t>
            </w:r>
            <w:r>
              <w:rPr>
                <w:color w:val="323E4F" w:themeColor="text2" w:themeShade="BF"/>
                <w:spacing w:val="-8"/>
                <w:sz w:val="18"/>
              </w:rPr>
              <w:t xml:space="preserve"> </w:t>
            </w:r>
            <w:r>
              <w:rPr>
                <w:color w:val="323E4F" w:themeColor="text2" w:themeShade="BF"/>
                <w:sz w:val="18"/>
              </w:rPr>
              <w:t>in</w:t>
            </w:r>
            <w:r>
              <w:rPr>
                <w:color w:val="323E4F" w:themeColor="text2" w:themeShade="BF"/>
                <w:spacing w:val="-11"/>
                <w:sz w:val="18"/>
              </w:rPr>
              <w:t xml:space="preserve"> </w:t>
            </w:r>
            <w:r>
              <w:rPr>
                <w:color w:val="323E4F" w:themeColor="text2" w:themeShade="BF"/>
                <w:sz w:val="18"/>
              </w:rPr>
              <w:t>South</w:t>
            </w:r>
            <w:r>
              <w:rPr>
                <w:color w:val="323E4F" w:themeColor="text2" w:themeShade="BF"/>
                <w:spacing w:val="-9"/>
                <w:sz w:val="18"/>
              </w:rPr>
              <w:t xml:space="preserve"> </w:t>
            </w:r>
            <w:r>
              <w:rPr>
                <w:color w:val="323E4F" w:themeColor="text2" w:themeShade="BF"/>
                <w:sz w:val="18"/>
              </w:rPr>
              <w:t>Africa.</w:t>
            </w:r>
            <w:r>
              <w:rPr>
                <w:color w:val="323E4F" w:themeColor="text2" w:themeShade="BF"/>
                <w:spacing w:val="-9"/>
                <w:sz w:val="18"/>
              </w:rPr>
              <w:t xml:space="preserve"> </w:t>
            </w:r>
            <w:r>
              <w:rPr>
                <w:color w:val="323E4F" w:themeColor="text2" w:themeShade="BF"/>
                <w:sz w:val="18"/>
              </w:rPr>
              <w:t>Central</w:t>
            </w:r>
            <w:r>
              <w:rPr>
                <w:color w:val="323E4F" w:themeColor="text2" w:themeShade="BF"/>
                <w:spacing w:val="-9"/>
                <w:sz w:val="18"/>
              </w:rPr>
              <w:t xml:space="preserve"> </w:t>
            </w:r>
            <w:r>
              <w:rPr>
                <w:color w:val="323E4F" w:themeColor="text2" w:themeShade="BF"/>
                <w:sz w:val="18"/>
              </w:rPr>
              <w:t>to</w:t>
            </w:r>
            <w:r>
              <w:rPr>
                <w:color w:val="323E4F" w:themeColor="text2" w:themeShade="BF"/>
                <w:spacing w:val="-9"/>
                <w:sz w:val="18"/>
              </w:rPr>
              <w:t xml:space="preserve"> </w:t>
            </w:r>
            <w:r>
              <w:rPr>
                <w:color w:val="323E4F" w:themeColor="text2" w:themeShade="BF"/>
                <w:sz w:val="18"/>
              </w:rPr>
              <w:t>the</w:t>
            </w:r>
            <w:r>
              <w:rPr>
                <w:color w:val="323E4F" w:themeColor="text2" w:themeShade="BF"/>
                <w:spacing w:val="-9"/>
                <w:sz w:val="18"/>
              </w:rPr>
              <w:t xml:space="preserve"> </w:t>
            </w:r>
            <w:r>
              <w:rPr>
                <w:color w:val="323E4F" w:themeColor="text2" w:themeShade="BF"/>
                <w:sz w:val="18"/>
              </w:rPr>
              <w:t>NWA</w:t>
            </w:r>
            <w:r>
              <w:rPr>
                <w:color w:val="323E4F" w:themeColor="text2" w:themeShade="BF"/>
                <w:spacing w:val="-9"/>
                <w:sz w:val="18"/>
              </w:rPr>
              <w:t xml:space="preserve"> </w:t>
            </w:r>
            <w:r>
              <w:rPr>
                <w:color w:val="323E4F" w:themeColor="text2" w:themeShade="BF"/>
                <w:sz w:val="18"/>
              </w:rPr>
              <w:t>is</w:t>
            </w:r>
            <w:r>
              <w:rPr>
                <w:color w:val="323E4F" w:themeColor="text2" w:themeShade="BF"/>
                <w:spacing w:val="-8"/>
                <w:sz w:val="18"/>
              </w:rPr>
              <w:t xml:space="preserve"> </w:t>
            </w:r>
            <w:r>
              <w:rPr>
                <w:color w:val="323E4F" w:themeColor="text2" w:themeShade="BF"/>
                <w:sz w:val="18"/>
              </w:rPr>
              <w:t>recognition</w:t>
            </w:r>
            <w:r>
              <w:rPr>
                <w:color w:val="323E4F" w:themeColor="text2" w:themeShade="BF"/>
                <w:spacing w:val="-11"/>
                <w:sz w:val="18"/>
              </w:rPr>
              <w:t xml:space="preserve"> </w:t>
            </w:r>
            <w:r>
              <w:rPr>
                <w:color w:val="323E4F" w:themeColor="text2" w:themeShade="BF"/>
                <w:sz w:val="18"/>
              </w:rPr>
              <w:t>that water</w:t>
            </w:r>
            <w:r>
              <w:rPr>
                <w:color w:val="323E4F" w:themeColor="text2" w:themeShade="BF"/>
                <w:spacing w:val="-12"/>
                <w:sz w:val="18"/>
              </w:rPr>
              <w:t xml:space="preserve"> </w:t>
            </w:r>
            <w:r>
              <w:rPr>
                <w:color w:val="323E4F" w:themeColor="text2" w:themeShade="BF"/>
                <w:sz w:val="18"/>
              </w:rPr>
              <w:t>is</w:t>
            </w:r>
            <w:r>
              <w:rPr>
                <w:color w:val="323E4F" w:themeColor="text2" w:themeShade="BF"/>
                <w:spacing w:val="-11"/>
                <w:sz w:val="18"/>
              </w:rPr>
              <w:t xml:space="preserve"> </w:t>
            </w:r>
            <w:r>
              <w:rPr>
                <w:color w:val="323E4F" w:themeColor="text2" w:themeShade="BF"/>
                <w:sz w:val="18"/>
              </w:rPr>
              <w:t>a</w:t>
            </w:r>
            <w:r>
              <w:rPr>
                <w:color w:val="323E4F" w:themeColor="text2" w:themeShade="BF"/>
                <w:spacing w:val="-11"/>
                <w:sz w:val="18"/>
              </w:rPr>
              <w:t xml:space="preserve"> </w:t>
            </w:r>
            <w:r>
              <w:rPr>
                <w:color w:val="323E4F" w:themeColor="text2" w:themeShade="BF"/>
                <w:sz w:val="18"/>
              </w:rPr>
              <w:t>scarce</w:t>
            </w:r>
            <w:r>
              <w:rPr>
                <w:color w:val="323E4F" w:themeColor="text2" w:themeShade="BF"/>
                <w:spacing w:val="-11"/>
                <w:sz w:val="18"/>
              </w:rPr>
              <w:t xml:space="preserve"> </w:t>
            </w:r>
            <w:r>
              <w:rPr>
                <w:color w:val="323E4F" w:themeColor="text2" w:themeShade="BF"/>
                <w:sz w:val="18"/>
              </w:rPr>
              <w:t>resource</w:t>
            </w:r>
            <w:r>
              <w:rPr>
                <w:color w:val="323E4F" w:themeColor="text2" w:themeShade="BF"/>
                <w:spacing w:val="-14"/>
                <w:sz w:val="18"/>
              </w:rPr>
              <w:t xml:space="preserve"> </w:t>
            </w:r>
            <w:r>
              <w:rPr>
                <w:color w:val="323E4F" w:themeColor="text2" w:themeShade="BF"/>
                <w:sz w:val="18"/>
              </w:rPr>
              <w:t>in</w:t>
            </w:r>
            <w:r>
              <w:rPr>
                <w:color w:val="323E4F" w:themeColor="text2" w:themeShade="BF"/>
                <w:spacing w:val="-11"/>
                <w:sz w:val="18"/>
              </w:rPr>
              <w:t xml:space="preserve"> </w:t>
            </w:r>
            <w:r>
              <w:rPr>
                <w:color w:val="323E4F" w:themeColor="text2" w:themeShade="BF"/>
                <w:sz w:val="18"/>
              </w:rPr>
              <w:t>the</w:t>
            </w:r>
            <w:r>
              <w:rPr>
                <w:color w:val="323E4F" w:themeColor="text2" w:themeShade="BF"/>
                <w:spacing w:val="-11"/>
                <w:sz w:val="18"/>
              </w:rPr>
              <w:t xml:space="preserve"> </w:t>
            </w:r>
            <w:r>
              <w:rPr>
                <w:color w:val="323E4F" w:themeColor="text2" w:themeShade="BF"/>
                <w:sz w:val="18"/>
              </w:rPr>
              <w:t>country</w:t>
            </w:r>
            <w:r>
              <w:rPr>
                <w:color w:val="323E4F" w:themeColor="text2" w:themeShade="BF"/>
                <w:spacing w:val="-10"/>
                <w:sz w:val="18"/>
              </w:rPr>
              <w:t xml:space="preserve"> </w:t>
            </w:r>
            <w:r>
              <w:rPr>
                <w:color w:val="323E4F" w:themeColor="text2" w:themeShade="BF"/>
                <w:sz w:val="18"/>
              </w:rPr>
              <w:t>which</w:t>
            </w:r>
            <w:r>
              <w:rPr>
                <w:color w:val="323E4F" w:themeColor="text2" w:themeShade="BF"/>
                <w:spacing w:val="-11"/>
                <w:sz w:val="18"/>
              </w:rPr>
              <w:t xml:space="preserve"> </w:t>
            </w:r>
            <w:r>
              <w:rPr>
                <w:color w:val="323E4F" w:themeColor="text2" w:themeShade="BF"/>
                <w:sz w:val="18"/>
              </w:rPr>
              <w:t>belongs</w:t>
            </w:r>
            <w:r>
              <w:rPr>
                <w:color w:val="323E4F" w:themeColor="text2" w:themeShade="BF"/>
                <w:spacing w:val="-11"/>
                <w:sz w:val="18"/>
              </w:rPr>
              <w:t xml:space="preserve"> </w:t>
            </w:r>
            <w:r>
              <w:rPr>
                <w:color w:val="323E4F" w:themeColor="text2" w:themeShade="BF"/>
                <w:sz w:val="18"/>
              </w:rPr>
              <w:t>to</w:t>
            </w:r>
            <w:r>
              <w:rPr>
                <w:color w:val="323E4F" w:themeColor="text2" w:themeShade="BF"/>
                <w:spacing w:val="-11"/>
                <w:sz w:val="18"/>
              </w:rPr>
              <w:t xml:space="preserve"> </w:t>
            </w:r>
            <w:r>
              <w:rPr>
                <w:color w:val="323E4F" w:themeColor="text2" w:themeShade="BF"/>
                <w:sz w:val="18"/>
              </w:rPr>
              <w:t>all</w:t>
            </w:r>
            <w:r>
              <w:rPr>
                <w:color w:val="323E4F" w:themeColor="text2" w:themeShade="BF"/>
                <w:spacing w:val="-11"/>
                <w:sz w:val="18"/>
              </w:rPr>
              <w:t xml:space="preserve"> </w:t>
            </w:r>
            <w:r>
              <w:rPr>
                <w:color w:val="323E4F" w:themeColor="text2" w:themeShade="BF"/>
                <w:sz w:val="18"/>
              </w:rPr>
              <w:t>the</w:t>
            </w:r>
            <w:r>
              <w:rPr>
                <w:color w:val="323E4F" w:themeColor="text2" w:themeShade="BF"/>
                <w:spacing w:val="-11"/>
                <w:sz w:val="18"/>
              </w:rPr>
              <w:t xml:space="preserve"> </w:t>
            </w:r>
            <w:r>
              <w:rPr>
                <w:color w:val="323E4F" w:themeColor="text2" w:themeShade="BF"/>
                <w:sz w:val="18"/>
              </w:rPr>
              <w:t>people</w:t>
            </w:r>
            <w:r>
              <w:rPr>
                <w:color w:val="323E4F" w:themeColor="text2" w:themeShade="BF"/>
                <w:spacing w:val="-13"/>
                <w:sz w:val="18"/>
              </w:rPr>
              <w:t xml:space="preserve"> </w:t>
            </w:r>
            <w:r>
              <w:rPr>
                <w:color w:val="323E4F" w:themeColor="text2" w:themeShade="BF"/>
                <w:sz w:val="18"/>
              </w:rPr>
              <w:t>of</w:t>
            </w:r>
            <w:r>
              <w:rPr>
                <w:color w:val="323E4F" w:themeColor="text2" w:themeShade="BF"/>
                <w:spacing w:val="-11"/>
                <w:sz w:val="18"/>
              </w:rPr>
              <w:t xml:space="preserve"> </w:t>
            </w:r>
            <w:r>
              <w:rPr>
                <w:color w:val="323E4F" w:themeColor="text2" w:themeShade="BF"/>
                <w:sz w:val="18"/>
              </w:rPr>
              <w:t>South</w:t>
            </w:r>
            <w:r>
              <w:rPr>
                <w:color w:val="323E4F" w:themeColor="text2" w:themeShade="BF"/>
                <w:spacing w:val="-11"/>
                <w:sz w:val="18"/>
              </w:rPr>
              <w:t xml:space="preserve"> </w:t>
            </w:r>
            <w:r>
              <w:rPr>
                <w:color w:val="323E4F" w:themeColor="text2" w:themeShade="BF"/>
                <w:sz w:val="18"/>
              </w:rPr>
              <w:t>Africa and needs to be managed in a sustainable manner to benefit all members of society. The NWA places a strong emphasis on the protection of water resources in South Africa,</w:t>
            </w:r>
            <w:r>
              <w:rPr>
                <w:color w:val="323E4F" w:themeColor="text2" w:themeShade="BF"/>
                <w:spacing w:val="-14"/>
                <w:sz w:val="18"/>
              </w:rPr>
              <w:t xml:space="preserve"> </w:t>
            </w:r>
            <w:r>
              <w:rPr>
                <w:color w:val="323E4F" w:themeColor="text2" w:themeShade="BF"/>
                <w:sz w:val="18"/>
              </w:rPr>
              <w:t>especially</w:t>
            </w:r>
            <w:r>
              <w:rPr>
                <w:color w:val="323E4F" w:themeColor="text2" w:themeShade="BF"/>
                <w:spacing w:val="-13"/>
                <w:sz w:val="18"/>
              </w:rPr>
              <w:t xml:space="preserve"> </w:t>
            </w:r>
            <w:r>
              <w:rPr>
                <w:color w:val="323E4F" w:themeColor="text2" w:themeShade="BF"/>
                <w:sz w:val="18"/>
              </w:rPr>
              <w:t>against</w:t>
            </w:r>
            <w:r>
              <w:rPr>
                <w:color w:val="323E4F" w:themeColor="text2" w:themeShade="BF"/>
                <w:spacing w:val="-13"/>
                <w:sz w:val="18"/>
              </w:rPr>
              <w:t xml:space="preserve"> </w:t>
            </w:r>
            <w:r>
              <w:rPr>
                <w:color w:val="323E4F" w:themeColor="text2" w:themeShade="BF"/>
                <w:sz w:val="18"/>
              </w:rPr>
              <w:t>its</w:t>
            </w:r>
            <w:r>
              <w:rPr>
                <w:color w:val="323E4F" w:themeColor="text2" w:themeShade="BF"/>
                <w:spacing w:val="-13"/>
                <w:sz w:val="18"/>
              </w:rPr>
              <w:t xml:space="preserve"> </w:t>
            </w:r>
            <w:r>
              <w:rPr>
                <w:color w:val="323E4F" w:themeColor="text2" w:themeShade="BF"/>
                <w:sz w:val="18"/>
              </w:rPr>
              <w:t>exploitation,</w:t>
            </w:r>
            <w:r>
              <w:rPr>
                <w:color w:val="323E4F" w:themeColor="text2" w:themeShade="BF"/>
                <w:spacing w:val="-13"/>
                <w:sz w:val="18"/>
              </w:rPr>
              <w:t xml:space="preserve"> </w:t>
            </w:r>
            <w:r>
              <w:rPr>
                <w:color w:val="323E4F" w:themeColor="text2" w:themeShade="BF"/>
                <w:sz w:val="18"/>
              </w:rPr>
              <w:t>and</w:t>
            </w:r>
            <w:r>
              <w:rPr>
                <w:color w:val="323E4F" w:themeColor="text2" w:themeShade="BF"/>
                <w:spacing w:val="-14"/>
                <w:sz w:val="18"/>
              </w:rPr>
              <w:t xml:space="preserve"> </w:t>
            </w:r>
            <w:r>
              <w:rPr>
                <w:color w:val="323E4F" w:themeColor="text2" w:themeShade="BF"/>
                <w:sz w:val="18"/>
              </w:rPr>
              <w:t>the</w:t>
            </w:r>
            <w:r>
              <w:rPr>
                <w:color w:val="323E4F" w:themeColor="text2" w:themeShade="BF"/>
                <w:spacing w:val="-12"/>
                <w:sz w:val="18"/>
              </w:rPr>
              <w:t xml:space="preserve"> </w:t>
            </w:r>
            <w:r>
              <w:rPr>
                <w:color w:val="323E4F" w:themeColor="text2" w:themeShade="BF"/>
                <w:sz w:val="18"/>
              </w:rPr>
              <w:t>insurance</w:t>
            </w:r>
            <w:r>
              <w:rPr>
                <w:color w:val="323E4F" w:themeColor="text2" w:themeShade="BF"/>
                <w:spacing w:val="-13"/>
                <w:sz w:val="18"/>
              </w:rPr>
              <w:t xml:space="preserve"> </w:t>
            </w:r>
            <w:r>
              <w:rPr>
                <w:color w:val="323E4F" w:themeColor="text2" w:themeShade="BF"/>
                <w:sz w:val="18"/>
              </w:rPr>
              <w:t>that</w:t>
            </w:r>
            <w:r>
              <w:rPr>
                <w:color w:val="323E4F" w:themeColor="text2" w:themeShade="BF"/>
                <w:spacing w:val="-11"/>
                <w:sz w:val="18"/>
              </w:rPr>
              <w:t xml:space="preserve"> </w:t>
            </w:r>
            <w:r>
              <w:rPr>
                <w:color w:val="323E4F" w:themeColor="text2" w:themeShade="BF"/>
                <w:sz w:val="18"/>
              </w:rPr>
              <w:t>there</w:t>
            </w:r>
            <w:r>
              <w:rPr>
                <w:color w:val="323E4F" w:themeColor="text2" w:themeShade="BF"/>
                <w:spacing w:val="-13"/>
                <w:sz w:val="18"/>
              </w:rPr>
              <w:t xml:space="preserve"> </w:t>
            </w:r>
            <w:r>
              <w:rPr>
                <w:color w:val="323E4F" w:themeColor="text2" w:themeShade="BF"/>
                <w:sz w:val="18"/>
              </w:rPr>
              <w:t>is</w:t>
            </w:r>
            <w:r>
              <w:rPr>
                <w:color w:val="323E4F" w:themeColor="text2" w:themeShade="BF"/>
                <w:spacing w:val="-11"/>
                <w:sz w:val="18"/>
              </w:rPr>
              <w:t xml:space="preserve"> </w:t>
            </w:r>
            <w:r>
              <w:rPr>
                <w:color w:val="323E4F" w:themeColor="text2" w:themeShade="BF"/>
                <w:sz w:val="18"/>
              </w:rPr>
              <w:t>water</w:t>
            </w:r>
            <w:r>
              <w:rPr>
                <w:color w:val="323E4F" w:themeColor="text2" w:themeShade="BF"/>
                <w:spacing w:val="-11"/>
                <w:sz w:val="18"/>
              </w:rPr>
              <w:t xml:space="preserve"> </w:t>
            </w:r>
            <w:r>
              <w:rPr>
                <w:color w:val="323E4F" w:themeColor="text2" w:themeShade="BF"/>
                <w:sz w:val="18"/>
              </w:rPr>
              <w:t>for</w:t>
            </w:r>
            <w:r>
              <w:rPr>
                <w:color w:val="323E4F" w:themeColor="text2" w:themeShade="BF"/>
                <w:spacing w:val="-14"/>
                <w:sz w:val="18"/>
              </w:rPr>
              <w:t xml:space="preserve"> </w:t>
            </w:r>
            <w:r>
              <w:rPr>
                <w:color w:val="323E4F" w:themeColor="text2" w:themeShade="BF"/>
                <w:sz w:val="18"/>
              </w:rPr>
              <w:t>social and economic development in the country for present and future</w:t>
            </w:r>
            <w:r>
              <w:rPr>
                <w:color w:val="323E4F" w:themeColor="text2" w:themeShade="BF"/>
                <w:spacing w:val="-15"/>
                <w:sz w:val="18"/>
              </w:rPr>
              <w:t xml:space="preserve"> </w:t>
            </w:r>
            <w:r>
              <w:rPr>
                <w:color w:val="323E4F" w:themeColor="text2" w:themeShade="BF"/>
                <w:sz w:val="18"/>
              </w:rPr>
              <w:t>generations.</w:t>
            </w:r>
          </w:p>
          <w:p w14:paraId="6E527DE7" w14:textId="77777777" w:rsidR="000D5AB3" w:rsidRDefault="000D5AB3">
            <w:pPr>
              <w:pStyle w:val="TableParagraph"/>
              <w:spacing w:before="2"/>
              <w:jc w:val="both"/>
              <w:rPr>
                <w:rFonts w:ascii="Times New Roman"/>
                <w:color w:val="323E4F" w:themeColor="text2" w:themeShade="BF"/>
                <w:sz w:val="20"/>
              </w:rPr>
            </w:pPr>
          </w:p>
          <w:p w14:paraId="6DB4F96F" w14:textId="77777777" w:rsidR="000D5AB3" w:rsidRDefault="000D5AB3">
            <w:pPr>
              <w:pStyle w:val="TableParagraph"/>
              <w:ind w:left="-1"/>
              <w:jc w:val="both"/>
              <w:rPr>
                <w:color w:val="323E4F" w:themeColor="text2" w:themeShade="BF"/>
                <w:sz w:val="18"/>
              </w:rPr>
            </w:pPr>
            <w:r>
              <w:rPr>
                <w:color w:val="323E4F" w:themeColor="text2" w:themeShade="BF"/>
                <w:sz w:val="18"/>
              </w:rPr>
              <w:t>Relevance to the proposed project:</w:t>
            </w:r>
          </w:p>
          <w:p w14:paraId="52D20DA3" w14:textId="77777777" w:rsidR="000D5AB3" w:rsidRDefault="000D5AB3">
            <w:pPr>
              <w:pStyle w:val="TableParagraph"/>
              <w:numPr>
                <w:ilvl w:val="0"/>
                <w:numId w:val="12"/>
              </w:numPr>
              <w:tabs>
                <w:tab w:val="left" w:pos="720"/>
              </w:tabs>
              <w:spacing w:before="26" w:line="271" w:lineRule="auto"/>
              <w:ind w:right="173"/>
              <w:jc w:val="both"/>
              <w:rPr>
                <w:color w:val="323E4F" w:themeColor="text2" w:themeShade="BF"/>
                <w:sz w:val="18"/>
              </w:rPr>
            </w:pPr>
            <w:r>
              <w:rPr>
                <w:color w:val="323E4F" w:themeColor="text2" w:themeShade="BF"/>
                <w:sz w:val="18"/>
              </w:rPr>
              <w:t xml:space="preserve">Sustainable protection, use, </w:t>
            </w:r>
            <w:proofErr w:type="gramStart"/>
            <w:r>
              <w:rPr>
                <w:color w:val="323E4F" w:themeColor="text2" w:themeShade="BF"/>
                <w:sz w:val="18"/>
              </w:rPr>
              <w:t>development</w:t>
            </w:r>
            <w:proofErr w:type="gramEnd"/>
            <w:r>
              <w:rPr>
                <w:color w:val="323E4F" w:themeColor="text2" w:themeShade="BF"/>
                <w:sz w:val="18"/>
              </w:rPr>
              <w:t xml:space="preserve"> and conservation of water resources – including aquatic</w:t>
            </w:r>
            <w:r>
              <w:rPr>
                <w:color w:val="323E4F" w:themeColor="text2" w:themeShade="BF"/>
                <w:spacing w:val="-4"/>
                <w:sz w:val="18"/>
              </w:rPr>
              <w:t xml:space="preserve"> </w:t>
            </w:r>
            <w:r>
              <w:rPr>
                <w:color w:val="323E4F" w:themeColor="text2" w:themeShade="BF"/>
                <w:sz w:val="18"/>
              </w:rPr>
              <w:t>ecosystems.</w:t>
            </w:r>
          </w:p>
          <w:p w14:paraId="5F61F8DC" w14:textId="77777777" w:rsidR="000D5AB3" w:rsidRDefault="000D5AB3">
            <w:pPr>
              <w:pStyle w:val="TableParagraph"/>
              <w:numPr>
                <w:ilvl w:val="0"/>
                <w:numId w:val="12"/>
              </w:numPr>
              <w:tabs>
                <w:tab w:val="left" w:pos="720"/>
              </w:tabs>
              <w:spacing w:line="203" w:lineRule="exact"/>
              <w:jc w:val="both"/>
              <w:rPr>
                <w:color w:val="323E4F" w:themeColor="text2" w:themeShade="BF"/>
                <w:sz w:val="18"/>
              </w:rPr>
            </w:pPr>
            <w:r>
              <w:rPr>
                <w:color w:val="323E4F" w:themeColor="text2" w:themeShade="BF"/>
                <w:sz w:val="18"/>
              </w:rPr>
              <w:t>Defines 11 water uses and provides licencing</w:t>
            </w:r>
            <w:r>
              <w:rPr>
                <w:color w:val="323E4F" w:themeColor="text2" w:themeShade="BF"/>
                <w:spacing w:val="-4"/>
                <w:sz w:val="18"/>
              </w:rPr>
              <w:t xml:space="preserve"> </w:t>
            </w:r>
            <w:r>
              <w:rPr>
                <w:color w:val="323E4F" w:themeColor="text2" w:themeShade="BF"/>
                <w:sz w:val="18"/>
              </w:rPr>
              <w:t>procedures.</w:t>
            </w:r>
          </w:p>
          <w:p w14:paraId="4C94F72C" w14:textId="77777777" w:rsidR="000D5AB3" w:rsidRDefault="000D5AB3">
            <w:pPr>
              <w:pStyle w:val="TableParagraph"/>
              <w:numPr>
                <w:ilvl w:val="0"/>
                <w:numId w:val="12"/>
              </w:numPr>
              <w:tabs>
                <w:tab w:val="left" w:pos="720"/>
              </w:tabs>
              <w:spacing w:before="28" w:line="266" w:lineRule="auto"/>
              <w:ind w:right="173"/>
              <w:jc w:val="both"/>
              <w:rPr>
                <w:color w:val="323E4F" w:themeColor="text2" w:themeShade="BF"/>
                <w:sz w:val="18"/>
              </w:rPr>
            </w:pPr>
            <w:r>
              <w:rPr>
                <w:color w:val="323E4F" w:themeColor="text2" w:themeShade="BF"/>
                <w:sz w:val="18"/>
              </w:rPr>
              <w:t>Wastewater</w:t>
            </w:r>
            <w:r>
              <w:rPr>
                <w:color w:val="323E4F" w:themeColor="text2" w:themeShade="BF"/>
                <w:spacing w:val="-15"/>
                <w:sz w:val="18"/>
              </w:rPr>
              <w:t xml:space="preserve"> </w:t>
            </w:r>
            <w:r>
              <w:rPr>
                <w:color w:val="323E4F" w:themeColor="text2" w:themeShade="BF"/>
                <w:sz w:val="18"/>
              </w:rPr>
              <w:t>limit</w:t>
            </w:r>
            <w:r>
              <w:rPr>
                <w:color w:val="323E4F" w:themeColor="text2" w:themeShade="BF"/>
                <w:spacing w:val="-14"/>
                <w:sz w:val="18"/>
              </w:rPr>
              <w:t xml:space="preserve"> </w:t>
            </w:r>
            <w:r>
              <w:rPr>
                <w:color w:val="323E4F" w:themeColor="text2" w:themeShade="BF"/>
                <w:sz w:val="18"/>
              </w:rPr>
              <w:t>values</w:t>
            </w:r>
            <w:r>
              <w:rPr>
                <w:color w:val="323E4F" w:themeColor="text2" w:themeShade="BF"/>
                <w:spacing w:val="-11"/>
                <w:sz w:val="18"/>
              </w:rPr>
              <w:t xml:space="preserve"> </w:t>
            </w:r>
            <w:r>
              <w:rPr>
                <w:color w:val="323E4F" w:themeColor="text2" w:themeShade="BF"/>
                <w:sz w:val="18"/>
              </w:rPr>
              <w:t>applicable</w:t>
            </w:r>
            <w:r>
              <w:rPr>
                <w:color w:val="323E4F" w:themeColor="text2" w:themeShade="BF"/>
                <w:spacing w:val="-13"/>
                <w:sz w:val="18"/>
              </w:rPr>
              <w:t xml:space="preserve"> </w:t>
            </w:r>
            <w:r>
              <w:rPr>
                <w:color w:val="323E4F" w:themeColor="text2" w:themeShade="BF"/>
                <w:sz w:val="18"/>
              </w:rPr>
              <w:t>to</w:t>
            </w:r>
            <w:r>
              <w:rPr>
                <w:color w:val="323E4F" w:themeColor="text2" w:themeShade="BF"/>
                <w:spacing w:val="-13"/>
                <w:sz w:val="18"/>
              </w:rPr>
              <w:t xml:space="preserve"> </w:t>
            </w:r>
            <w:r>
              <w:rPr>
                <w:color w:val="323E4F" w:themeColor="text2" w:themeShade="BF"/>
                <w:sz w:val="18"/>
              </w:rPr>
              <w:t>discharge</w:t>
            </w:r>
            <w:r>
              <w:rPr>
                <w:color w:val="323E4F" w:themeColor="text2" w:themeShade="BF"/>
                <w:spacing w:val="-14"/>
                <w:sz w:val="18"/>
              </w:rPr>
              <w:t xml:space="preserve"> </w:t>
            </w:r>
            <w:r>
              <w:rPr>
                <w:color w:val="323E4F" w:themeColor="text2" w:themeShade="BF"/>
                <w:sz w:val="18"/>
              </w:rPr>
              <w:t>of</w:t>
            </w:r>
            <w:r>
              <w:rPr>
                <w:color w:val="323E4F" w:themeColor="text2" w:themeShade="BF"/>
                <w:spacing w:val="-11"/>
                <w:sz w:val="18"/>
              </w:rPr>
              <w:t xml:space="preserve"> </w:t>
            </w:r>
            <w:r>
              <w:rPr>
                <w:color w:val="323E4F" w:themeColor="text2" w:themeShade="BF"/>
                <w:sz w:val="18"/>
              </w:rPr>
              <w:t>water</w:t>
            </w:r>
            <w:r>
              <w:rPr>
                <w:color w:val="323E4F" w:themeColor="text2" w:themeShade="BF"/>
                <w:spacing w:val="-14"/>
                <w:sz w:val="18"/>
              </w:rPr>
              <w:t xml:space="preserve"> </w:t>
            </w:r>
            <w:r>
              <w:rPr>
                <w:color w:val="323E4F" w:themeColor="text2" w:themeShade="BF"/>
                <w:sz w:val="18"/>
              </w:rPr>
              <w:t>containing</w:t>
            </w:r>
            <w:r>
              <w:rPr>
                <w:color w:val="323E4F" w:themeColor="text2" w:themeShade="BF"/>
                <w:spacing w:val="-12"/>
                <w:sz w:val="18"/>
              </w:rPr>
              <w:t xml:space="preserve"> </w:t>
            </w:r>
            <w:r>
              <w:rPr>
                <w:color w:val="323E4F" w:themeColor="text2" w:themeShade="BF"/>
                <w:sz w:val="18"/>
              </w:rPr>
              <w:t>waste</w:t>
            </w:r>
            <w:r>
              <w:rPr>
                <w:color w:val="323E4F" w:themeColor="text2" w:themeShade="BF"/>
                <w:spacing w:val="-13"/>
                <w:sz w:val="18"/>
              </w:rPr>
              <w:t xml:space="preserve"> </w:t>
            </w:r>
            <w:r>
              <w:rPr>
                <w:color w:val="323E4F" w:themeColor="text2" w:themeShade="BF"/>
                <w:sz w:val="18"/>
              </w:rPr>
              <w:t>into a water</w:t>
            </w:r>
            <w:r>
              <w:rPr>
                <w:color w:val="323E4F" w:themeColor="text2" w:themeShade="BF"/>
                <w:spacing w:val="-1"/>
                <w:sz w:val="18"/>
              </w:rPr>
              <w:t xml:space="preserve"> </w:t>
            </w:r>
            <w:r>
              <w:rPr>
                <w:color w:val="323E4F" w:themeColor="text2" w:themeShade="BF"/>
                <w:sz w:val="18"/>
              </w:rPr>
              <w:t>resource.</w:t>
            </w:r>
          </w:p>
          <w:p w14:paraId="09DB385E" w14:textId="77777777" w:rsidR="000D5AB3" w:rsidRDefault="000D5AB3">
            <w:pPr>
              <w:pStyle w:val="TableParagraph"/>
              <w:spacing w:before="7"/>
              <w:jc w:val="both"/>
              <w:rPr>
                <w:rFonts w:ascii="Times New Roman"/>
                <w:color w:val="323E4F" w:themeColor="text2" w:themeShade="BF"/>
                <w:sz w:val="20"/>
              </w:rPr>
            </w:pPr>
          </w:p>
          <w:p w14:paraId="3A0E1869" w14:textId="77777777" w:rsidR="000D5AB3" w:rsidRDefault="000D5AB3">
            <w:pPr>
              <w:pStyle w:val="TableParagraph"/>
              <w:ind w:left="-1"/>
              <w:jc w:val="both"/>
              <w:rPr>
                <w:b/>
                <w:i/>
                <w:color w:val="323E4F" w:themeColor="text2" w:themeShade="BF"/>
                <w:sz w:val="18"/>
              </w:rPr>
            </w:pPr>
            <w:r>
              <w:rPr>
                <w:b/>
                <w:i/>
                <w:color w:val="323E4F" w:themeColor="text2" w:themeShade="BF"/>
                <w:sz w:val="18"/>
              </w:rPr>
              <w:t>Notices and Regulations:</w:t>
            </w:r>
          </w:p>
          <w:p w14:paraId="49CB38B4" w14:textId="77777777" w:rsidR="000D5AB3" w:rsidRDefault="000D5AB3">
            <w:pPr>
              <w:pStyle w:val="TableParagraph"/>
              <w:numPr>
                <w:ilvl w:val="0"/>
                <w:numId w:val="12"/>
              </w:numPr>
              <w:tabs>
                <w:tab w:val="left" w:pos="720"/>
              </w:tabs>
              <w:spacing w:before="26" w:line="268" w:lineRule="auto"/>
              <w:ind w:right="166"/>
              <w:jc w:val="both"/>
              <w:rPr>
                <w:color w:val="323E4F" w:themeColor="text2" w:themeShade="BF"/>
                <w:sz w:val="18"/>
              </w:rPr>
            </w:pPr>
            <w:r>
              <w:rPr>
                <w:color w:val="323E4F" w:themeColor="text2" w:themeShade="BF"/>
                <w:sz w:val="18"/>
              </w:rPr>
              <w:t>Engaging in a Controlled Activity, identified as such in Section 37(1)(a): Irrigation of any Land with Waster or Water containing Waste generated through any Industrial Activity or by a Waterwork, GN 665 in GG 36820, 06</w:t>
            </w:r>
            <w:r>
              <w:rPr>
                <w:color w:val="323E4F" w:themeColor="text2" w:themeShade="BF"/>
                <w:spacing w:val="-9"/>
                <w:sz w:val="18"/>
              </w:rPr>
              <w:t xml:space="preserve"> </w:t>
            </w:r>
            <w:r>
              <w:rPr>
                <w:color w:val="323E4F" w:themeColor="text2" w:themeShade="BF"/>
                <w:sz w:val="18"/>
              </w:rPr>
              <w:t>September</w:t>
            </w:r>
            <w:r>
              <w:rPr>
                <w:color w:val="323E4F" w:themeColor="text2" w:themeShade="BF"/>
                <w:spacing w:val="-9"/>
                <w:sz w:val="18"/>
              </w:rPr>
              <w:t xml:space="preserve"> </w:t>
            </w:r>
            <w:r>
              <w:rPr>
                <w:color w:val="323E4F" w:themeColor="text2" w:themeShade="BF"/>
                <w:sz w:val="18"/>
              </w:rPr>
              <w:t>2013.General</w:t>
            </w:r>
            <w:r>
              <w:rPr>
                <w:color w:val="323E4F" w:themeColor="text2" w:themeShade="BF"/>
                <w:spacing w:val="-9"/>
                <w:sz w:val="18"/>
              </w:rPr>
              <w:t xml:space="preserve"> </w:t>
            </w:r>
            <w:r>
              <w:rPr>
                <w:color w:val="323E4F" w:themeColor="text2" w:themeShade="BF"/>
                <w:sz w:val="18"/>
              </w:rPr>
              <w:t>Authorisation</w:t>
            </w:r>
            <w:r>
              <w:rPr>
                <w:color w:val="323E4F" w:themeColor="text2" w:themeShade="BF"/>
                <w:spacing w:val="-11"/>
                <w:sz w:val="18"/>
              </w:rPr>
              <w:t xml:space="preserve"> </w:t>
            </w:r>
            <w:r>
              <w:rPr>
                <w:color w:val="323E4F" w:themeColor="text2" w:themeShade="BF"/>
                <w:sz w:val="18"/>
              </w:rPr>
              <w:t>in</w:t>
            </w:r>
            <w:r>
              <w:rPr>
                <w:color w:val="323E4F" w:themeColor="text2" w:themeShade="BF"/>
                <w:spacing w:val="-9"/>
                <w:sz w:val="18"/>
              </w:rPr>
              <w:t xml:space="preserve"> </w:t>
            </w:r>
            <w:r>
              <w:rPr>
                <w:color w:val="323E4F" w:themeColor="text2" w:themeShade="BF"/>
                <w:sz w:val="18"/>
              </w:rPr>
              <w:t>terms</w:t>
            </w:r>
            <w:r>
              <w:rPr>
                <w:color w:val="323E4F" w:themeColor="text2" w:themeShade="BF"/>
                <w:spacing w:val="-8"/>
                <w:sz w:val="18"/>
              </w:rPr>
              <w:t xml:space="preserve"> </w:t>
            </w:r>
            <w:r>
              <w:rPr>
                <w:color w:val="323E4F" w:themeColor="text2" w:themeShade="BF"/>
                <w:sz w:val="18"/>
              </w:rPr>
              <w:t>of</w:t>
            </w:r>
            <w:r>
              <w:rPr>
                <w:color w:val="323E4F" w:themeColor="text2" w:themeShade="BF"/>
                <w:spacing w:val="-11"/>
                <w:sz w:val="18"/>
              </w:rPr>
              <w:t xml:space="preserve"> </w:t>
            </w:r>
            <w:r>
              <w:rPr>
                <w:color w:val="323E4F" w:themeColor="text2" w:themeShade="BF"/>
                <w:sz w:val="18"/>
              </w:rPr>
              <w:t>Section</w:t>
            </w:r>
            <w:r>
              <w:rPr>
                <w:color w:val="323E4F" w:themeColor="text2" w:themeShade="BF"/>
                <w:spacing w:val="-11"/>
                <w:sz w:val="18"/>
              </w:rPr>
              <w:t xml:space="preserve"> </w:t>
            </w:r>
            <w:r>
              <w:rPr>
                <w:color w:val="323E4F" w:themeColor="text2" w:themeShade="BF"/>
                <w:sz w:val="18"/>
              </w:rPr>
              <w:t>39</w:t>
            </w:r>
            <w:r>
              <w:rPr>
                <w:color w:val="323E4F" w:themeColor="text2" w:themeShade="BF"/>
                <w:spacing w:val="-9"/>
                <w:sz w:val="18"/>
              </w:rPr>
              <w:t xml:space="preserve"> </w:t>
            </w:r>
            <w:r>
              <w:rPr>
                <w:color w:val="323E4F" w:themeColor="text2" w:themeShade="BF"/>
                <w:sz w:val="18"/>
              </w:rPr>
              <w:t>of</w:t>
            </w:r>
            <w:r>
              <w:rPr>
                <w:color w:val="323E4F" w:themeColor="text2" w:themeShade="BF"/>
                <w:spacing w:val="-11"/>
                <w:sz w:val="18"/>
              </w:rPr>
              <w:t xml:space="preserve"> </w:t>
            </w:r>
            <w:r>
              <w:rPr>
                <w:color w:val="323E4F" w:themeColor="text2" w:themeShade="BF"/>
                <w:sz w:val="18"/>
              </w:rPr>
              <w:t>the</w:t>
            </w:r>
            <w:r>
              <w:rPr>
                <w:color w:val="323E4F" w:themeColor="text2" w:themeShade="BF"/>
                <w:spacing w:val="-5"/>
                <w:sz w:val="18"/>
              </w:rPr>
              <w:t xml:space="preserve"> </w:t>
            </w:r>
            <w:r>
              <w:rPr>
                <w:color w:val="323E4F" w:themeColor="text2" w:themeShade="BF"/>
                <w:sz w:val="18"/>
              </w:rPr>
              <w:t>NWA, Water Uses Section 21 (c) and (i) (GN 509 in GG 40229, 26 August</w:t>
            </w:r>
            <w:r>
              <w:rPr>
                <w:color w:val="323E4F" w:themeColor="text2" w:themeShade="BF"/>
                <w:spacing w:val="-19"/>
                <w:sz w:val="18"/>
              </w:rPr>
              <w:t xml:space="preserve"> </w:t>
            </w:r>
            <w:r>
              <w:rPr>
                <w:color w:val="323E4F" w:themeColor="text2" w:themeShade="BF"/>
                <w:sz w:val="18"/>
              </w:rPr>
              <w:t>2016).</w:t>
            </w:r>
          </w:p>
          <w:p w14:paraId="144B32F3" w14:textId="77777777" w:rsidR="000D5AB3" w:rsidRDefault="000D5AB3">
            <w:pPr>
              <w:pStyle w:val="TableParagraph"/>
              <w:numPr>
                <w:ilvl w:val="0"/>
                <w:numId w:val="12"/>
              </w:numPr>
              <w:tabs>
                <w:tab w:val="left" w:pos="720"/>
              </w:tabs>
              <w:spacing w:line="268" w:lineRule="auto"/>
              <w:ind w:right="166"/>
              <w:jc w:val="both"/>
              <w:rPr>
                <w:color w:val="323E4F" w:themeColor="text2" w:themeShade="BF"/>
                <w:sz w:val="18"/>
              </w:rPr>
            </w:pPr>
            <w:r>
              <w:rPr>
                <w:color w:val="323E4F" w:themeColor="text2" w:themeShade="BF"/>
                <w:sz w:val="18"/>
              </w:rPr>
              <w:t>General Authorisation in terms of Section 39 of the National Water Act (Act No. 36 of 1998, Water Uses Section 21 (a) and (b) - GN 538 in GG 40243, 02 September</w:t>
            </w:r>
            <w:r>
              <w:rPr>
                <w:color w:val="323E4F" w:themeColor="text2" w:themeShade="BF"/>
                <w:spacing w:val="-1"/>
                <w:sz w:val="18"/>
              </w:rPr>
              <w:t xml:space="preserve"> </w:t>
            </w:r>
            <w:r>
              <w:rPr>
                <w:color w:val="323E4F" w:themeColor="text2" w:themeShade="BF"/>
                <w:sz w:val="18"/>
              </w:rPr>
              <w:t>2016).</w:t>
            </w:r>
          </w:p>
          <w:p w14:paraId="23EE5AC9" w14:textId="77777777" w:rsidR="000D5AB3" w:rsidRDefault="000D5AB3">
            <w:pPr>
              <w:pStyle w:val="TableParagraph"/>
              <w:numPr>
                <w:ilvl w:val="0"/>
                <w:numId w:val="12"/>
              </w:numPr>
              <w:tabs>
                <w:tab w:val="left" w:pos="720"/>
              </w:tabs>
              <w:spacing w:line="268" w:lineRule="auto"/>
              <w:ind w:right="168"/>
              <w:jc w:val="both"/>
              <w:rPr>
                <w:color w:val="323E4F" w:themeColor="text2" w:themeShade="BF"/>
                <w:sz w:val="18"/>
              </w:rPr>
            </w:pPr>
            <w:r>
              <w:rPr>
                <w:color w:val="323E4F" w:themeColor="text2" w:themeShade="BF"/>
                <w:sz w:val="18"/>
              </w:rPr>
              <w:t>Water Quality Management Series Operational Guideline No. U2.1 Aide Memoire for the Preparation of a Water Quality Management Report to Support</w:t>
            </w:r>
            <w:r>
              <w:rPr>
                <w:color w:val="323E4F" w:themeColor="text2" w:themeShade="BF"/>
                <w:spacing w:val="-14"/>
                <w:sz w:val="18"/>
              </w:rPr>
              <w:t xml:space="preserve"> </w:t>
            </w:r>
            <w:r>
              <w:rPr>
                <w:color w:val="323E4F" w:themeColor="text2" w:themeShade="BF"/>
                <w:sz w:val="18"/>
              </w:rPr>
              <w:t>for</w:t>
            </w:r>
            <w:r>
              <w:rPr>
                <w:color w:val="323E4F" w:themeColor="text2" w:themeShade="BF"/>
                <w:spacing w:val="-13"/>
                <w:sz w:val="18"/>
              </w:rPr>
              <w:t xml:space="preserve"> </w:t>
            </w:r>
            <w:r>
              <w:rPr>
                <w:color w:val="323E4F" w:themeColor="text2" w:themeShade="BF"/>
                <w:sz w:val="18"/>
              </w:rPr>
              <w:t>the</w:t>
            </w:r>
            <w:r>
              <w:rPr>
                <w:color w:val="323E4F" w:themeColor="text2" w:themeShade="BF"/>
                <w:spacing w:val="-14"/>
                <w:sz w:val="18"/>
              </w:rPr>
              <w:t xml:space="preserve"> </w:t>
            </w:r>
            <w:r>
              <w:rPr>
                <w:color w:val="323E4F" w:themeColor="text2" w:themeShade="BF"/>
                <w:sz w:val="18"/>
              </w:rPr>
              <w:t>Application</w:t>
            </w:r>
            <w:r>
              <w:rPr>
                <w:color w:val="323E4F" w:themeColor="text2" w:themeShade="BF"/>
                <w:spacing w:val="-13"/>
                <w:sz w:val="18"/>
              </w:rPr>
              <w:t xml:space="preserve"> </w:t>
            </w:r>
            <w:r>
              <w:rPr>
                <w:color w:val="323E4F" w:themeColor="text2" w:themeShade="BF"/>
                <w:sz w:val="18"/>
              </w:rPr>
              <w:t>for</w:t>
            </w:r>
            <w:r>
              <w:rPr>
                <w:color w:val="323E4F" w:themeColor="text2" w:themeShade="BF"/>
                <w:spacing w:val="-15"/>
                <w:sz w:val="18"/>
              </w:rPr>
              <w:t xml:space="preserve"> </w:t>
            </w:r>
            <w:r>
              <w:rPr>
                <w:color w:val="323E4F" w:themeColor="text2" w:themeShade="BF"/>
                <w:sz w:val="18"/>
              </w:rPr>
              <w:t>Licences</w:t>
            </w:r>
            <w:r>
              <w:rPr>
                <w:color w:val="323E4F" w:themeColor="text2" w:themeShade="BF"/>
                <w:spacing w:val="-13"/>
                <w:sz w:val="18"/>
              </w:rPr>
              <w:t xml:space="preserve"> </w:t>
            </w:r>
            <w:r>
              <w:rPr>
                <w:color w:val="323E4F" w:themeColor="text2" w:themeShade="BF"/>
                <w:sz w:val="18"/>
              </w:rPr>
              <w:t>for</w:t>
            </w:r>
            <w:r>
              <w:rPr>
                <w:color w:val="323E4F" w:themeColor="text2" w:themeShade="BF"/>
                <w:spacing w:val="-13"/>
                <w:sz w:val="18"/>
              </w:rPr>
              <w:t xml:space="preserve"> </w:t>
            </w:r>
            <w:r>
              <w:rPr>
                <w:color w:val="323E4F" w:themeColor="text2" w:themeShade="BF"/>
                <w:sz w:val="18"/>
              </w:rPr>
              <w:t>Sewage</w:t>
            </w:r>
            <w:r>
              <w:rPr>
                <w:color w:val="323E4F" w:themeColor="text2" w:themeShade="BF"/>
                <w:spacing w:val="-14"/>
                <w:sz w:val="18"/>
              </w:rPr>
              <w:t xml:space="preserve"> </w:t>
            </w:r>
            <w:r>
              <w:rPr>
                <w:color w:val="323E4F" w:themeColor="text2" w:themeShade="BF"/>
                <w:sz w:val="18"/>
              </w:rPr>
              <w:t>Treatment</w:t>
            </w:r>
            <w:r>
              <w:rPr>
                <w:color w:val="323E4F" w:themeColor="text2" w:themeShade="BF"/>
                <w:spacing w:val="-13"/>
                <w:sz w:val="18"/>
              </w:rPr>
              <w:t xml:space="preserve"> </w:t>
            </w:r>
            <w:r>
              <w:rPr>
                <w:color w:val="323E4F" w:themeColor="text2" w:themeShade="BF"/>
                <w:sz w:val="18"/>
              </w:rPr>
              <w:t>Works</w:t>
            </w:r>
            <w:r>
              <w:rPr>
                <w:color w:val="323E4F" w:themeColor="text2" w:themeShade="BF"/>
                <w:spacing w:val="-12"/>
                <w:sz w:val="18"/>
              </w:rPr>
              <w:t xml:space="preserve"> </w:t>
            </w:r>
            <w:r>
              <w:rPr>
                <w:color w:val="323E4F" w:themeColor="text2" w:themeShade="BF"/>
                <w:sz w:val="18"/>
              </w:rPr>
              <w:t>in</w:t>
            </w:r>
            <w:r>
              <w:rPr>
                <w:color w:val="323E4F" w:themeColor="text2" w:themeShade="BF"/>
                <w:spacing w:val="-14"/>
                <w:sz w:val="18"/>
              </w:rPr>
              <w:t xml:space="preserve"> </w:t>
            </w:r>
            <w:r>
              <w:rPr>
                <w:color w:val="323E4F" w:themeColor="text2" w:themeShade="BF"/>
                <w:sz w:val="18"/>
              </w:rPr>
              <w:t>terms of the Requirements of the</w:t>
            </w:r>
            <w:r>
              <w:rPr>
                <w:color w:val="323E4F" w:themeColor="text2" w:themeShade="BF"/>
                <w:spacing w:val="-2"/>
                <w:sz w:val="18"/>
              </w:rPr>
              <w:t xml:space="preserve"> </w:t>
            </w:r>
            <w:r>
              <w:rPr>
                <w:color w:val="323E4F" w:themeColor="text2" w:themeShade="BF"/>
                <w:sz w:val="18"/>
              </w:rPr>
              <w:t>NWA.</w:t>
            </w:r>
          </w:p>
        </w:tc>
      </w:tr>
      <w:tr w:rsidR="000D5AB3" w14:paraId="2B785EFF" w14:textId="77777777" w:rsidTr="00917F04">
        <w:tblPrEx>
          <w:tblCellSpacing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trHeight w:val="264"/>
        </w:trPr>
        <w:tc>
          <w:tcPr>
            <w:tcW w:w="1203" w:type="pct"/>
            <w:tcBorders>
              <w:top w:val="single" w:sz="8" w:space="0" w:color="FFFFFF"/>
              <w:left w:val="nil"/>
              <w:bottom w:val="single" w:sz="8" w:space="0" w:color="FFFFFF"/>
              <w:right w:val="single" w:sz="8" w:space="0" w:color="FFFFFF"/>
            </w:tcBorders>
            <w:shd w:val="clear" w:color="auto" w:fill="B1E7FF"/>
          </w:tcPr>
          <w:p w14:paraId="2EC070A4" w14:textId="77777777" w:rsidR="000D5AB3" w:rsidRDefault="000D5AB3">
            <w:pPr>
              <w:pStyle w:val="TableParagraph"/>
              <w:jc w:val="both"/>
              <w:rPr>
                <w:rFonts w:ascii="Times New Roman"/>
                <w:color w:val="323E4F" w:themeColor="text2" w:themeShade="BF"/>
                <w:sz w:val="20"/>
              </w:rPr>
            </w:pPr>
          </w:p>
          <w:p w14:paraId="27ADFDE0" w14:textId="77777777" w:rsidR="000D5AB3" w:rsidRDefault="000D5AB3">
            <w:pPr>
              <w:pStyle w:val="TableParagraph"/>
              <w:jc w:val="both"/>
              <w:rPr>
                <w:rFonts w:ascii="Times New Roman"/>
                <w:color w:val="323E4F" w:themeColor="text2" w:themeShade="BF"/>
                <w:sz w:val="20"/>
              </w:rPr>
            </w:pPr>
          </w:p>
          <w:p w14:paraId="58F139FD" w14:textId="77777777" w:rsidR="000D5AB3" w:rsidRDefault="000D5AB3">
            <w:pPr>
              <w:pStyle w:val="TableParagraph"/>
              <w:jc w:val="both"/>
              <w:rPr>
                <w:rFonts w:ascii="Times New Roman"/>
                <w:color w:val="323E4F" w:themeColor="text2" w:themeShade="BF"/>
                <w:sz w:val="20"/>
              </w:rPr>
            </w:pPr>
          </w:p>
          <w:p w14:paraId="394A80EB" w14:textId="77777777" w:rsidR="000D5AB3" w:rsidRDefault="000D5AB3">
            <w:pPr>
              <w:pStyle w:val="TableParagraph"/>
              <w:jc w:val="both"/>
              <w:rPr>
                <w:rFonts w:ascii="Times New Roman"/>
                <w:color w:val="323E4F" w:themeColor="text2" w:themeShade="BF"/>
                <w:sz w:val="20"/>
              </w:rPr>
            </w:pPr>
          </w:p>
          <w:p w14:paraId="7A408152" w14:textId="77777777" w:rsidR="000D5AB3" w:rsidRDefault="000D5AB3">
            <w:pPr>
              <w:pStyle w:val="TableParagraph"/>
              <w:jc w:val="both"/>
              <w:rPr>
                <w:rFonts w:ascii="Times New Roman"/>
                <w:color w:val="323E4F" w:themeColor="text2" w:themeShade="BF"/>
                <w:sz w:val="20"/>
              </w:rPr>
            </w:pPr>
          </w:p>
          <w:p w14:paraId="17AE31B5" w14:textId="77777777" w:rsidR="000D5AB3" w:rsidRDefault="000D5AB3">
            <w:pPr>
              <w:pStyle w:val="TableParagraph"/>
              <w:jc w:val="both"/>
              <w:rPr>
                <w:rFonts w:ascii="Times New Roman"/>
                <w:color w:val="323E4F" w:themeColor="text2" w:themeShade="BF"/>
                <w:sz w:val="20"/>
              </w:rPr>
            </w:pPr>
          </w:p>
          <w:p w14:paraId="10B5BD9B" w14:textId="77777777" w:rsidR="000D5AB3" w:rsidRDefault="000D5AB3">
            <w:pPr>
              <w:pStyle w:val="TableParagraph"/>
              <w:spacing w:before="10"/>
              <w:jc w:val="both"/>
              <w:rPr>
                <w:rFonts w:ascii="Times New Roman"/>
                <w:color w:val="323E4F" w:themeColor="text2" w:themeShade="BF"/>
                <w:sz w:val="16"/>
              </w:rPr>
            </w:pPr>
          </w:p>
          <w:p w14:paraId="27379669" w14:textId="77777777" w:rsidR="000D5AB3" w:rsidRDefault="000D5AB3">
            <w:pPr>
              <w:pStyle w:val="TableParagraph"/>
              <w:spacing w:line="268" w:lineRule="auto"/>
              <w:ind w:right="39"/>
              <w:jc w:val="both"/>
              <w:rPr>
                <w:color w:val="323E4F" w:themeColor="text2" w:themeShade="BF"/>
                <w:sz w:val="18"/>
              </w:rPr>
            </w:pPr>
            <w:r>
              <w:rPr>
                <w:color w:val="323E4F" w:themeColor="text2" w:themeShade="BF"/>
                <w:sz w:val="18"/>
              </w:rPr>
              <w:t>National Environmental Management: Waste Act (Act No. 59 of 2008) as amended</w:t>
            </w:r>
          </w:p>
        </w:tc>
        <w:tc>
          <w:tcPr>
            <w:tcW w:w="3775" w:type="pct"/>
            <w:gridSpan w:val="2"/>
            <w:tcBorders>
              <w:top w:val="single" w:sz="8" w:space="0" w:color="FFFFFF"/>
              <w:left w:val="single" w:sz="8" w:space="0" w:color="FFFFFF"/>
              <w:bottom w:val="single" w:sz="8" w:space="0" w:color="FFFFFF"/>
              <w:right w:val="nil"/>
            </w:tcBorders>
            <w:shd w:val="clear" w:color="auto" w:fill="B1E7FF"/>
          </w:tcPr>
          <w:p w14:paraId="1A920F57" w14:textId="77777777" w:rsidR="000D5AB3" w:rsidRDefault="000D5AB3">
            <w:pPr>
              <w:pStyle w:val="TableParagraph"/>
              <w:spacing w:before="57"/>
              <w:ind w:left="-1"/>
              <w:jc w:val="both"/>
              <w:rPr>
                <w:b/>
                <w:i/>
                <w:color w:val="323E4F" w:themeColor="text2" w:themeShade="BF"/>
                <w:sz w:val="18"/>
              </w:rPr>
            </w:pPr>
            <w:r>
              <w:rPr>
                <w:b/>
                <w:i/>
                <w:color w:val="323E4F" w:themeColor="text2" w:themeShade="BF"/>
                <w:sz w:val="18"/>
              </w:rPr>
              <w:t>Objectives:</w:t>
            </w:r>
          </w:p>
          <w:p w14:paraId="7063443C" w14:textId="77777777" w:rsidR="000D5AB3" w:rsidRDefault="000D5AB3">
            <w:pPr>
              <w:pStyle w:val="TableParagraph"/>
              <w:spacing w:before="26" w:line="268" w:lineRule="auto"/>
              <w:ind w:left="-1" w:right="172"/>
              <w:jc w:val="both"/>
              <w:rPr>
                <w:color w:val="323E4F" w:themeColor="text2" w:themeShade="BF"/>
                <w:sz w:val="18"/>
              </w:rPr>
            </w:pPr>
            <w:r>
              <w:rPr>
                <w:color w:val="323E4F" w:themeColor="text2" w:themeShade="BF"/>
                <w:sz w:val="18"/>
              </w:rPr>
              <w:t>The</w:t>
            </w:r>
            <w:r>
              <w:rPr>
                <w:color w:val="323E4F" w:themeColor="text2" w:themeShade="BF"/>
                <w:spacing w:val="-9"/>
                <w:sz w:val="18"/>
              </w:rPr>
              <w:t xml:space="preserve"> </w:t>
            </w:r>
            <w:r>
              <w:rPr>
                <w:color w:val="323E4F" w:themeColor="text2" w:themeShade="BF"/>
                <w:sz w:val="18"/>
              </w:rPr>
              <w:t>NEM:WA</w:t>
            </w:r>
            <w:r>
              <w:rPr>
                <w:color w:val="323E4F" w:themeColor="text2" w:themeShade="BF"/>
                <w:spacing w:val="-9"/>
                <w:sz w:val="18"/>
              </w:rPr>
              <w:t xml:space="preserve"> </w:t>
            </w:r>
            <w:r>
              <w:rPr>
                <w:color w:val="323E4F" w:themeColor="text2" w:themeShade="BF"/>
                <w:sz w:val="18"/>
              </w:rPr>
              <w:t>and</w:t>
            </w:r>
            <w:r>
              <w:rPr>
                <w:color w:val="323E4F" w:themeColor="text2" w:themeShade="BF"/>
                <w:spacing w:val="-9"/>
                <w:sz w:val="18"/>
              </w:rPr>
              <w:t xml:space="preserve"> </w:t>
            </w:r>
            <w:r>
              <w:rPr>
                <w:color w:val="323E4F" w:themeColor="text2" w:themeShade="BF"/>
                <w:sz w:val="18"/>
              </w:rPr>
              <w:t>Regulations,</w:t>
            </w:r>
            <w:r>
              <w:rPr>
                <w:color w:val="323E4F" w:themeColor="text2" w:themeShade="BF"/>
                <w:spacing w:val="-9"/>
                <w:sz w:val="18"/>
              </w:rPr>
              <w:t xml:space="preserve"> </w:t>
            </w:r>
            <w:r>
              <w:rPr>
                <w:color w:val="323E4F" w:themeColor="text2" w:themeShade="BF"/>
                <w:sz w:val="18"/>
              </w:rPr>
              <w:t>reforms</w:t>
            </w:r>
            <w:r>
              <w:rPr>
                <w:color w:val="323E4F" w:themeColor="text2" w:themeShade="BF"/>
                <w:spacing w:val="-10"/>
                <w:sz w:val="18"/>
              </w:rPr>
              <w:t xml:space="preserve"> </w:t>
            </w:r>
            <w:r>
              <w:rPr>
                <w:color w:val="323E4F" w:themeColor="text2" w:themeShade="BF"/>
                <w:sz w:val="18"/>
              </w:rPr>
              <w:t>the</w:t>
            </w:r>
            <w:r>
              <w:rPr>
                <w:color w:val="323E4F" w:themeColor="text2" w:themeShade="BF"/>
                <w:spacing w:val="-11"/>
                <w:sz w:val="18"/>
              </w:rPr>
              <w:t xml:space="preserve"> </w:t>
            </w:r>
            <w:r>
              <w:rPr>
                <w:color w:val="323E4F" w:themeColor="text2" w:themeShade="BF"/>
                <w:sz w:val="18"/>
              </w:rPr>
              <w:t>law</w:t>
            </w:r>
            <w:r>
              <w:rPr>
                <w:color w:val="323E4F" w:themeColor="text2" w:themeShade="BF"/>
                <w:spacing w:val="-10"/>
                <w:sz w:val="18"/>
              </w:rPr>
              <w:t xml:space="preserve"> </w:t>
            </w:r>
            <w:r>
              <w:rPr>
                <w:color w:val="323E4F" w:themeColor="text2" w:themeShade="BF"/>
                <w:sz w:val="18"/>
              </w:rPr>
              <w:t>regulating</w:t>
            </w:r>
            <w:r>
              <w:rPr>
                <w:color w:val="323E4F" w:themeColor="text2" w:themeShade="BF"/>
                <w:spacing w:val="-9"/>
                <w:sz w:val="18"/>
              </w:rPr>
              <w:t xml:space="preserve"> </w:t>
            </w:r>
            <w:r>
              <w:rPr>
                <w:color w:val="323E4F" w:themeColor="text2" w:themeShade="BF"/>
                <w:sz w:val="18"/>
              </w:rPr>
              <w:t>waste</w:t>
            </w:r>
            <w:r>
              <w:rPr>
                <w:color w:val="323E4F" w:themeColor="text2" w:themeShade="BF"/>
                <w:spacing w:val="-11"/>
                <w:sz w:val="18"/>
              </w:rPr>
              <w:t xml:space="preserve"> </w:t>
            </w:r>
            <w:r>
              <w:rPr>
                <w:color w:val="323E4F" w:themeColor="text2" w:themeShade="BF"/>
                <w:sz w:val="18"/>
              </w:rPr>
              <w:t>management</w:t>
            </w:r>
            <w:r>
              <w:rPr>
                <w:color w:val="323E4F" w:themeColor="text2" w:themeShade="BF"/>
                <w:spacing w:val="-11"/>
                <w:sz w:val="18"/>
              </w:rPr>
              <w:t xml:space="preserve"> </w:t>
            </w:r>
            <w:r>
              <w:rPr>
                <w:color w:val="323E4F" w:themeColor="text2" w:themeShade="BF"/>
                <w:sz w:val="18"/>
              </w:rPr>
              <w:t>in</w:t>
            </w:r>
            <w:r>
              <w:rPr>
                <w:color w:val="323E4F" w:themeColor="text2" w:themeShade="BF"/>
                <w:spacing w:val="-11"/>
                <w:sz w:val="18"/>
              </w:rPr>
              <w:t xml:space="preserve"> </w:t>
            </w:r>
            <w:r>
              <w:rPr>
                <w:color w:val="323E4F" w:themeColor="text2" w:themeShade="BF"/>
                <w:sz w:val="18"/>
              </w:rPr>
              <w:t>order to protect health and the environment by providing reasonable measures for the prevention of pollution and ecological degradation and for securing ecologically sustainable development; to provide for institutional arrangements and planning matters;</w:t>
            </w:r>
            <w:r>
              <w:rPr>
                <w:color w:val="323E4F" w:themeColor="text2" w:themeShade="BF"/>
                <w:spacing w:val="-8"/>
                <w:sz w:val="18"/>
              </w:rPr>
              <w:t xml:space="preserve"> </w:t>
            </w:r>
            <w:r>
              <w:rPr>
                <w:color w:val="323E4F" w:themeColor="text2" w:themeShade="BF"/>
                <w:sz w:val="18"/>
              </w:rPr>
              <w:t>to</w:t>
            </w:r>
            <w:r>
              <w:rPr>
                <w:color w:val="323E4F" w:themeColor="text2" w:themeShade="BF"/>
                <w:spacing w:val="-8"/>
                <w:sz w:val="18"/>
              </w:rPr>
              <w:t xml:space="preserve"> </w:t>
            </w:r>
            <w:r>
              <w:rPr>
                <w:color w:val="323E4F" w:themeColor="text2" w:themeShade="BF"/>
                <w:sz w:val="18"/>
              </w:rPr>
              <w:t>provide</w:t>
            </w:r>
            <w:r>
              <w:rPr>
                <w:color w:val="323E4F" w:themeColor="text2" w:themeShade="BF"/>
                <w:spacing w:val="-6"/>
                <w:sz w:val="18"/>
              </w:rPr>
              <w:t xml:space="preserve"> </w:t>
            </w:r>
            <w:r>
              <w:rPr>
                <w:color w:val="323E4F" w:themeColor="text2" w:themeShade="BF"/>
                <w:sz w:val="18"/>
              </w:rPr>
              <w:t>for</w:t>
            </w:r>
            <w:r>
              <w:rPr>
                <w:color w:val="323E4F" w:themeColor="text2" w:themeShade="BF"/>
                <w:spacing w:val="-7"/>
                <w:sz w:val="18"/>
              </w:rPr>
              <w:t xml:space="preserve"> </w:t>
            </w:r>
            <w:r>
              <w:rPr>
                <w:color w:val="323E4F" w:themeColor="text2" w:themeShade="BF"/>
                <w:sz w:val="18"/>
              </w:rPr>
              <w:t>national</w:t>
            </w:r>
            <w:r>
              <w:rPr>
                <w:color w:val="323E4F" w:themeColor="text2" w:themeShade="BF"/>
                <w:spacing w:val="-9"/>
                <w:sz w:val="18"/>
              </w:rPr>
              <w:t xml:space="preserve"> </w:t>
            </w:r>
            <w:r>
              <w:rPr>
                <w:color w:val="323E4F" w:themeColor="text2" w:themeShade="BF"/>
                <w:sz w:val="18"/>
              </w:rPr>
              <w:t>norms</w:t>
            </w:r>
            <w:r>
              <w:rPr>
                <w:color w:val="323E4F" w:themeColor="text2" w:themeShade="BF"/>
                <w:spacing w:val="-6"/>
                <w:sz w:val="18"/>
              </w:rPr>
              <w:t xml:space="preserve"> </w:t>
            </w:r>
            <w:r>
              <w:rPr>
                <w:color w:val="323E4F" w:themeColor="text2" w:themeShade="BF"/>
                <w:sz w:val="18"/>
              </w:rPr>
              <w:t>and</w:t>
            </w:r>
            <w:r>
              <w:rPr>
                <w:color w:val="323E4F" w:themeColor="text2" w:themeShade="BF"/>
                <w:spacing w:val="-10"/>
                <w:sz w:val="18"/>
              </w:rPr>
              <w:t xml:space="preserve"> </w:t>
            </w:r>
            <w:r>
              <w:rPr>
                <w:color w:val="323E4F" w:themeColor="text2" w:themeShade="BF"/>
                <w:sz w:val="18"/>
              </w:rPr>
              <w:t>standards</w:t>
            </w:r>
            <w:r>
              <w:rPr>
                <w:color w:val="323E4F" w:themeColor="text2" w:themeShade="BF"/>
                <w:spacing w:val="-6"/>
                <w:sz w:val="18"/>
              </w:rPr>
              <w:t xml:space="preserve"> </w:t>
            </w:r>
            <w:r>
              <w:rPr>
                <w:color w:val="323E4F" w:themeColor="text2" w:themeShade="BF"/>
                <w:sz w:val="18"/>
              </w:rPr>
              <w:t>for</w:t>
            </w:r>
            <w:r>
              <w:rPr>
                <w:color w:val="323E4F" w:themeColor="text2" w:themeShade="BF"/>
                <w:spacing w:val="-7"/>
                <w:sz w:val="18"/>
              </w:rPr>
              <w:t xml:space="preserve"> </w:t>
            </w:r>
            <w:r>
              <w:rPr>
                <w:color w:val="323E4F" w:themeColor="text2" w:themeShade="BF"/>
                <w:sz w:val="18"/>
              </w:rPr>
              <w:t>regulating</w:t>
            </w:r>
            <w:r>
              <w:rPr>
                <w:color w:val="323E4F" w:themeColor="text2" w:themeShade="BF"/>
                <w:spacing w:val="-6"/>
                <w:sz w:val="18"/>
              </w:rPr>
              <w:t xml:space="preserve"> </w:t>
            </w:r>
            <w:r>
              <w:rPr>
                <w:color w:val="323E4F" w:themeColor="text2" w:themeShade="BF"/>
                <w:sz w:val="18"/>
              </w:rPr>
              <w:t>the</w:t>
            </w:r>
            <w:r>
              <w:rPr>
                <w:color w:val="323E4F" w:themeColor="text2" w:themeShade="BF"/>
                <w:spacing w:val="-6"/>
                <w:sz w:val="18"/>
              </w:rPr>
              <w:t xml:space="preserve"> </w:t>
            </w:r>
            <w:r>
              <w:rPr>
                <w:color w:val="323E4F" w:themeColor="text2" w:themeShade="BF"/>
                <w:sz w:val="18"/>
              </w:rPr>
              <w:t>management</w:t>
            </w:r>
            <w:r>
              <w:rPr>
                <w:color w:val="323E4F" w:themeColor="text2" w:themeShade="BF"/>
                <w:spacing w:val="-8"/>
                <w:sz w:val="18"/>
              </w:rPr>
              <w:t xml:space="preserve"> </w:t>
            </w:r>
            <w:r>
              <w:rPr>
                <w:color w:val="323E4F" w:themeColor="text2" w:themeShade="BF"/>
                <w:sz w:val="18"/>
              </w:rPr>
              <w:t>of waste by all spheres of government; to provide for specific waste management measures; to provide for the licencing and control of waste management activities; to provide for the remediation of contaminated land; to provide for the national waste information system; to provide for compliance and enforcement; and to provide for matters connected</w:t>
            </w:r>
            <w:r>
              <w:rPr>
                <w:color w:val="323E4F" w:themeColor="text2" w:themeShade="BF"/>
                <w:spacing w:val="-2"/>
                <w:sz w:val="18"/>
              </w:rPr>
              <w:t xml:space="preserve"> </w:t>
            </w:r>
            <w:r>
              <w:rPr>
                <w:color w:val="323E4F" w:themeColor="text2" w:themeShade="BF"/>
                <w:sz w:val="18"/>
              </w:rPr>
              <w:t>therewith.</w:t>
            </w:r>
          </w:p>
          <w:p w14:paraId="2B3DA484" w14:textId="77777777" w:rsidR="000D5AB3" w:rsidRDefault="000D5AB3">
            <w:pPr>
              <w:pStyle w:val="TableParagraph"/>
              <w:spacing w:before="2"/>
              <w:jc w:val="both"/>
              <w:rPr>
                <w:rFonts w:ascii="Times New Roman"/>
                <w:color w:val="323E4F" w:themeColor="text2" w:themeShade="BF"/>
                <w:sz w:val="20"/>
              </w:rPr>
            </w:pPr>
          </w:p>
          <w:p w14:paraId="76DD1306" w14:textId="77777777" w:rsidR="000D5AB3" w:rsidRDefault="000D5AB3">
            <w:pPr>
              <w:pStyle w:val="TableParagraph"/>
              <w:spacing w:line="266" w:lineRule="auto"/>
              <w:ind w:left="-1" w:right="175"/>
              <w:jc w:val="both"/>
              <w:rPr>
                <w:color w:val="323E4F" w:themeColor="text2" w:themeShade="BF"/>
                <w:sz w:val="18"/>
              </w:rPr>
            </w:pPr>
            <w:r>
              <w:rPr>
                <w:color w:val="323E4F" w:themeColor="text2" w:themeShade="BF"/>
                <w:sz w:val="18"/>
              </w:rPr>
              <w:t xml:space="preserve">No person may commence, </w:t>
            </w:r>
            <w:proofErr w:type="gramStart"/>
            <w:r>
              <w:rPr>
                <w:color w:val="323E4F" w:themeColor="text2" w:themeShade="BF"/>
                <w:sz w:val="18"/>
              </w:rPr>
              <w:t>undertake</w:t>
            </w:r>
            <w:proofErr w:type="gramEnd"/>
            <w:r>
              <w:rPr>
                <w:color w:val="323E4F" w:themeColor="text2" w:themeShade="BF"/>
                <w:sz w:val="18"/>
              </w:rPr>
              <w:t xml:space="preserve"> or conduct a waste management activity listed GN 921 (as amended) unless a licence is issued in respect of that activity.</w:t>
            </w:r>
          </w:p>
          <w:p w14:paraId="1A2FBA6E" w14:textId="77777777" w:rsidR="000D5AB3" w:rsidRDefault="000D5AB3">
            <w:pPr>
              <w:pStyle w:val="TableParagraph"/>
              <w:spacing w:line="266" w:lineRule="auto"/>
              <w:ind w:left="-1" w:right="175"/>
              <w:jc w:val="both"/>
              <w:rPr>
                <w:color w:val="323E4F" w:themeColor="text2" w:themeShade="BF"/>
                <w:sz w:val="18"/>
              </w:rPr>
            </w:pPr>
          </w:p>
          <w:p w14:paraId="340FBB25" w14:textId="77777777" w:rsidR="000D5AB3" w:rsidRDefault="000D5AB3">
            <w:pPr>
              <w:pStyle w:val="TableParagraph"/>
              <w:spacing w:before="37"/>
              <w:jc w:val="both"/>
              <w:rPr>
                <w:b/>
                <w:i/>
                <w:color w:val="323E4F" w:themeColor="text2" w:themeShade="BF"/>
                <w:sz w:val="18"/>
              </w:rPr>
            </w:pPr>
            <w:r>
              <w:rPr>
                <w:b/>
                <w:i/>
                <w:color w:val="323E4F" w:themeColor="text2" w:themeShade="BF"/>
                <w:sz w:val="18"/>
              </w:rPr>
              <w:t>Notices and Regulations:</w:t>
            </w:r>
          </w:p>
          <w:p w14:paraId="5A8B4239" w14:textId="77777777" w:rsidR="000D5AB3" w:rsidRDefault="000D5AB3">
            <w:pPr>
              <w:pStyle w:val="TableParagraph"/>
              <w:spacing w:line="266" w:lineRule="auto"/>
              <w:ind w:left="-1" w:right="175"/>
              <w:jc w:val="both"/>
              <w:rPr>
                <w:color w:val="323E4F" w:themeColor="text2" w:themeShade="BF"/>
                <w:sz w:val="18"/>
              </w:rPr>
            </w:pPr>
            <w:r>
              <w:rPr>
                <w:color w:val="323E4F" w:themeColor="text2" w:themeShade="BF"/>
                <w:sz w:val="18"/>
              </w:rPr>
              <w:t xml:space="preserve">GN 921 of 29 November 2013 (as amended in 2015 and 2017). No person may commence, </w:t>
            </w:r>
            <w:proofErr w:type="gramStart"/>
            <w:r>
              <w:rPr>
                <w:color w:val="323E4F" w:themeColor="text2" w:themeShade="BF"/>
                <w:sz w:val="18"/>
              </w:rPr>
              <w:t>undertake</w:t>
            </w:r>
            <w:proofErr w:type="gramEnd"/>
            <w:r>
              <w:rPr>
                <w:color w:val="323E4F" w:themeColor="text2" w:themeShade="BF"/>
                <w:sz w:val="18"/>
              </w:rPr>
              <w:t xml:space="preserve"> or conduct a waste management activity listed GN 921 (as amended) unless a license is issued in respect of that</w:t>
            </w:r>
            <w:r>
              <w:rPr>
                <w:color w:val="323E4F" w:themeColor="text2" w:themeShade="BF"/>
                <w:spacing w:val="-21"/>
                <w:sz w:val="18"/>
              </w:rPr>
              <w:t xml:space="preserve"> </w:t>
            </w:r>
            <w:r>
              <w:rPr>
                <w:color w:val="323E4F" w:themeColor="text2" w:themeShade="BF"/>
                <w:sz w:val="18"/>
              </w:rPr>
              <w:t>activity.</w:t>
            </w:r>
          </w:p>
        </w:tc>
      </w:tr>
      <w:tr w:rsidR="000D5AB3" w14:paraId="659DC987" w14:textId="77777777" w:rsidTr="00917F04">
        <w:tblPrEx>
          <w:tblCellSpacing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trHeight w:val="607"/>
        </w:trPr>
        <w:tc>
          <w:tcPr>
            <w:tcW w:w="1203" w:type="pct"/>
            <w:tcBorders>
              <w:top w:val="single" w:sz="8" w:space="0" w:color="FFFFFF"/>
              <w:left w:val="nil"/>
              <w:bottom w:val="single" w:sz="8" w:space="0" w:color="FFFFFF"/>
              <w:right w:val="single" w:sz="8" w:space="0" w:color="FFFFFF"/>
            </w:tcBorders>
            <w:shd w:val="clear" w:color="auto" w:fill="B1E7FF"/>
          </w:tcPr>
          <w:p w14:paraId="43E131C1" w14:textId="77777777" w:rsidR="000D5AB3" w:rsidRDefault="000D5AB3">
            <w:pPr>
              <w:pStyle w:val="TableParagraph"/>
              <w:jc w:val="both"/>
              <w:rPr>
                <w:rFonts w:ascii="Times New Roman"/>
                <w:color w:val="323E4F" w:themeColor="text2" w:themeShade="BF"/>
                <w:sz w:val="20"/>
              </w:rPr>
            </w:pPr>
          </w:p>
          <w:p w14:paraId="313EA024" w14:textId="77777777" w:rsidR="000D5AB3" w:rsidRDefault="000D5AB3">
            <w:pPr>
              <w:pStyle w:val="TableParagraph"/>
              <w:jc w:val="both"/>
              <w:rPr>
                <w:rFonts w:ascii="Times New Roman"/>
                <w:color w:val="323E4F" w:themeColor="text2" w:themeShade="BF"/>
                <w:sz w:val="20"/>
              </w:rPr>
            </w:pPr>
          </w:p>
          <w:p w14:paraId="489E84D8" w14:textId="77777777" w:rsidR="000D5AB3" w:rsidRDefault="000D5AB3">
            <w:pPr>
              <w:pStyle w:val="TableParagraph"/>
              <w:jc w:val="both"/>
              <w:rPr>
                <w:rFonts w:ascii="Times New Roman"/>
                <w:color w:val="323E4F" w:themeColor="text2" w:themeShade="BF"/>
                <w:sz w:val="20"/>
              </w:rPr>
            </w:pPr>
          </w:p>
          <w:p w14:paraId="045B306F" w14:textId="77777777" w:rsidR="000D5AB3" w:rsidRDefault="000D5AB3">
            <w:pPr>
              <w:pStyle w:val="TableParagraph"/>
              <w:jc w:val="both"/>
              <w:rPr>
                <w:rFonts w:ascii="Times New Roman"/>
                <w:color w:val="323E4F" w:themeColor="text2" w:themeShade="BF"/>
                <w:sz w:val="20"/>
              </w:rPr>
            </w:pPr>
          </w:p>
          <w:p w14:paraId="395DD443" w14:textId="77777777" w:rsidR="000D5AB3" w:rsidRDefault="000D5AB3">
            <w:pPr>
              <w:pStyle w:val="TableParagraph"/>
              <w:spacing w:before="6"/>
              <w:jc w:val="both"/>
              <w:rPr>
                <w:rFonts w:ascii="Times New Roman"/>
                <w:color w:val="323E4F" w:themeColor="text2" w:themeShade="BF"/>
                <w:sz w:val="27"/>
              </w:rPr>
            </w:pPr>
          </w:p>
          <w:p w14:paraId="5FA4E22F" w14:textId="77777777" w:rsidR="000D5AB3" w:rsidRDefault="000D5AB3">
            <w:pPr>
              <w:pStyle w:val="TableParagraph"/>
              <w:jc w:val="both"/>
              <w:rPr>
                <w:rFonts w:ascii="Times New Roman"/>
                <w:color w:val="323E4F" w:themeColor="text2" w:themeShade="BF"/>
                <w:sz w:val="20"/>
              </w:rPr>
            </w:pPr>
            <w:r>
              <w:rPr>
                <w:color w:val="323E4F" w:themeColor="text2" w:themeShade="BF"/>
                <w:sz w:val="18"/>
              </w:rPr>
              <w:t>National Environmental Management: Air Quality Act (Act No. 39 of 2004)</w:t>
            </w:r>
          </w:p>
        </w:tc>
        <w:tc>
          <w:tcPr>
            <w:tcW w:w="3775" w:type="pct"/>
            <w:gridSpan w:val="2"/>
            <w:tcBorders>
              <w:top w:val="single" w:sz="8" w:space="0" w:color="FFFFFF"/>
              <w:left w:val="single" w:sz="8" w:space="0" w:color="FFFFFF"/>
              <w:bottom w:val="single" w:sz="8" w:space="0" w:color="FFFFFF"/>
              <w:right w:val="nil"/>
            </w:tcBorders>
            <w:shd w:val="clear" w:color="auto" w:fill="B1E7FF"/>
          </w:tcPr>
          <w:p w14:paraId="538608BA" w14:textId="77777777" w:rsidR="000D5AB3" w:rsidRDefault="000D5AB3">
            <w:pPr>
              <w:pStyle w:val="TableParagraph"/>
              <w:spacing w:before="56" w:line="268" w:lineRule="auto"/>
              <w:ind w:left="-1" w:right="139"/>
              <w:jc w:val="both"/>
              <w:rPr>
                <w:color w:val="323E4F" w:themeColor="text2" w:themeShade="BF"/>
                <w:sz w:val="18"/>
              </w:rPr>
            </w:pPr>
            <w:r>
              <w:rPr>
                <w:color w:val="323E4F" w:themeColor="text2" w:themeShade="BF"/>
                <w:sz w:val="18"/>
              </w:rPr>
              <w:t>The National Environmental Management: Air Quality Act (Act No. 39 of 2004) [NEM: AQA) repeals the Air Pollution Prevention Act (Act No. 45 of 1965) in its entirety. The purpose</w:t>
            </w:r>
            <w:r>
              <w:rPr>
                <w:color w:val="323E4F" w:themeColor="text2" w:themeShade="BF"/>
                <w:spacing w:val="-13"/>
                <w:sz w:val="18"/>
              </w:rPr>
              <w:t xml:space="preserve"> </w:t>
            </w:r>
            <w:r>
              <w:rPr>
                <w:color w:val="323E4F" w:themeColor="text2" w:themeShade="BF"/>
                <w:sz w:val="18"/>
              </w:rPr>
              <w:t>of</w:t>
            </w:r>
            <w:r>
              <w:rPr>
                <w:color w:val="323E4F" w:themeColor="text2" w:themeShade="BF"/>
                <w:spacing w:val="-14"/>
                <w:sz w:val="18"/>
              </w:rPr>
              <w:t xml:space="preserve"> </w:t>
            </w:r>
            <w:r>
              <w:rPr>
                <w:color w:val="323E4F" w:themeColor="text2" w:themeShade="BF"/>
                <w:sz w:val="18"/>
              </w:rPr>
              <w:t>the</w:t>
            </w:r>
            <w:r>
              <w:rPr>
                <w:color w:val="323E4F" w:themeColor="text2" w:themeShade="BF"/>
                <w:spacing w:val="-13"/>
                <w:sz w:val="18"/>
              </w:rPr>
              <w:t xml:space="preserve"> </w:t>
            </w:r>
            <w:r>
              <w:rPr>
                <w:color w:val="323E4F" w:themeColor="text2" w:themeShade="BF"/>
                <w:sz w:val="18"/>
              </w:rPr>
              <w:t>Air</w:t>
            </w:r>
            <w:r>
              <w:rPr>
                <w:color w:val="323E4F" w:themeColor="text2" w:themeShade="BF"/>
                <w:spacing w:val="-14"/>
                <w:sz w:val="18"/>
              </w:rPr>
              <w:t xml:space="preserve"> </w:t>
            </w:r>
            <w:r>
              <w:rPr>
                <w:color w:val="323E4F" w:themeColor="text2" w:themeShade="BF"/>
                <w:sz w:val="18"/>
              </w:rPr>
              <w:t>Quality</w:t>
            </w:r>
            <w:r>
              <w:rPr>
                <w:color w:val="323E4F" w:themeColor="text2" w:themeShade="BF"/>
                <w:spacing w:val="-11"/>
                <w:sz w:val="18"/>
              </w:rPr>
              <w:t xml:space="preserve"> </w:t>
            </w:r>
            <w:r>
              <w:rPr>
                <w:color w:val="323E4F" w:themeColor="text2" w:themeShade="BF"/>
                <w:sz w:val="18"/>
              </w:rPr>
              <w:t>Act</w:t>
            </w:r>
            <w:r>
              <w:rPr>
                <w:color w:val="323E4F" w:themeColor="text2" w:themeShade="BF"/>
                <w:spacing w:val="-14"/>
                <w:sz w:val="18"/>
              </w:rPr>
              <w:t xml:space="preserve"> </w:t>
            </w:r>
            <w:r>
              <w:rPr>
                <w:color w:val="323E4F" w:themeColor="text2" w:themeShade="BF"/>
                <w:sz w:val="18"/>
              </w:rPr>
              <w:t>is</w:t>
            </w:r>
            <w:r>
              <w:rPr>
                <w:color w:val="323E4F" w:themeColor="text2" w:themeShade="BF"/>
                <w:spacing w:val="-11"/>
                <w:sz w:val="18"/>
              </w:rPr>
              <w:t xml:space="preserve"> </w:t>
            </w:r>
            <w:r>
              <w:rPr>
                <w:color w:val="323E4F" w:themeColor="text2" w:themeShade="BF"/>
                <w:sz w:val="18"/>
              </w:rPr>
              <w:t>to</w:t>
            </w:r>
            <w:r>
              <w:rPr>
                <w:color w:val="323E4F" w:themeColor="text2" w:themeShade="BF"/>
                <w:spacing w:val="-11"/>
                <w:sz w:val="18"/>
              </w:rPr>
              <w:t xml:space="preserve"> </w:t>
            </w:r>
            <w:r>
              <w:rPr>
                <w:color w:val="323E4F" w:themeColor="text2" w:themeShade="BF"/>
                <w:sz w:val="18"/>
              </w:rPr>
              <w:t>reform</w:t>
            </w:r>
            <w:r>
              <w:rPr>
                <w:color w:val="323E4F" w:themeColor="text2" w:themeShade="BF"/>
                <w:spacing w:val="-12"/>
                <w:sz w:val="18"/>
              </w:rPr>
              <w:t xml:space="preserve"> </w:t>
            </w:r>
            <w:r>
              <w:rPr>
                <w:color w:val="323E4F" w:themeColor="text2" w:themeShade="BF"/>
                <w:sz w:val="18"/>
              </w:rPr>
              <w:t>the</w:t>
            </w:r>
            <w:r>
              <w:rPr>
                <w:color w:val="323E4F" w:themeColor="text2" w:themeShade="BF"/>
                <w:spacing w:val="-13"/>
                <w:sz w:val="18"/>
              </w:rPr>
              <w:t xml:space="preserve"> </w:t>
            </w:r>
            <w:r>
              <w:rPr>
                <w:color w:val="323E4F" w:themeColor="text2" w:themeShade="BF"/>
                <w:sz w:val="18"/>
              </w:rPr>
              <w:t>law</w:t>
            </w:r>
            <w:r>
              <w:rPr>
                <w:color w:val="323E4F" w:themeColor="text2" w:themeShade="BF"/>
                <w:spacing w:val="-14"/>
                <w:sz w:val="18"/>
              </w:rPr>
              <w:t xml:space="preserve"> </w:t>
            </w:r>
            <w:r>
              <w:rPr>
                <w:color w:val="323E4F" w:themeColor="text2" w:themeShade="BF"/>
                <w:sz w:val="18"/>
              </w:rPr>
              <w:t>regulating</w:t>
            </w:r>
            <w:r>
              <w:rPr>
                <w:color w:val="323E4F" w:themeColor="text2" w:themeShade="BF"/>
                <w:spacing w:val="-13"/>
                <w:sz w:val="18"/>
              </w:rPr>
              <w:t xml:space="preserve"> </w:t>
            </w:r>
            <w:r>
              <w:rPr>
                <w:color w:val="323E4F" w:themeColor="text2" w:themeShade="BF"/>
                <w:sz w:val="18"/>
              </w:rPr>
              <w:t>air</w:t>
            </w:r>
            <w:r>
              <w:rPr>
                <w:color w:val="323E4F" w:themeColor="text2" w:themeShade="BF"/>
                <w:spacing w:val="-12"/>
                <w:sz w:val="18"/>
              </w:rPr>
              <w:t xml:space="preserve"> </w:t>
            </w:r>
            <w:r>
              <w:rPr>
                <w:color w:val="323E4F" w:themeColor="text2" w:themeShade="BF"/>
                <w:sz w:val="18"/>
              </w:rPr>
              <w:t>quality</w:t>
            </w:r>
            <w:r>
              <w:rPr>
                <w:color w:val="323E4F" w:themeColor="text2" w:themeShade="BF"/>
                <w:spacing w:val="-13"/>
                <w:sz w:val="18"/>
              </w:rPr>
              <w:t xml:space="preserve"> </w:t>
            </w:r>
            <w:proofErr w:type="gramStart"/>
            <w:r>
              <w:rPr>
                <w:color w:val="323E4F" w:themeColor="text2" w:themeShade="BF"/>
                <w:sz w:val="18"/>
              </w:rPr>
              <w:t>in</w:t>
            </w:r>
            <w:r>
              <w:rPr>
                <w:color w:val="323E4F" w:themeColor="text2" w:themeShade="BF"/>
                <w:spacing w:val="-13"/>
                <w:sz w:val="18"/>
              </w:rPr>
              <w:t xml:space="preserve"> </w:t>
            </w:r>
            <w:r>
              <w:rPr>
                <w:color w:val="323E4F" w:themeColor="text2" w:themeShade="BF"/>
                <w:sz w:val="18"/>
              </w:rPr>
              <w:t>order</w:t>
            </w:r>
            <w:r>
              <w:rPr>
                <w:color w:val="323E4F" w:themeColor="text2" w:themeShade="BF"/>
                <w:spacing w:val="-12"/>
                <w:sz w:val="18"/>
              </w:rPr>
              <w:t xml:space="preserve"> </w:t>
            </w:r>
            <w:r>
              <w:rPr>
                <w:color w:val="323E4F" w:themeColor="text2" w:themeShade="BF"/>
                <w:sz w:val="18"/>
              </w:rPr>
              <w:t>to</w:t>
            </w:r>
            <w:proofErr w:type="gramEnd"/>
            <w:r>
              <w:rPr>
                <w:color w:val="323E4F" w:themeColor="text2" w:themeShade="BF"/>
                <w:spacing w:val="-14"/>
                <w:sz w:val="18"/>
              </w:rPr>
              <w:t xml:space="preserve"> </w:t>
            </w:r>
            <w:r>
              <w:rPr>
                <w:color w:val="323E4F" w:themeColor="text2" w:themeShade="BF"/>
                <w:sz w:val="18"/>
              </w:rPr>
              <w:t>protect the environment by providing measures for the prevention of pollution and ecological degradation, while, promoting justifiable economic and social development. The Air Quality Act seeks to provide national standards regulating air quality monitoring management and</w:t>
            </w:r>
            <w:r>
              <w:rPr>
                <w:color w:val="323E4F" w:themeColor="text2" w:themeShade="BF"/>
                <w:spacing w:val="-5"/>
                <w:sz w:val="18"/>
              </w:rPr>
              <w:t xml:space="preserve"> </w:t>
            </w:r>
            <w:r>
              <w:rPr>
                <w:color w:val="323E4F" w:themeColor="text2" w:themeShade="BF"/>
                <w:sz w:val="18"/>
              </w:rPr>
              <w:t>control.</w:t>
            </w:r>
          </w:p>
          <w:p w14:paraId="5809B7BD" w14:textId="77777777" w:rsidR="000D5AB3" w:rsidRDefault="000D5AB3">
            <w:pPr>
              <w:pStyle w:val="TableParagraph"/>
              <w:spacing w:before="3"/>
              <w:ind w:right="139"/>
              <w:jc w:val="both"/>
              <w:rPr>
                <w:rFonts w:ascii="Times New Roman"/>
                <w:color w:val="323E4F" w:themeColor="text2" w:themeShade="BF"/>
                <w:sz w:val="20"/>
              </w:rPr>
            </w:pPr>
          </w:p>
          <w:p w14:paraId="07DAA448" w14:textId="77777777" w:rsidR="000D5AB3" w:rsidRDefault="000D5AB3">
            <w:pPr>
              <w:pStyle w:val="TableParagraph"/>
              <w:ind w:left="-1" w:right="139"/>
              <w:jc w:val="both"/>
              <w:rPr>
                <w:b/>
                <w:i/>
                <w:color w:val="323E4F" w:themeColor="text2" w:themeShade="BF"/>
                <w:sz w:val="18"/>
              </w:rPr>
            </w:pPr>
            <w:r>
              <w:rPr>
                <w:b/>
                <w:i/>
                <w:color w:val="323E4F" w:themeColor="text2" w:themeShade="BF"/>
                <w:sz w:val="18"/>
              </w:rPr>
              <w:t>Notices and Regulations:</w:t>
            </w:r>
          </w:p>
          <w:p w14:paraId="69DD10BB" w14:textId="77777777" w:rsidR="000D5AB3" w:rsidRDefault="000D5AB3">
            <w:pPr>
              <w:pStyle w:val="TableParagraph"/>
              <w:numPr>
                <w:ilvl w:val="0"/>
                <w:numId w:val="14"/>
              </w:numPr>
              <w:tabs>
                <w:tab w:val="left" w:pos="720"/>
              </w:tabs>
              <w:spacing w:before="28" w:line="266" w:lineRule="auto"/>
              <w:ind w:right="139"/>
              <w:jc w:val="both"/>
              <w:rPr>
                <w:color w:val="323E4F" w:themeColor="text2" w:themeShade="BF"/>
                <w:sz w:val="18"/>
              </w:rPr>
            </w:pPr>
            <w:r>
              <w:rPr>
                <w:color w:val="323E4F" w:themeColor="text2" w:themeShade="BF"/>
                <w:sz w:val="18"/>
              </w:rPr>
              <w:t>National</w:t>
            </w:r>
            <w:r>
              <w:rPr>
                <w:color w:val="323E4F" w:themeColor="text2" w:themeShade="BF"/>
                <w:spacing w:val="-14"/>
                <w:sz w:val="18"/>
              </w:rPr>
              <w:t xml:space="preserve"> </w:t>
            </w:r>
            <w:r>
              <w:rPr>
                <w:color w:val="323E4F" w:themeColor="text2" w:themeShade="BF"/>
                <w:sz w:val="18"/>
              </w:rPr>
              <w:t>Ambient</w:t>
            </w:r>
            <w:r>
              <w:rPr>
                <w:color w:val="323E4F" w:themeColor="text2" w:themeShade="BF"/>
                <w:spacing w:val="-13"/>
                <w:sz w:val="18"/>
              </w:rPr>
              <w:t xml:space="preserve"> </w:t>
            </w:r>
            <w:r>
              <w:rPr>
                <w:color w:val="323E4F" w:themeColor="text2" w:themeShade="BF"/>
                <w:sz w:val="18"/>
              </w:rPr>
              <w:t>Air</w:t>
            </w:r>
            <w:r>
              <w:rPr>
                <w:color w:val="323E4F" w:themeColor="text2" w:themeShade="BF"/>
                <w:spacing w:val="-14"/>
                <w:sz w:val="18"/>
              </w:rPr>
              <w:t xml:space="preserve"> </w:t>
            </w:r>
            <w:r>
              <w:rPr>
                <w:color w:val="323E4F" w:themeColor="text2" w:themeShade="BF"/>
                <w:sz w:val="18"/>
              </w:rPr>
              <w:t>Quality</w:t>
            </w:r>
            <w:r>
              <w:rPr>
                <w:color w:val="323E4F" w:themeColor="text2" w:themeShade="BF"/>
                <w:spacing w:val="-14"/>
                <w:sz w:val="18"/>
              </w:rPr>
              <w:t xml:space="preserve"> </w:t>
            </w:r>
            <w:r>
              <w:rPr>
                <w:color w:val="323E4F" w:themeColor="text2" w:themeShade="BF"/>
                <w:sz w:val="18"/>
              </w:rPr>
              <w:t>Standards</w:t>
            </w:r>
            <w:r>
              <w:rPr>
                <w:color w:val="323E4F" w:themeColor="text2" w:themeShade="BF"/>
                <w:spacing w:val="-13"/>
                <w:sz w:val="18"/>
              </w:rPr>
              <w:t xml:space="preserve"> </w:t>
            </w:r>
            <w:r>
              <w:rPr>
                <w:color w:val="323E4F" w:themeColor="text2" w:themeShade="BF"/>
                <w:sz w:val="18"/>
              </w:rPr>
              <w:t>promulgated</w:t>
            </w:r>
            <w:r>
              <w:rPr>
                <w:color w:val="323E4F" w:themeColor="text2" w:themeShade="BF"/>
                <w:spacing w:val="-14"/>
                <w:sz w:val="18"/>
              </w:rPr>
              <w:t xml:space="preserve"> </w:t>
            </w:r>
            <w:r>
              <w:rPr>
                <w:color w:val="323E4F" w:themeColor="text2" w:themeShade="BF"/>
                <w:sz w:val="18"/>
              </w:rPr>
              <w:t>in</w:t>
            </w:r>
            <w:r>
              <w:rPr>
                <w:color w:val="323E4F" w:themeColor="text2" w:themeShade="BF"/>
                <w:spacing w:val="-13"/>
                <w:sz w:val="18"/>
              </w:rPr>
              <w:t xml:space="preserve"> </w:t>
            </w:r>
            <w:r>
              <w:rPr>
                <w:color w:val="323E4F" w:themeColor="text2" w:themeShade="BF"/>
                <w:sz w:val="18"/>
              </w:rPr>
              <w:t>GN</w:t>
            </w:r>
            <w:r>
              <w:rPr>
                <w:color w:val="323E4F" w:themeColor="text2" w:themeShade="BF"/>
                <w:spacing w:val="-15"/>
                <w:sz w:val="18"/>
              </w:rPr>
              <w:t xml:space="preserve"> </w:t>
            </w:r>
            <w:r>
              <w:rPr>
                <w:color w:val="323E4F" w:themeColor="text2" w:themeShade="BF"/>
                <w:sz w:val="18"/>
              </w:rPr>
              <w:t>1210</w:t>
            </w:r>
            <w:r>
              <w:rPr>
                <w:color w:val="323E4F" w:themeColor="text2" w:themeShade="BF"/>
                <w:spacing w:val="-8"/>
                <w:sz w:val="18"/>
              </w:rPr>
              <w:t xml:space="preserve"> </w:t>
            </w:r>
            <w:r>
              <w:rPr>
                <w:color w:val="323E4F" w:themeColor="text2" w:themeShade="BF"/>
                <w:sz w:val="18"/>
              </w:rPr>
              <w:t>in</w:t>
            </w:r>
            <w:r>
              <w:rPr>
                <w:color w:val="323E4F" w:themeColor="text2" w:themeShade="BF"/>
                <w:spacing w:val="-13"/>
                <w:sz w:val="18"/>
              </w:rPr>
              <w:t xml:space="preserve"> </w:t>
            </w:r>
            <w:r>
              <w:rPr>
                <w:color w:val="323E4F" w:themeColor="text2" w:themeShade="BF"/>
                <w:sz w:val="18"/>
              </w:rPr>
              <w:t>GG</w:t>
            </w:r>
            <w:r>
              <w:rPr>
                <w:color w:val="323E4F" w:themeColor="text2" w:themeShade="BF"/>
                <w:spacing w:val="-15"/>
                <w:sz w:val="18"/>
              </w:rPr>
              <w:t xml:space="preserve"> </w:t>
            </w:r>
            <w:r>
              <w:rPr>
                <w:color w:val="323E4F" w:themeColor="text2" w:themeShade="BF"/>
                <w:sz w:val="18"/>
              </w:rPr>
              <w:t>32816, 24 December</w:t>
            </w:r>
            <w:r>
              <w:rPr>
                <w:color w:val="323E4F" w:themeColor="text2" w:themeShade="BF"/>
                <w:spacing w:val="-1"/>
                <w:sz w:val="18"/>
              </w:rPr>
              <w:t xml:space="preserve"> </w:t>
            </w:r>
            <w:r>
              <w:rPr>
                <w:color w:val="323E4F" w:themeColor="text2" w:themeShade="BF"/>
                <w:sz w:val="18"/>
              </w:rPr>
              <w:t>2009.</w:t>
            </w:r>
          </w:p>
          <w:p w14:paraId="60D7C713" w14:textId="77777777" w:rsidR="000D5AB3" w:rsidRDefault="000D5AB3">
            <w:pPr>
              <w:pStyle w:val="TableParagraph"/>
              <w:numPr>
                <w:ilvl w:val="0"/>
                <w:numId w:val="14"/>
              </w:numPr>
              <w:tabs>
                <w:tab w:val="left" w:pos="720"/>
              </w:tabs>
              <w:spacing w:before="2" w:line="271" w:lineRule="auto"/>
              <w:ind w:right="139"/>
              <w:jc w:val="both"/>
              <w:rPr>
                <w:color w:val="323E4F" w:themeColor="text2" w:themeShade="BF"/>
                <w:sz w:val="18"/>
              </w:rPr>
            </w:pPr>
            <w:r>
              <w:rPr>
                <w:color w:val="323E4F" w:themeColor="text2" w:themeShade="BF"/>
                <w:sz w:val="18"/>
              </w:rPr>
              <w:t>National Dust Control Regulations published in GNR 827 in GG 36974, 01 November 2013.</w:t>
            </w:r>
          </w:p>
          <w:p w14:paraId="50FD0861" w14:textId="77777777" w:rsidR="000D5AB3" w:rsidRDefault="000D5AB3">
            <w:pPr>
              <w:pStyle w:val="TableParagraph"/>
              <w:numPr>
                <w:ilvl w:val="0"/>
                <w:numId w:val="14"/>
              </w:numPr>
              <w:tabs>
                <w:tab w:val="left" w:pos="720"/>
              </w:tabs>
              <w:spacing w:line="268" w:lineRule="auto"/>
              <w:ind w:right="139"/>
              <w:jc w:val="both"/>
              <w:rPr>
                <w:color w:val="323E4F" w:themeColor="text2" w:themeShade="BF"/>
                <w:sz w:val="18"/>
              </w:rPr>
            </w:pPr>
            <w:r>
              <w:rPr>
                <w:color w:val="323E4F" w:themeColor="text2" w:themeShade="BF"/>
                <w:sz w:val="18"/>
              </w:rPr>
              <w:t>Declaration of a Small Boiler as a Controlled Emitter and Establishment of Emission Standards and Establishment of Emission Standards, GN 831 in GG 36973, 01 November</w:t>
            </w:r>
            <w:r>
              <w:rPr>
                <w:color w:val="323E4F" w:themeColor="text2" w:themeShade="BF"/>
                <w:spacing w:val="-4"/>
                <w:sz w:val="18"/>
              </w:rPr>
              <w:t xml:space="preserve"> </w:t>
            </w:r>
            <w:r>
              <w:rPr>
                <w:color w:val="323E4F" w:themeColor="text2" w:themeShade="BF"/>
                <w:sz w:val="18"/>
              </w:rPr>
              <w:t>2013.</w:t>
            </w:r>
          </w:p>
          <w:p w14:paraId="16376155" w14:textId="77777777" w:rsidR="000D5AB3" w:rsidRDefault="000D5AB3">
            <w:pPr>
              <w:pStyle w:val="TableParagraph"/>
              <w:numPr>
                <w:ilvl w:val="0"/>
                <w:numId w:val="14"/>
              </w:numPr>
              <w:tabs>
                <w:tab w:val="left" w:pos="720"/>
              </w:tabs>
              <w:spacing w:line="268" w:lineRule="auto"/>
              <w:ind w:right="139"/>
              <w:jc w:val="both"/>
              <w:rPr>
                <w:color w:val="323E4F" w:themeColor="text2" w:themeShade="BF"/>
                <w:sz w:val="18"/>
              </w:rPr>
            </w:pPr>
            <w:r>
              <w:rPr>
                <w:color w:val="323E4F" w:themeColor="text2" w:themeShade="BF"/>
                <w:sz w:val="18"/>
              </w:rPr>
              <w:t>Listed</w:t>
            </w:r>
            <w:r>
              <w:rPr>
                <w:color w:val="323E4F" w:themeColor="text2" w:themeShade="BF"/>
                <w:spacing w:val="-10"/>
                <w:sz w:val="18"/>
              </w:rPr>
              <w:t xml:space="preserve"> </w:t>
            </w:r>
            <w:r>
              <w:rPr>
                <w:color w:val="323E4F" w:themeColor="text2" w:themeShade="BF"/>
                <w:sz w:val="18"/>
              </w:rPr>
              <w:t>Activities</w:t>
            </w:r>
            <w:r>
              <w:rPr>
                <w:color w:val="323E4F" w:themeColor="text2" w:themeShade="BF"/>
                <w:spacing w:val="-10"/>
                <w:sz w:val="18"/>
              </w:rPr>
              <w:t xml:space="preserve"> </w:t>
            </w:r>
            <w:r>
              <w:rPr>
                <w:color w:val="323E4F" w:themeColor="text2" w:themeShade="BF"/>
                <w:sz w:val="18"/>
              </w:rPr>
              <w:t>and</w:t>
            </w:r>
            <w:r>
              <w:rPr>
                <w:color w:val="323E4F" w:themeColor="text2" w:themeShade="BF"/>
                <w:spacing w:val="-10"/>
                <w:sz w:val="18"/>
              </w:rPr>
              <w:t xml:space="preserve"> </w:t>
            </w:r>
            <w:r>
              <w:rPr>
                <w:color w:val="323E4F" w:themeColor="text2" w:themeShade="BF"/>
                <w:sz w:val="18"/>
              </w:rPr>
              <w:t>Minimum</w:t>
            </w:r>
            <w:r>
              <w:rPr>
                <w:color w:val="323E4F" w:themeColor="text2" w:themeShade="BF"/>
                <w:spacing w:val="-11"/>
                <w:sz w:val="18"/>
              </w:rPr>
              <w:t xml:space="preserve"> </w:t>
            </w:r>
            <w:r>
              <w:rPr>
                <w:color w:val="323E4F" w:themeColor="text2" w:themeShade="BF"/>
                <w:sz w:val="18"/>
              </w:rPr>
              <w:t>National</w:t>
            </w:r>
            <w:r>
              <w:rPr>
                <w:color w:val="323E4F" w:themeColor="text2" w:themeShade="BF"/>
                <w:spacing w:val="-10"/>
                <w:sz w:val="18"/>
              </w:rPr>
              <w:t xml:space="preserve"> </w:t>
            </w:r>
            <w:r>
              <w:rPr>
                <w:color w:val="323E4F" w:themeColor="text2" w:themeShade="BF"/>
                <w:sz w:val="18"/>
              </w:rPr>
              <w:t>Emission</w:t>
            </w:r>
            <w:r>
              <w:rPr>
                <w:color w:val="323E4F" w:themeColor="text2" w:themeShade="BF"/>
                <w:spacing w:val="-10"/>
                <w:sz w:val="18"/>
              </w:rPr>
              <w:t xml:space="preserve"> </w:t>
            </w:r>
            <w:r>
              <w:rPr>
                <w:color w:val="323E4F" w:themeColor="text2" w:themeShade="BF"/>
                <w:sz w:val="18"/>
              </w:rPr>
              <w:t>Standards</w:t>
            </w:r>
            <w:r>
              <w:rPr>
                <w:color w:val="323E4F" w:themeColor="text2" w:themeShade="BF"/>
                <w:spacing w:val="-9"/>
                <w:sz w:val="18"/>
              </w:rPr>
              <w:t xml:space="preserve"> </w:t>
            </w:r>
            <w:r>
              <w:rPr>
                <w:color w:val="323E4F" w:themeColor="text2" w:themeShade="BF"/>
                <w:sz w:val="18"/>
              </w:rPr>
              <w:t>published</w:t>
            </w:r>
            <w:r>
              <w:rPr>
                <w:color w:val="323E4F" w:themeColor="text2" w:themeShade="BF"/>
                <w:spacing w:val="-10"/>
                <w:sz w:val="18"/>
              </w:rPr>
              <w:t xml:space="preserve"> </w:t>
            </w:r>
            <w:r>
              <w:rPr>
                <w:color w:val="323E4F" w:themeColor="text2" w:themeShade="BF"/>
                <w:sz w:val="18"/>
              </w:rPr>
              <w:t>in</w:t>
            </w:r>
            <w:r>
              <w:rPr>
                <w:color w:val="323E4F" w:themeColor="text2" w:themeShade="BF"/>
                <w:spacing w:val="-12"/>
                <w:sz w:val="18"/>
              </w:rPr>
              <w:t xml:space="preserve"> </w:t>
            </w:r>
            <w:r>
              <w:rPr>
                <w:color w:val="323E4F" w:themeColor="text2" w:themeShade="BF"/>
                <w:sz w:val="18"/>
              </w:rPr>
              <w:t>2013 (GN 893 in GG 37054) as amended by GN 551, 12 June 2015; GN 1207, 31 October 2018 and GN 687, 22 May</w:t>
            </w:r>
            <w:r>
              <w:rPr>
                <w:color w:val="323E4F" w:themeColor="text2" w:themeShade="BF"/>
                <w:spacing w:val="-7"/>
                <w:sz w:val="18"/>
              </w:rPr>
              <w:t xml:space="preserve"> </w:t>
            </w:r>
            <w:r>
              <w:rPr>
                <w:color w:val="323E4F" w:themeColor="text2" w:themeShade="BF"/>
                <w:sz w:val="18"/>
              </w:rPr>
              <w:t>2019).</w:t>
            </w:r>
          </w:p>
        </w:tc>
      </w:tr>
      <w:tr w:rsidR="000D5AB3" w14:paraId="36C11370" w14:textId="77777777" w:rsidTr="00917F04">
        <w:tblPrEx>
          <w:tblCellSpacing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trHeight w:val="607"/>
        </w:trPr>
        <w:tc>
          <w:tcPr>
            <w:tcW w:w="1203" w:type="pct"/>
            <w:tcBorders>
              <w:top w:val="single" w:sz="8" w:space="0" w:color="FFFFFF"/>
              <w:left w:val="nil"/>
              <w:bottom w:val="single" w:sz="8" w:space="0" w:color="FFFFFF"/>
              <w:right w:val="single" w:sz="8" w:space="0" w:color="FFFFFF"/>
            </w:tcBorders>
            <w:shd w:val="clear" w:color="auto" w:fill="B1E7FF"/>
          </w:tcPr>
          <w:p w14:paraId="71491D1A" w14:textId="77777777" w:rsidR="000D5AB3" w:rsidRDefault="000D5AB3">
            <w:pPr>
              <w:pStyle w:val="TableParagraph"/>
              <w:jc w:val="both"/>
              <w:rPr>
                <w:rFonts w:ascii="Times New Roman"/>
                <w:color w:val="323E4F" w:themeColor="text2" w:themeShade="BF"/>
                <w:sz w:val="20"/>
              </w:rPr>
            </w:pPr>
          </w:p>
          <w:p w14:paraId="1CEE5F37" w14:textId="77777777" w:rsidR="000D5AB3" w:rsidRDefault="000D5AB3">
            <w:pPr>
              <w:pStyle w:val="TableParagraph"/>
              <w:jc w:val="both"/>
              <w:rPr>
                <w:rFonts w:ascii="Times New Roman"/>
                <w:color w:val="323E4F" w:themeColor="text2" w:themeShade="BF"/>
                <w:sz w:val="20"/>
              </w:rPr>
            </w:pPr>
          </w:p>
          <w:p w14:paraId="7FC782B0" w14:textId="77777777" w:rsidR="000D5AB3" w:rsidRDefault="000D5AB3">
            <w:pPr>
              <w:pStyle w:val="TableParagraph"/>
              <w:jc w:val="both"/>
              <w:rPr>
                <w:rFonts w:ascii="Times New Roman"/>
                <w:color w:val="323E4F" w:themeColor="text2" w:themeShade="BF"/>
                <w:sz w:val="20"/>
              </w:rPr>
            </w:pPr>
          </w:p>
          <w:p w14:paraId="3AFA1949" w14:textId="77777777" w:rsidR="000D5AB3" w:rsidRDefault="000D5AB3">
            <w:pPr>
              <w:pStyle w:val="TableParagraph"/>
              <w:jc w:val="both"/>
              <w:rPr>
                <w:rFonts w:ascii="Times New Roman"/>
                <w:color w:val="323E4F" w:themeColor="text2" w:themeShade="BF"/>
                <w:sz w:val="20"/>
              </w:rPr>
            </w:pPr>
          </w:p>
          <w:p w14:paraId="27A8E8CD" w14:textId="77777777" w:rsidR="000D5AB3" w:rsidRDefault="000D5AB3">
            <w:pPr>
              <w:pStyle w:val="TableParagraph"/>
              <w:spacing w:before="5"/>
              <w:jc w:val="both"/>
              <w:rPr>
                <w:rFonts w:ascii="Times New Roman"/>
                <w:color w:val="323E4F" w:themeColor="text2" w:themeShade="BF"/>
                <w:sz w:val="25"/>
              </w:rPr>
            </w:pPr>
          </w:p>
          <w:p w14:paraId="15F7CDCD" w14:textId="77777777" w:rsidR="000D5AB3" w:rsidRDefault="000D5AB3">
            <w:pPr>
              <w:pStyle w:val="TableParagraph"/>
              <w:jc w:val="both"/>
              <w:rPr>
                <w:rFonts w:ascii="Times New Roman"/>
                <w:color w:val="323E4F" w:themeColor="text2" w:themeShade="BF"/>
                <w:sz w:val="20"/>
              </w:rPr>
            </w:pPr>
            <w:r>
              <w:rPr>
                <w:color w:val="323E4F" w:themeColor="text2" w:themeShade="BF"/>
                <w:sz w:val="18"/>
              </w:rPr>
              <w:t>National Environmental Management Biodiversity Act (Act No. 10 of 2004)</w:t>
            </w:r>
          </w:p>
        </w:tc>
        <w:tc>
          <w:tcPr>
            <w:tcW w:w="3775" w:type="pct"/>
            <w:gridSpan w:val="2"/>
            <w:tcBorders>
              <w:top w:val="single" w:sz="8" w:space="0" w:color="FFFFFF"/>
              <w:left w:val="single" w:sz="8" w:space="0" w:color="FFFFFF"/>
              <w:bottom w:val="single" w:sz="8" w:space="0" w:color="FFFFFF"/>
              <w:right w:val="nil"/>
            </w:tcBorders>
            <w:shd w:val="clear" w:color="auto" w:fill="B1E7FF"/>
          </w:tcPr>
          <w:p w14:paraId="5E9EF655" w14:textId="77777777" w:rsidR="000D5AB3" w:rsidRDefault="000D5AB3">
            <w:pPr>
              <w:pStyle w:val="TableParagraph"/>
              <w:spacing w:before="56"/>
              <w:ind w:left="-1" w:right="139"/>
              <w:jc w:val="both"/>
              <w:rPr>
                <w:b/>
                <w:i/>
                <w:color w:val="323E4F" w:themeColor="text2" w:themeShade="BF"/>
                <w:sz w:val="18"/>
              </w:rPr>
            </w:pPr>
            <w:r>
              <w:rPr>
                <w:b/>
                <w:i/>
                <w:color w:val="323E4F" w:themeColor="text2" w:themeShade="BF"/>
                <w:sz w:val="18"/>
              </w:rPr>
              <w:t>Objectives:</w:t>
            </w:r>
          </w:p>
          <w:p w14:paraId="135CF1F3" w14:textId="77777777" w:rsidR="000D5AB3" w:rsidRDefault="000D5AB3">
            <w:pPr>
              <w:pStyle w:val="TableParagraph"/>
              <w:spacing w:before="56" w:line="268" w:lineRule="auto"/>
              <w:ind w:left="-1" w:right="139"/>
              <w:jc w:val="both"/>
              <w:rPr>
                <w:color w:val="323E4F" w:themeColor="text2" w:themeShade="BF"/>
                <w:sz w:val="18"/>
              </w:rPr>
            </w:pPr>
            <w:r>
              <w:rPr>
                <w:color w:val="323E4F" w:themeColor="text2" w:themeShade="BF"/>
                <w:sz w:val="18"/>
              </w:rPr>
              <w:t>Provide for the protection of species and ecosystems that warrant national protection and the sustainable use of indigenous biological resources.</w:t>
            </w:r>
          </w:p>
          <w:p w14:paraId="6FBAAD4C" w14:textId="77777777" w:rsidR="000D5AB3" w:rsidRDefault="000D5AB3">
            <w:pPr>
              <w:pStyle w:val="TableParagraph"/>
              <w:spacing w:before="2"/>
              <w:ind w:right="139"/>
              <w:jc w:val="both"/>
              <w:rPr>
                <w:rFonts w:ascii="Times New Roman"/>
                <w:color w:val="323E4F" w:themeColor="text2" w:themeShade="BF"/>
                <w:sz w:val="20"/>
              </w:rPr>
            </w:pPr>
          </w:p>
          <w:p w14:paraId="67973B63" w14:textId="77777777" w:rsidR="000D5AB3" w:rsidRDefault="000D5AB3">
            <w:pPr>
              <w:pStyle w:val="TableParagraph"/>
              <w:ind w:left="-1" w:right="139"/>
              <w:jc w:val="both"/>
              <w:rPr>
                <w:b/>
                <w:i/>
                <w:color w:val="323E4F" w:themeColor="text2" w:themeShade="BF"/>
                <w:sz w:val="18"/>
              </w:rPr>
            </w:pPr>
            <w:r>
              <w:rPr>
                <w:b/>
                <w:i/>
                <w:color w:val="323E4F" w:themeColor="text2" w:themeShade="BF"/>
                <w:sz w:val="18"/>
              </w:rPr>
              <w:t>Notices and Regulations:</w:t>
            </w:r>
          </w:p>
          <w:p w14:paraId="2FCE2BB1" w14:textId="77777777" w:rsidR="000D5AB3" w:rsidRDefault="000D5AB3">
            <w:pPr>
              <w:pStyle w:val="TableParagraph"/>
              <w:numPr>
                <w:ilvl w:val="0"/>
                <w:numId w:val="16"/>
              </w:numPr>
              <w:tabs>
                <w:tab w:val="left" w:pos="720"/>
              </w:tabs>
              <w:spacing w:before="28"/>
              <w:ind w:right="139"/>
              <w:jc w:val="both"/>
              <w:rPr>
                <w:color w:val="323E4F" w:themeColor="text2" w:themeShade="BF"/>
                <w:sz w:val="18"/>
              </w:rPr>
            </w:pPr>
            <w:r>
              <w:rPr>
                <w:color w:val="323E4F" w:themeColor="text2" w:themeShade="BF"/>
                <w:sz w:val="18"/>
              </w:rPr>
              <w:t>National Biodiversity Strategy and Action Plan</w:t>
            </w:r>
            <w:r>
              <w:rPr>
                <w:color w:val="323E4F" w:themeColor="text2" w:themeShade="BF"/>
                <w:spacing w:val="-4"/>
                <w:sz w:val="18"/>
              </w:rPr>
              <w:t xml:space="preserve"> </w:t>
            </w:r>
            <w:r>
              <w:rPr>
                <w:color w:val="323E4F" w:themeColor="text2" w:themeShade="BF"/>
                <w:sz w:val="18"/>
              </w:rPr>
              <w:t>(2005).</w:t>
            </w:r>
          </w:p>
          <w:p w14:paraId="136F0044" w14:textId="77777777" w:rsidR="000D5AB3" w:rsidRDefault="000D5AB3">
            <w:pPr>
              <w:pStyle w:val="TableParagraph"/>
              <w:numPr>
                <w:ilvl w:val="0"/>
                <w:numId w:val="16"/>
              </w:numPr>
              <w:tabs>
                <w:tab w:val="left" w:pos="720"/>
              </w:tabs>
              <w:spacing w:before="26" w:line="268" w:lineRule="auto"/>
              <w:ind w:right="139"/>
              <w:jc w:val="both"/>
              <w:rPr>
                <w:color w:val="323E4F" w:themeColor="text2" w:themeShade="BF"/>
                <w:sz w:val="18"/>
              </w:rPr>
            </w:pPr>
            <w:r>
              <w:rPr>
                <w:color w:val="323E4F" w:themeColor="text2" w:themeShade="BF"/>
                <w:sz w:val="18"/>
              </w:rPr>
              <w:t>National List of Ecosystems that are Threatened and in Need of Protection in terms of Section 52(1)(a) of the National Environmental Management Biodiversity Act (Act No. 10 of 2004), GN 1002 in GG 34809, 09 December 2011.</w:t>
            </w:r>
          </w:p>
          <w:p w14:paraId="2469F7D0" w14:textId="77777777" w:rsidR="000D5AB3" w:rsidRDefault="000D5AB3">
            <w:pPr>
              <w:pStyle w:val="TableParagraph"/>
              <w:numPr>
                <w:ilvl w:val="0"/>
                <w:numId w:val="16"/>
              </w:numPr>
              <w:tabs>
                <w:tab w:val="left" w:pos="720"/>
              </w:tabs>
              <w:spacing w:before="1"/>
              <w:ind w:right="139"/>
              <w:jc w:val="both"/>
              <w:rPr>
                <w:color w:val="323E4F" w:themeColor="text2" w:themeShade="BF"/>
                <w:sz w:val="18"/>
              </w:rPr>
            </w:pPr>
            <w:r>
              <w:rPr>
                <w:color w:val="323E4F" w:themeColor="text2" w:themeShade="BF"/>
                <w:sz w:val="18"/>
              </w:rPr>
              <w:t>Threatened or protected species (GN 388 in GG 36375, 16 April</w:t>
            </w:r>
            <w:r>
              <w:rPr>
                <w:color w:val="323E4F" w:themeColor="text2" w:themeShade="BF"/>
                <w:spacing w:val="-20"/>
                <w:sz w:val="18"/>
              </w:rPr>
              <w:t xml:space="preserve"> </w:t>
            </w:r>
            <w:r>
              <w:rPr>
                <w:color w:val="323E4F" w:themeColor="text2" w:themeShade="BF"/>
                <w:sz w:val="18"/>
              </w:rPr>
              <w:t>2013).</w:t>
            </w:r>
          </w:p>
          <w:p w14:paraId="1054A881" w14:textId="77777777" w:rsidR="000D5AB3" w:rsidRDefault="000D5AB3">
            <w:pPr>
              <w:pStyle w:val="TableParagraph"/>
              <w:numPr>
                <w:ilvl w:val="0"/>
                <w:numId w:val="16"/>
              </w:numPr>
              <w:tabs>
                <w:tab w:val="left" w:pos="720"/>
              </w:tabs>
              <w:spacing w:before="26"/>
              <w:ind w:right="139"/>
              <w:jc w:val="both"/>
              <w:rPr>
                <w:color w:val="323E4F" w:themeColor="text2" w:themeShade="BF"/>
                <w:sz w:val="18"/>
              </w:rPr>
            </w:pPr>
            <w:r>
              <w:rPr>
                <w:color w:val="323E4F" w:themeColor="text2" w:themeShade="BF"/>
                <w:sz w:val="18"/>
              </w:rPr>
              <w:t>Alien</w:t>
            </w:r>
            <w:r>
              <w:rPr>
                <w:color w:val="323E4F" w:themeColor="text2" w:themeShade="BF"/>
                <w:spacing w:val="-9"/>
                <w:sz w:val="18"/>
              </w:rPr>
              <w:t xml:space="preserve"> </w:t>
            </w:r>
            <w:r>
              <w:rPr>
                <w:color w:val="323E4F" w:themeColor="text2" w:themeShade="BF"/>
                <w:sz w:val="18"/>
              </w:rPr>
              <w:t>and</w:t>
            </w:r>
            <w:r>
              <w:rPr>
                <w:color w:val="323E4F" w:themeColor="text2" w:themeShade="BF"/>
                <w:spacing w:val="-8"/>
                <w:sz w:val="18"/>
              </w:rPr>
              <w:t xml:space="preserve"> </w:t>
            </w:r>
            <w:r>
              <w:rPr>
                <w:color w:val="323E4F" w:themeColor="text2" w:themeShade="BF"/>
                <w:sz w:val="18"/>
              </w:rPr>
              <w:t>invasive</w:t>
            </w:r>
            <w:r>
              <w:rPr>
                <w:color w:val="323E4F" w:themeColor="text2" w:themeShade="BF"/>
                <w:spacing w:val="-11"/>
                <w:sz w:val="18"/>
              </w:rPr>
              <w:t xml:space="preserve"> </w:t>
            </w:r>
            <w:r>
              <w:rPr>
                <w:color w:val="323E4F" w:themeColor="text2" w:themeShade="BF"/>
                <w:sz w:val="18"/>
              </w:rPr>
              <w:t>species</w:t>
            </w:r>
            <w:r>
              <w:rPr>
                <w:color w:val="323E4F" w:themeColor="text2" w:themeShade="BF"/>
                <w:spacing w:val="-7"/>
                <w:sz w:val="18"/>
              </w:rPr>
              <w:t xml:space="preserve"> </w:t>
            </w:r>
            <w:r>
              <w:rPr>
                <w:color w:val="323E4F" w:themeColor="text2" w:themeShade="BF"/>
                <w:sz w:val="18"/>
              </w:rPr>
              <w:t>regulations</w:t>
            </w:r>
            <w:r>
              <w:rPr>
                <w:color w:val="323E4F" w:themeColor="text2" w:themeShade="BF"/>
                <w:spacing w:val="-8"/>
                <w:sz w:val="18"/>
              </w:rPr>
              <w:t xml:space="preserve"> </w:t>
            </w:r>
            <w:r>
              <w:rPr>
                <w:color w:val="323E4F" w:themeColor="text2" w:themeShade="BF"/>
                <w:sz w:val="18"/>
              </w:rPr>
              <w:t>(GNR</w:t>
            </w:r>
            <w:r>
              <w:rPr>
                <w:color w:val="323E4F" w:themeColor="text2" w:themeShade="BF"/>
                <w:spacing w:val="-9"/>
                <w:sz w:val="18"/>
              </w:rPr>
              <w:t xml:space="preserve"> </w:t>
            </w:r>
            <w:r>
              <w:rPr>
                <w:color w:val="323E4F" w:themeColor="text2" w:themeShade="BF"/>
                <w:sz w:val="18"/>
              </w:rPr>
              <w:t>506</w:t>
            </w:r>
            <w:r>
              <w:rPr>
                <w:color w:val="323E4F" w:themeColor="text2" w:themeShade="BF"/>
                <w:spacing w:val="-4"/>
                <w:sz w:val="18"/>
              </w:rPr>
              <w:t xml:space="preserve"> </w:t>
            </w:r>
            <w:r>
              <w:rPr>
                <w:color w:val="323E4F" w:themeColor="text2" w:themeShade="BF"/>
                <w:sz w:val="18"/>
              </w:rPr>
              <w:t>in</w:t>
            </w:r>
            <w:r>
              <w:rPr>
                <w:color w:val="323E4F" w:themeColor="text2" w:themeShade="BF"/>
                <w:spacing w:val="-9"/>
                <w:sz w:val="18"/>
              </w:rPr>
              <w:t xml:space="preserve"> </w:t>
            </w:r>
            <w:r>
              <w:rPr>
                <w:color w:val="323E4F" w:themeColor="text2" w:themeShade="BF"/>
                <w:sz w:val="18"/>
              </w:rPr>
              <w:t>GG</w:t>
            </w:r>
            <w:r>
              <w:rPr>
                <w:color w:val="323E4F" w:themeColor="text2" w:themeShade="BF"/>
                <w:spacing w:val="-9"/>
                <w:sz w:val="18"/>
              </w:rPr>
              <w:t xml:space="preserve"> </w:t>
            </w:r>
            <w:r>
              <w:rPr>
                <w:color w:val="323E4F" w:themeColor="text2" w:themeShade="BF"/>
                <w:sz w:val="18"/>
              </w:rPr>
              <w:t>36683,</w:t>
            </w:r>
            <w:r>
              <w:rPr>
                <w:color w:val="323E4F" w:themeColor="text2" w:themeShade="BF"/>
                <w:spacing w:val="-9"/>
                <w:sz w:val="18"/>
              </w:rPr>
              <w:t xml:space="preserve"> </w:t>
            </w:r>
            <w:r>
              <w:rPr>
                <w:color w:val="323E4F" w:themeColor="text2" w:themeShade="BF"/>
                <w:sz w:val="18"/>
              </w:rPr>
              <w:t>19</w:t>
            </w:r>
            <w:r>
              <w:rPr>
                <w:color w:val="323E4F" w:themeColor="text2" w:themeShade="BF"/>
                <w:spacing w:val="-8"/>
                <w:sz w:val="18"/>
              </w:rPr>
              <w:t xml:space="preserve"> </w:t>
            </w:r>
            <w:r>
              <w:rPr>
                <w:color w:val="323E4F" w:themeColor="text2" w:themeShade="BF"/>
                <w:sz w:val="18"/>
              </w:rPr>
              <w:t>July</w:t>
            </w:r>
            <w:r>
              <w:rPr>
                <w:color w:val="323E4F" w:themeColor="text2" w:themeShade="BF"/>
                <w:spacing w:val="-8"/>
                <w:sz w:val="18"/>
              </w:rPr>
              <w:t xml:space="preserve"> </w:t>
            </w:r>
            <w:r>
              <w:rPr>
                <w:color w:val="323E4F" w:themeColor="text2" w:themeShade="BF"/>
                <w:sz w:val="18"/>
              </w:rPr>
              <w:t>2013).</w:t>
            </w:r>
          </w:p>
          <w:p w14:paraId="1AD10A59" w14:textId="77777777" w:rsidR="000D5AB3" w:rsidRDefault="000D5AB3">
            <w:pPr>
              <w:pStyle w:val="TableParagraph"/>
              <w:numPr>
                <w:ilvl w:val="0"/>
                <w:numId w:val="16"/>
              </w:numPr>
              <w:tabs>
                <w:tab w:val="left" w:pos="720"/>
              </w:tabs>
              <w:spacing w:before="26"/>
              <w:ind w:right="139"/>
              <w:jc w:val="both"/>
              <w:rPr>
                <w:color w:val="323E4F" w:themeColor="text2" w:themeShade="BF"/>
                <w:sz w:val="18"/>
              </w:rPr>
            </w:pPr>
            <w:r>
              <w:rPr>
                <w:color w:val="323E4F" w:themeColor="text2" w:themeShade="BF"/>
                <w:sz w:val="18"/>
              </w:rPr>
              <w:t>Publication</w:t>
            </w:r>
            <w:r>
              <w:rPr>
                <w:color w:val="323E4F" w:themeColor="text2" w:themeShade="BF"/>
                <w:spacing w:val="-6"/>
                <w:sz w:val="18"/>
              </w:rPr>
              <w:t xml:space="preserve"> </w:t>
            </w:r>
            <w:r>
              <w:rPr>
                <w:color w:val="323E4F" w:themeColor="text2" w:themeShade="BF"/>
                <w:sz w:val="18"/>
              </w:rPr>
              <w:t>of</w:t>
            </w:r>
            <w:r>
              <w:rPr>
                <w:color w:val="323E4F" w:themeColor="text2" w:themeShade="BF"/>
                <w:spacing w:val="-6"/>
                <w:sz w:val="18"/>
              </w:rPr>
              <w:t xml:space="preserve"> </w:t>
            </w:r>
            <w:r>
              <w:rPr>
                <w:color w:val="323E4F" w:themeColor="text2" w:themeShade="BF"/>
                <w:sz w:val="18"/>
              </w:rPr>
              <w:t>exempted</w:t>
            </w:r>
            <w:r>
              <w:rPr>
                <w:color w:val="323E4F" w:themeColor="text2" w:themeShade="BF"/>
                <w:spacing w:val="-6"/>
                <w:sz w:val="18"/>
              </w:rPr>
              <w:t xml:space="preserve"> </w:t>
            </w:r>
            <w:r>
              <w:rPr>
                <w:color w:val="323E4F" w:themeColor="text2" w:themeShade="BF"/>
                <w:sz w:val="18"/>
              </w:rPr>
              <w:t>alien</w:t>
            </w:r>
            <w:r>
              <w:rPr>
                <w:color w:val="323E4F" w:themeColor="text2" w:themeShade="BF"/>
                <w:spacing w:val="-6"/>
                <w:sz w:val="18"/>
              </w:rPr>
              <w:t xml:space="preserve"> </w:t>
            </w:r>
            <w:r>
              <w:rPr>
                <w:color w:val="323E4F" w:themeColor="text2" w:themeShade="BF"/>
                <w:sz w:val="18"/>
              </w:rPr>
              <w:t>species</w:t>
            </w:r>
            <w:r>
              <w:rPr>
                <w:color w:val="323E4F" w:themeColor="text2" w:themeShade="BF"/>
                <w:spacing w:val="-3"/>
                <w:sz w:val="18"/>
              </w:rPr>
              <w:t xml:space="preserve"> </w:t>
            </w:r>
            <w:r>
              <w:rPr>
                <w:color w:val="323E4F" w:themeColor="text2" w:themeShade="BF"/>
                <w:sz w:val="18"/>
              </w:rPr>
              <w:t>(GNR</w:t>
            </w:r>
            <w:r>
              <w:rPr>
                <w:color w:val="323E4F" w:themeColor="text2" w:themeShade="BF"/>
                <w:spacing w:val="-8"/>
                <w:sz w:val="18"/>
              </w:rPr>
              <w:t xml:space="preserve"> </w:t>
            </w:r>
            <w:r>
              <w:rPr>
                <w:color w:val="323E4F" w:themeColor="text2" w:themeShade="BF"/>
                <w:sz w:val="18"/>
              </w:rPr>
              <w:t>509</w:t>
            </w:r>
            <w:r>
              <w:rPr>
                <w:color w:val="323E4F" w:themeColor="text2" w:themeShade="BF"/>
                <w:spacing w:val="-3"/>
                <w:sz w:val="18"/>
              </w:rPr>
              <w:t xml:space="preserve"> </w:t>
            </w:r>
            <w:r>
              <w:rPr>
                <w:color w:val="323E4F" w:themeColor="text2" w:themeShade="BF"/>
                <w:sz w:val="18"/>
              </w:rPr>
              <w:t>in</w:t>
            </w:r>
            <w:r>
              <w:rPr>
                <w:color w:val="323E4F" w:themeColor="text2" w:themeShade="BF"/>
                <w:spacing w:val="-6"/>
                <w:sz w:val="18"/>
              </w:rPr>
              <w:t xml:space="preserve"> </w:t>
            </w:r>
            <w:r>
              <w:rPr>
                <w:color w:val="323E4F" w:themeColor="text2" w:themeShade="BF"/>
                <w:sz w:val="18"/>
              </w:rPr>
              <w:t>GG</w:t>
            </w:r>
            <w:r>
              <w:rPr>
                <w:color w:val="323E4F" w:themeColor="text2" w:themeShade="BF"/>
                <w:spacing w:val="-5"/>
                <w:sz w:val="18"/>
              </w:rPr>
              <w:t xml:space="preserve"> </w:t>
            </w:r>
            <w:r>
              <w:rPr>
                <w:color w:val="323E4F" w:themeColor="text2" w:themeShade="BF"/>
                <w:sz w:val="18"/>
              </w:rPr>
              <w:t>36683,</w:t>
            </w:r>
            <w:r>
              <w:rPr>
                <w:color w:val="323E4F" w:themeColor="text2" w:themeShade="BF"/>
                <w:spacing w:val="-4"/>
                <w:sz w:val="18"/>
              </w:rPr>
              <w:t xml:space="preserve"> </w:t>
            </w:r>
            <w:r>
              <w:rPr>
                <w:color w:val="323E4F" w:themeColor="text2" w:themeShade="BF"/>
                <w:sz w:val="18"/>
              </w:rPr>
              <w:t>19</w:t>
            </w:r>
            <w:r>
              <w:rPr>
                <w:color w:val="323E4F" w:themeColor="text2" w:themeShade="BF"/>
                <w:spacing w:val="-6"/>
                <w:sz w:val="18"/>
              </w:rPr>
              <w:t xml:space="preserve"> </w:t>
            </w:r>
            <w:r>
              <w:rPr>
                <w:color w:val="323E4F" w:themeColor="text2" w:themeShade="BF"/>
                <w:sz w:val="18"/>
              </w:rPr>
              <w:t>July</w:t>
            </w:r>
            <w:r>
              <w:rPr>
                <w:color w:val="323E4F" w:themeColor="text2" w:themeShade="BF"/>
                <w:spacing w:val="-5"/>
                <w:sz w:val="18"/>
              </w:rPr>
              <w:t xml:space="preserve"> </w:t>
            </w:r>
            <w:r>
              <w:rPr>
                <w:color w:val="323E4F" w:themeColor="text2" w:themeShade="BF"/>
                <w:sz w:val="18"/>
              </w:rPr>
              <w:t>2013).</w:t>
            </w:r>
          </w:p>
          <w:p w14:paraId="6086B59F" w14:textId="77777777" w:rsidR="000D5AB3" w:rsidRDefault="000D5AB3">
            <w:pPr>
              <w:pStyle w:val="TableParagraph"/>
              <w:numPr>
                <w:ilvl w:val="0"/>
                <w:numId w:val="16"/>
              </w:numPr>
              <w:tabs>
                <w:tab w:val="left" w:pos="720"/>
              </w:tabs>
              <w:spacing w:before="28" w:line="266" w:lineRule="auto"/>
              <w:ind w:right="139"/>
              <w:jc w:val="both"/>
              <w:rPr>
                <w:color w:val="323E4F" w:themeColor="text2" w:themeShade="BF"/>
                <w:sz w:val="18"/>
              </w:rPr>
            </w:pPr>
            <w:r>
              <w:rPr>
                <w:color w:val="323E4F" w:themeColor="text2" w:themeShade="BF"/>
                <w:sz w:val="18"/>
              </w:rPr>
              <w:t>Publication</w:t>
            </w:r>
            <w:r>
              <w:rPr>
                <w:color w:val="323E4F" w:themeColor="text2" w:themeShade="BF"/>
                <w:spacing w:val="-9"/>
                <w:sz w:val="18"/>
              </w:rPr>
              <w:t xml:space="preserve"> </w:t>
            </w:r>
            <w:r>
              <w:rPr>
                <w:color w:val="323E4F" w:themeColor="text2" w:themeShade="BF"/>
                <w:sz w:val="18"/>
              </w:rPr>
              <w:t>of</w:t>
            </w:r>
            <w:r>
              <w:rPr>
                <w:color w:val="323E4F" w:themeColor="text2" w:themeShade="BF"/>
                <w:spacing w:val="-9"/>
                <w:sz w:val="18"/>
              </w:rPr>
              <w:t xml:space="preserve"> </w:t>
            </w:r>
            <w:r>
              <w:rPr>
                <w:color w:val="323E4F" w:themeColor="text2" w:themeShade="BF"/>
                <w:sz w:val="18"/>
              </w:rPr>
              <w:t>National</w:t>
            </w:r>
            <w:r>
              <w:rPr>
                <w:color w:val="323E4F" w:themeColor="text2" w:themeShade="BF"/>
                <w:spacing w:val="-9"/>
                <w:sz w:val="18"/>
              </w:rPr>
              <w:t xml:space="preserve"> </w:t>
            </w:r>
            <w:r>
              <w:rPr>
                <w:color w:val="323E4F" w:themeColor="text2" w:themeShade="BF"/>
                <w:sz w:val="18"/>
              </w:rPr>
              <w:t>list</w:t>
            </w:r>
            <w:r>
              <w:rPr>
                <w:color w:val="323E4F" w:themeColor="text2" w:themeShade="BF"/>
                <w:spacing w:val="-9"/>
                <w:sz w:val="18"/>
              </w:rPr>
              <w:t xml:space="preserve"> </w:t>
            </w:r>
            <w:r>
              <w:rPr>
                <w:color w:val="323E4F" w:themeColor="text2" w:themeShade="BF"/>
                <w:sz w:val="18"/>
              </w:rPr>
              <w:t>of</w:t>
            </w:r>
            <w:r>
              <w:rPr>
                <w:color w:val="323E4F" w:themeColor="text2" w:themeShade="BF"/>
                <w:spacing w:val="-9"/>
                <w:sz w:val="18"/>
              </w:rPr>
              <w:t xml:space="preserve"> </w:t>
            </w:r>
            <w:r>
              <w:rPr>
                <w:color w:val="323E4F" w:themeColor="text2" w:themeShade="BF"/>
                <w:sz w:val="18"/>
              </w:rPr>
              <w:t>invasive</w:t>
            </w:r>
            <w:r>
              <w:rPr>
                <w:color w:val="323E4F" w:themeColor="text2" w:themeShade="BF"/>
                <w:spacing w:val="-10"/>
                <w:sz w:val="18"/>
              </w:rPr>
              <w:t xml:space="preserve"> </w:t>
            </w:r>
            <w:r>
              <w:rPr>
                <w:color w:val="323E4F" w:themeColor="text2" w:themeShade="BF"/>
                <w:sz w:val="18"/>
              </w:rPr>
              <w:t>species</w:t>
            </w:r>
            <w:r>
              <w:rPr>
                <w:color w:val="323E4F" w:themeColor="text2" w:themeShade="BF"/>
                <w:spacing w:val="-8"/>
                <w:sz w:val="18"/>
              </w:rPr>
              <w:t xml:space="preserve"> </w:t>
            </w:r>
            <w:r>
              <w:rPr>
                <w:color w:val="323E4F" w:themeColor="text2" w:themeShade="BF"/>
                <w:sz w:val="18"/>
              </w:rPr>
              <w:t>(GNR</w:t>
            </w:r>
            <w:r>
              <w:rPr>
                <w:color w:val="323E4F" w:themeColor="text2" w:themeShade="BF"/>
                <w:spacing w:val="-10"/>
                <w:sz w:val="18"/>
              </w:rPr>
              <w:t xml:space="preserve"> </w:t>
            </w:r>
            <w:r>
              <w:rPr>
                <w:color w:val="323E4F" w:themeColor="text2" w:themeShade="BF"/>
                <w:sz w:val="18"/>
              </w:rPr>
              <w:t>507</w:t>
            </w:r>
            <w:r>
              <w:rPr>
                <w:color w:val="323E4F" w:themeColor="text2" w:themeShade="BF"/>
                <w:spacing w:val="-4"/>
                <w:sz w:val="18"/>
              </w:rPr>
              <w:t xml:space="preserve"> </w:t>
            </w:r>
            <w:r>
              <w:rPr>
                <w:color w:val="323E4F" w:themeColor="text2" w:themeShade="BF"/>
                <w:sz w:val="18"/>
              </w:rPr>
              <w:t>in</w:t>
            </w:r>
            <w:r>
              <w:rPr>
                <w:color w:val="323E4F" w:themeColor="text2" w:themeShade="BF"/>
                <w:spacing w:val="-9"/>
                <w:sz w:val="18"/>
              </w:rPr>
              <w:t xml:space="preserve"> </w:t>
            </w:r>
            <w:r>
              <w:rPr>
                <w:color w:val="323E4F" w:themeColor="text2" w:themeShade="BF"/>
                <w:sz w:val="18"/>
              </w:rPr>
              <w:t>GG</w:t>
            </w:r>
            <w:r>
              <w:rPr>
                <w:color w:val="323E4F" w:themeColor="text2" w:themeShade="BF"/>
                <w:spacing w:val="-10"/>
                <w:sz w:val="18"/>
              </w:rPr>
              <w:t xml:space="preserve"> </w:t>
            </w:r>
            <w:r>
              <w:rPr>
                <w:color w:val="323E4F" w:themeColor="text2" w:themeShade="BF"/>
                <w:sz w:val="18"/>
              </w:rPr>
              <w:t>36683,</w:t>
            </w:r>
            <w:r>
              <w:rPr>
                <w:color w:val="323E4F" w:themeColor="text2" w:themeShade="BF"/>
                <w:spacing w:val="-10"/>
                <w:sz w:val="18"/>
              </w:rPr>
              <w:t xml:space="preserve"> </w:t>
            </w:r>
            <w:r>
              <w:rPr>
                <w:color w:val="323E4F" w:themeColor="text2" w:themeShade="BF"/>
                <w:sz w:val="18"/>
              </w:rPr>
              <w:t>19</w:t>
            </w:r>
            <w:r>
              <w:rPr>
                <w:color w:val="323E4F" w:themeColor="text2" w:themeShade="BF"/>
                <w:spacing w:val="-11"/>
                <w:sz w:val="18"/>
              </w:rPr>
              <w:t xml:space="preserve"> </w:t>
            </w:r>
            <w:r>
              <w:rPr>
                <w:color w:val="323E4F" w:themeColor="text2" w:themeShade="BF"/>
                <w:sz w:val="18"/>
              </w:rPr>
              <w:t>July 2013).</w:t>
            </w:r>
          </w:p>
          <w:p w14:paraId="2AF284EE" w14:textId="77777777" w:rsidR="000D5AB3" w:rsidRDefault="000D5AB3">
            <w:pPr>
              <w:pStyle w:val="TableParagraph"/>
              <w:numPr>
                <w:ilvl w:val="0"/>
                <w:numId w:val="16"/>
              </w:numPr>
              <w:tabs>
                <w:tab w:val="left" w:pos="720"/>
              </w:tabs>
              <w:spacing w:before="4"/>
              <w:ind w:right="139"/>
              <w:jc w:val="both"/>
              <w:rPr>
                <w:color w:val="323E4F" w:themeColor="text2" w:themeShade="BF"/>
                <w:sz w:val="18"/>
              </w:rPr>
            </w:pPr>
            <w:r>
              <w:rPr>
                <w:color w:val="323E4F" w:themeColor="text2" w:themeShade="BF"/>
                <w:sz w:val="18"/>
              </w:rPr>
              <w:t>Publication</w:t>
            </w:r>
            <w:r>
              <w:rPr>
                <w:color w:val="323E4F" w:themeColor="text2" w:themeShade="BF"/>
                <w:spacing w:val="-6"/>
                <w:sz w:val="18"/>
              </w:rPr>
              <w:t xml:space="preserve"> </w:t>
            </w:r>
            <w:r>
              <w:rPr>
                <w:color w:val="323E4F" w:themeColor="text2" w:themeShade="BF"/>
                <w:sz w:val="18"/>
              </w:rPr>
              <w:t>of</w:t>
            </w:r>
            <w:r>
              <w:rPr>
                <w:color w:val="323E4F" w:themeColor="text2" w:themeShade="BF"/>
                <w:spacing w:val="-6"/>
                <w:sz w:val="18"/>
              </w:rPr>
              <w:t xml:space="preserve"> </w:t>
            </w:r>
            <w:r>
              <w:rPr>
                <w:color w:val="323E4F" w:themeColor="text2" w:themeShade="BF"/>
                <w:sz w:val="18"/>
              </w:rPr>
              <w:t>prohibited</w:t>
            </w:r>
            <w:r>
              <w:rPr>
                <w:color w:val="323E4F" w:themeColor="text2" w:themeShade="BF"/>
                <w:spacing w:val="-5"/>
                <w:sz w:val="18"/>
              </w:rPr>
              <w:t xml:space="preserve"> </w:t>
            </w:r>
            <w:r>
              <w:rPr>
                <w:color w:val="323E4F" w:themeColor="text2" w:themeShade="BF"/>
                <w:sz w:val="18"/>
              </w:rPr>
              <w:t>alien</w:t>
            </w:r>
            <w:r>
              <w:rPr>
                <w:color w:val="323E4F" w:themeColor="text2" w:themeShade="BF"/>
                <w:spacing w:val="-6"/>
                <w:sz w:val="18"/>
              </w:rPr>
              <w:t xml:space="preserve"> </w:t>
            </w:r>
            <w:r>
              <w:rPr>
                <w:color w:val="323E4F" w:themeColor="text2" w:themeShade="BF"/>
                <w:sz w:val="18"/>
              </w:rPr>
              <w:t>species</w:t>
            </w:r>
            <w:r>
              <w:rPr>
                <w:color w:val="323E4F" w:themeColor="text2" w:themeShade="BF"/>
                <w:spacing w:val="-3"/>
                <w:sz w:val="18"/>
              </w:rPr>
              <w:t xml:space="preserve"> </w:t>
            </w:r>
            <w:r>
              <w:rPr>
                <w:color w:val="323E4F" w:themeColor="text2" w:themeShade="BF"/>
                <w:sz w:val="18"/>
              </w:rPr>
              <w:t>(GNR</w:t>
            </w:r>
            <w:r>
              <w:rPr>
                <w:color w:val="323E4F" w:themeColor="text2" w:themeShade="BF"/>
                <w:spacing w:val="-7"/>
                <w:sz w:val="18"/>
              </w:rPr>
              <w:t xml:space="preserve"> </w:t>
            </w:r>
            <w:r>
              <w:rPr>
                <w:color w:val="323E4F" w:themeColor="text2" w:themeShade="BF"/>
                <w:sz w:val="18"/>
              </w:rPr>
              <w:t>508</w:t>
            </w:r>
            <w:r>
              <w:rPr>
                <w:color w:val="323E4F" w:themeColor="text2" w:themeShade="BF"/>
                <w:spacing w:val="-2"/>
                <w:sz w:val="18"/>
              </w:rPr>
              <w:t xml:space="preserve"> </w:t>
            </w:r>
            <w:r>
              <w:rPr>
                <w:color w:val="323E4F" w:themeColor="text2" w:themeShade="BF"/>
                <w:sz w:val="18"/>
              </w:rPr>
              <w:t>in</w:t>
            </w:r>
            <w:r>
              <w:rPr>
                <w:color w:val="323E4F" w:themeColor="text2" w:themeShade="BF"/>
                <w:spacing w:val="-5"/>
                <w:sz w:val="18"/>
              </w:rPr>
              <w:t xml:space="preserve"> </w:t>
            </w:r>
            <w:r>
              <w:rPr>
                <w:color w:val="323E4F" w:themeColor="text2" w:themeShade="BF"/>
                <w:sz w:val="18"/>
              </w:rPr>
              <w:t>GG</w:t>
            </w:r>
            <w:r>
              <w:rPr>
                <w:color w:val="323E4F" w:themeColor="text2" w:themeShade="BF"/>
                <w:spacing w:val="-5"/>
                <w:sz w:val="18"/>
              </w:rPr>
              <w:t xml:space="preserve"> </w:t>
            </w:r>
            <w:r>
              <w:rPr>
                <w:color w:val="323E4F" w:themeColor="text2" w:themeShade="BF"/>
                <w:sz w:val="18"/>
              </w:rPr>
              <w:t>33683,</w:t>
            </w:r>
            <w:r>
              <w:rPr>
                <w:color w:val="323E4F" w:themeColor="text2" w:themeShade="BF"/>
                <w:spacing w:val="-4"/>
                <w:sz w:val="18"/>
              </w:rPr>
              <w:t xml:space="preserve"> </w:t>
            </w:r>
            <w:r>
              <w:rPr>
                <w:color w:val="323E4F" w:themeColor="text2" w:themeShade="BF"/>
                <w:sz w:val="18"/>
              </w:rPr>
              <w:t>19</w:t>
            </w:r>
            <w:r>
              <w:rPr>
                <w:color w:val="323E4F" w:themeColor="text2" w:themeShade="BF"/>
                <w:spacing w:val="-5"/>
                <w:sz w:val="18"/>
              </w:rPr>
              <w:t xml:space="preserve"> </w:t>
            </w:r>
            <w:r>
              <w:rPr>
                <w:color w:val="323E4F" w:themeColor="text2" w:themeShade="BF"/>
                <w:sz w:val="18"/>
              </w:rPr>
              <w:t>July</w:t>
            </w:r>
            <w:r>
              <w:rPr>
                <w:color w:val="323E4F" w:themeColor="text2" w:themeShade="BF"/>
                <w:spacing w:val="-4"/>
                <w:sz w:val="18"/>
              </w:rPr>
              <w:t xml:space="preserve"> </w:t>
            </w:r>
            <w:r>
              <w:rPr>
                <w:color w:val="323E4F" w:themeColor="text2" w:themeShade="BF"/>
                <w:sz w:val="18"/>
              </w:rPr>
              <w:t>2013).</w:t>
            </w:r>
          </w:p>
          <w:p w14:paraId="34E27514" w14:textId="77777777" w:rsidR="000D5AB3" w:rsidRDefault="000D5AB3">
            <w:pPr>
              <w:pStyle w:val="TableParagraph"/>
              <w:numPr>
                <w:ilvl w:val="0"/>
                <w:numId w:val="16"/>
              </w:numPr>
              <w:tabs>
                <w:tab w:val="left" w:pos="720"/>
              </w:tabs>
              <w:spacing w:before="26"/>
              <w:ind w:right="139"/>
              <w:jc w:val="both"/>
              <w:rPr>
                <w:color w:val="323E4F" w:themeColor="text2" w:themeShade="BF"/>
                <w:sz w:val="18"/>
              </w:rPr>
            </w:pPr>
            <w:r>
              <w:rPr>
                <w:color w:val="323E4F" w:themeColor="text2" w:themeShade="BF"/>
                <w:sz w:val="18"/>
              </w:rPr>
              <w:t>eThekwini Systematic Conservation Assessment</w:t>
            </w:r>
            <w:r>
              <w:rPr>
                <w:color w:val="323E4F" w:themeColor="text2" w:themeShade="BF"/>
                <w:spacing w:val="-1"/>
                <w:sz w:val="18"/>
              </w:rPr>
              <w:t xml:space="preserve"> </w:t>
            </w:r>
            <w:r>
              <w:rPr>
                <w:color w:val="323E4F" w:themeColor="text2" w:themeShade="BF"/>
                <w:sz w:val="18"/>
              </w:rPr>
              <w:t>(2015)</w:t>
            </w:r>
          </w:p>
          <w:p w14:paraId="6EB25934" w14:textId="77777777" w:rsidR="000D5AB3" w:rsidRDefault="000D5AB3">
            <w:pPr>
              <w:pStyle w:val="TableParagraph"/>
              <w:numPr>
                <w:ilvl w:val="0"/>
                <w:numId w:val="16"/>
              </w:numPr>
              <w:tabs>
                <w:tab w:val="left" w:pos="720"/>
              </w:tabs>
              <w:spacing w:before="26"/>
              <w:ind w:right="139"/>
              <w:jc w:val="both"/>
              <w:rPr>
                <w:color w:val="323E4F" w:themeColor="text2" w:themeShade="BF"/>
                <w:sz w:val="18"/>
              </w:rPr>
            </w:pPr>
            <w:r>
              <w:rPr>
                <w:color w:val="323E4F" w:themeColor="text2" w:themeShade="BF"/>
                <w:sz w:val="18"/>
              </w:rPr>
              <w:t>KZN Freshwater Systematic Conservation Plan</w:t>
            </w:r>
            <w:r>
              <w:rPr>
                <w:color w:val="323E4F" w:themeColor="text2" w:themeShade="BF"/>
                <w:spacing w:val="-4"/>
                <w:sz w:val="18"/>
              </w:rPr>
              <w:t xml:space="preserve"> </w:t>
            </w:r>
            <w:r>
              <w:rPr>
                <w:color w:val="323E4F" w:themeColor="text2" w:themeShade="BF"/>
                <w:sz w:val="18"/>
              </w:rPr>
              <w:t>(2015).</w:t>
            </w:r>
          </w:p>
          <w:p w14:paraId="4B151108" w14:textId="77777777" w:rsidR="000D5AB3" w:rsidRDefault="000D5AB3">
            <w:pPr>
              <w:pStyle w:val="TableParagraph"/>
              <w:numPr>
                <w:ilvl w:val="0"/>
                <w:numId w:val="16"/>
              </w:numPr>
              <w:tabs>
                <w:tab w:val="left" w:pos="720"/>
              </w:tabs>
              <w:spacing w:before="28"/>
              <w:ind w:right="139"/>
              <w:jc w:val="both"/>
              <w:rPr>
                <w:color w:val="323E4F" w:themeColor="text2" w:themeShade="BF"/>
                <w:sz w:val="18"/>
              </w:rPr>
            </w:pPr>
            <w:r>
              <w:rPr>
                <w:color w:val="323E4F" w:themeColor="text2" w:themeShade="BF"/>
                <w:sz w:val="18"/>
              </w:rPr>
              <w:t>KZN Systematic Conservation Plan</w:t>
            </w:r>
            <w:r>
              <w:rPr>
                <w:color w:val="323E4F" w:themeColor="text2" w:themeShade="BF"/>
                <w:spacing w:val="-5"/>
                <w:sz w:val="18"/>
              </w:rPr>
              <w:t xml:space="preserve"> </w:t>
            </w:r>
            <w:r>
              <w:rPr>
                <w:color w:val="323E4F" w:themeColor="text2" w:themeShade="BF"/>
                <w:sz w:val="18"/>
              </w:rPr>
              <w:t>(2016).</w:t>
            </w:r>
          </w:p>
          <w:p w14:paraId="023B448A" w14:textId="77777777" w:rsidR="000D5AB3" w:rsidRDefault="000D5AB3">
            <w:pPr>
              <w:pStyle w:val="TableParagraph"/>
              <w:numPr>
                <w:ilvl w:val="0"/>
                <w:numId w:val="16"/>
              </w:numPr>
              <w:tabs>
                <w:tab w:val="left" w:pos="720"/>
              </w:tabs>
              <w:spacing w:before="28"/>
              <w:ind w:right="139"/>
              <w:jc w:val="both"/>
              <w:rPr>
                <w:color w:val="323E4F" w:themeColor="text2" w:themeShade="BF"/>
                <w:sz w:val="18"/>
              </w:rPr>
            </w:pPr>
            <w:r>
              <w:rPr>
                <w:color w:val="323E4F" w:themeColor="text2" w:themeShade="BF"/>
                <w:sz w:val="18"/>
              </w:rPr>
              <w:t>National Biodiversity Assessment – The Status of South Africa’s Ecosystems and Biodiversity (2018).</w:t>
            </w:r>
          </w:p>
        </w:tc>
      </w:tr>
      <w:tr w:rsidR="000D5AB3" w14:paraId="61DA7731" w14:textId="77777777" w:rsidTr="00917F04">
        <w:tblPrEx>
          <w:tblCellSpacing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trHeight w:val="607"/>
        </w:trPr>
        <w:tc>
          <w:tcPr>
            <w:tcW w:w="1203" w:type="pct"/>
            <w:tcBorders>
              <w:top w:val="single" w:sz="8" w:space="0" w:color="FFFFFF"/>
              <w:left w:val="nil"/>
              <w:bottom w:val="single" w:sz="8" w:space="0" w:color="FFFFFF"/>
              <w:right w:val="single" w:sz="8" w:space="0" w:color="FFFFFF"/>
            </w:tcBorders>
            <w:shd w:val="clear" w:color="auto" w:fill="B1E7FF"/>
          </w:tcPr>
          <w:p w14:paraId="28137719" w14:textId="77777777" w:rsidR="000D5AB3" w:rsidRDefault="000D5AB3">
            <w:pPr>
              <w:pStyle w:val="TableParagraph"/>
              <w:jc w:val="both"/>
              <w:rPr>
                <w:rFonts w:ascii="Times New Roman"/>
                <w:color w:val="323E4F" w:themeColor="text2" w:themeShade="BF"/>
                <w:sz w:val="20"/>
              </w:rPr>
            </w:pPr>
          </w:p>
          <w:p w14:paraId="0DCCC889" w14:textId="77777777" w:rsidR="000D5AB3" w:rsidRDefault="000D5AB3">
            <w:pPr>
              <w:pStyle w:val="TableParagraph"/>
              <w:jc w:val="both"/>
              <w:rPr>
                <w:rFonts w:ascii="Times New Roman"/>
                <w:color w:val="323E4F" w:themeColor="text2" w:themeShade="BF"/>
                <w:sz w:val="20"/>
              </w:rPr>
            </w:pPr>
          </w:p>
          <w:p w14:paraId="0435EA11" w14:textId="77777777" w:rsidR="000D5AB3" w:rsidRDefault="000D5AB3">
            <w:pPr>
              <w:pStyle w:val="TableParagraph"/>
              <w:spacing w:before="7"/>
              <w:jc w:val="both"/>
              <w:rPr>
                <w:rFonts w:ascii="Times New Roman"/>
                <w:color w:val="323E4F" w:themeColor="text2" w:themeShade="BF"/>
                <w:sz w:val="15"/>
              </w:rPr>
            </w:pPr>
          </w:p>
          <w:p w14:paraId="23614DCB" w14:textId="77777777" w:rsidR="000D5AB3" w:rsidRDefault="000D5AB3">
            <w:pPr>
              <w:pStyle w:val="TableParagraph"/>
              <w:jc w:val="both"/>
              <w:rPr>
                <w:rFonts w:ascii="Times New Roman"/>
                <w:color w:val="323E4F" w:themeColor="text2" w:themeShade="BF"/>
                <w:sz w:val="20"/>
              </w:rPr>
            </w:pPr>
            <w:r>
              <w:rPr>
                <w:color w:val="323E4F" w:themeColor="text2" w:themeShade="BF"/>
                <w:sz w:val="18"/>
              </w:rPr>
              <w:t>National Forests Act (Act No. 84 of 1998)</w:t>
            </w:r>
          </w:p>
        </w:tc>
        <w:tc>
          <w:tcPr>
            <w:tcW w:w="3775" w:type="pct"/>
            <w:gridSpan w:val="2"/>
            <w:tcBorders>
              <w:top w:val="single" w:sz="8" w:space="0" w:color="FFFFFF"/>
              <w:left w:val="single" w:sz="8" w:space="0" w:color="FFFFFF"/>
              <w:bottom w:val="single" w:sz="8" w:space="0" w:color="FFFFFF"/>
              <w:right w:val="nil"/>
            </w:tcBorders>
            <w:shd w:val="clear" w:color="auto" w:fill="B1E7FF"/>
          </w:tcPr>
          <w:p w14:paraId="66F22063" w14:textId="77777777" w:rsidR="000D5AB3" w:rsidRDefault="000D5AB3">
            <w:pPr>
              <w:pStyle w:val="TableParagraph"/>
              <w:spacing w:before="56" w:line="268" w:lineRule="auto"/>
              <w:ind w:left="-1" w:right="137"/>
              <w:jc w:val="both"/>
              <w:rPr>
                <w:color w:val="323E4F" w:themeColor="text2" w:themeShade="BF"/>
                <w:sz w:val="18"/>
              </w:rPr>
            </w:pPr>
            <w:r>
              <w:rPr>
                <w:color w:val="323E4F" w:themeColor="text2" w:themeShade="BF"/>
                <w:sz w:val="18"/>
              </w:rPr>
              <w:t>If forest habitat and protected tree species is confirmed within the study area, this Act will</w:t>
            </w:r>
            <w:r>
              <w:rPr>
                <w:color w:val="323E4F" w:themeColor="text2" w:themeShade="BF"/>
                <w:spacing w:val="-13"/>
                <w:sz w:val="18"/>
              </w:rPr>
              <w:t xml:space="preserve"> </w:t>
            </w:r>
            <w:r>
              <w:rPr>
                <w:color w:val="323E4F" w:themeColor="text2" w:themeShade="BF"/>
                <w:sz w:val="18"/>
              </w:rPr>
              <w:t>need</w:t>
            </w:r>
            <w:r>
              <w:rPr>
                <w:color w:val="323E4F" w:themeColor="text2" w:themeShade="BF"/>
                <w:spacing w:val="-13"/>
                <w:sz w:val="18"/>
              </w:rPr>
              <w:t xml:space="preserve"> </w:t>
            </w:r>
            <w:r>
              <w:rPr>
                <w:color w:val="323E4F" w:themeColor="text2" w:themeShade="BF"/>
                <w:sz w:val="18"/>
              </w:rPr>
              <w:t>to</w:t>
            </w:r>
            <w:r>
              <w:rPr>
                <w:color w:val="323E4F" w:themeColor="text2" w:themeShade="BF"/>
                <w:spacing w:val="-13"/>
                <w:sz w:val="18"/>
              </w:rPr>
              <w:t xml:space="preserve"> </w:t>
            </w:r>
            <w:r>
              <w:rPr>
                <w:color w:val="323E4F" w:themeColor="text2" w:themeShade="BF"/>
                <w:sz w:val="18"/>
              </w:rPr>
              <w:t>be</w:t>
            </w:r>
            <w:r>
              <w:rPr>
                <w:color w:val="323E4F" w:themeColor="text2" w:themeShade="BF"/>
                <w:spacing w:val="-13"/>
                <w:sz w:val="18"/>
              </w:rPr>
              <w:t xml:space="preserve"> </w:t>
            </w:r>
            <w:r>
              <w:rPr>
                <w:color w:val="323E4F" w:themeColor="text2" w:themeShade="BF"/>
                <w:sz w:val="18"/>
              </w:rPr>
              <w:t>referred</w:t>
            </w:r>
            <w:r>
              <w:rPr>
                <w:color w:val="323E4F" w:themeColor="text2" w:themeShade="BF"/>
                <w:spacing w:val="-14"/>
                <w:sz w:val="18"/>
              </w:rPr>
              <w:t xml:space="preserve"> </w:t>
            </w:r>
            <w:r>
              <w:rPr>
                <w:color w:val="323E4F" w:themeColor="text2" w:themeShade="BF"/>
                <w:sz w:val="18"/>
              </w:rPr>
              <w:t>to</w:t>
            </w:r>
            <w:r>
              <w:rPr>
                <w:color w:val="323E4F" w:themeColor="text2" w:themeShade="BF"/>
                <w:spacing w:val="-12"/>
                <w:sz w:val="18"/>
              </w:rPr>
              <w:t xml:space="preserve"> </w:t>
            </w:r>
            <w:r>
              <w:rPr>
                <w:color w:val="323E4F" w:themeColor="text2" w:themeShade="BF"/>
                <w:sz w:val="18"/>
              </w:rPr>
              <w:t>for</w:t>
            </w:r>
            <w:r>
              <w:rPr>
                <w:color w:val="323E4F" w:themeColor="text2" w:themeShade="BF"/>
                <w:spacing w:val="-13"/>
                <w:sz w:val="18"/>
              </w:rPr>
              <w:t xml:space="preserve"> </w:t>
            </w:r>
            <w:r>
              <w:rPr>
                <w:color w:val="323E4F" w:themeColor="text2" w:themeShade="BF"/>
                <w:sz w:val="18"/>
              </w:rPr>
              <w:t>the</w:t>
            </w:r>
            <w:r>
              <w:rPr>
                <w:color w:val="323E4F" w:themeColor="text2" w:themeShade="BF"/>
                <w:spacing w:val="-14"/>
                <w:sz w:val="18"/>
              </w:rPr>
              <w:t xml:space="preserve"> </w:t>
            </w:r>
            <w:r>
              <w:rPr>
                <w:color w:val="323E4F" w:themeColor="text2" w:themeShade="BF"/>
                <w:sz w:val="18"/>
              </w:rPr>
              <w:t>management</w:t>
            </w:r>
            <w:r>
              <w:rPr>
                <w:color w:val="323E4F" w:themeColor="text2" w:themeShade="BF"/>
                <w:spacing w:val="-13"/>
                <w:sz w:val="18"/>
              </w:rPr>
              <w:t xml:space="preserve"> </w:t>
            </w:r>
            <w:r>
              <w:rPr>
                <w:color w:val="323E4F" w:themeColor="text2" w:themeShade="BF"/>
                <w:sz w:val="18"/>
              </w:rPr>
              <w:t>of</w:t>
            </w:r>
            <w:r>
              <w:rPr>
                <w:color w:val="323E4F" w:themeColor="text2" w:themeShade="BF"/>
                <w:spacing w:val="-14"/>
                <w:sz w:val="18"/>
              </w:rPr>
              <w:t xml:space="preserve"> </w:t>
            </w:r>
            <w:r>
              <w:rPr>
                <w:color w:val="323E4F" w:themeColor="text2" w:themeShade="BF"/>
                <w:sz w:val="18"/>
              </w:rPr>
              <w:t>impacts</w:t>
            </w:r>
            <w:r>
              <w:rPr>
                <w:color w:val="323E4F" w:themeColor="text2" w:themeShade="BF"/>
                <w:spacing w:val="-12"/>
                <w:sz w:val="18"/>
              </w:rPr>
              <w:t xml:space="preserve"> </w:t>
            </w:r>
            <w:r>
              <w:rPr>
                <w:color w:val="323E4F" w:themeColor="text2" w:themeShade="BF"/>
                <w:sz w:val="18"/>
              </w:rPr>
              <w:t>to</w:t>
            </w:r>
            <w:r>
              <w:rPr>
                <w:color w:val="323E4F" w:themeColor="text2" w:themeShade="BF"/>
                <w:spacing w:val="-13"/>
                <w:sz w:val="18"/>
              </w:rPr>
              <w:t xml:space="preserve"> </w:t>
            </w:r>
            <w:r>
              <w:rPr>
                <w:color w:val="323E4F" w:themeColor="text2" w:themeShade="BF"/>
                <w:sz w:val="18"/>
              </w:rPr>
              <w:t>natural</w:t>
            </w:r>
            <w:r>
              <w:rPr>
                <w:color w:val="323E4F" w:themeColor="text2" w:themeShade="BF"/>
                <w:spacing w:val="-12"/>
                <w:sz w:val="18"/>
              </w:rPr>
              <w:t xml:space="preserve"> </w:t>
            </w:r>
            <w:r>
              <w:rPr>
                <w:color w:val="323E4F" w:themeColor="text2" w:themeShade="BF"/>
                <w:sz w:val="18"/>
              </w:rPr>
              <w:t>forest</w:t>
            </w:r>
            <w:r>
              <w:rPr>
                <w:color w:val="323E4F" w:themeColor="text2" w:themeShade="BF"/>
                <w:spacing w:val="-13"/>
                <w:sz w:val="18"/>
              </w:rPr>
              <w:t xml:space="preserve"> </w:t>
            </w:r>
            <w:r>
              <w:rPr>
                <w:color w:val="323E4F" w:themeColor="text2" w:themeShade="BF"/>
                <w:sz w:val="18"/>
              </w:rPr>
              <w:t>and</w:t>
            </w:r>
            <w:r>
              <w:rPr>
                <w:color w:val="323E4F" w:themeColor="text2" w:themeShade="BF"/>
                <w:spacing w:val="-14"/>
                <w:sz w:val="18"/>
              </w:rPr>
              <w:t xml:space="preserve"> </w:t>
            </w:r>
            <w:r>
              <w:rPr>
                <w:color w:val="323E4F" w:themeColor="text2" w:themeShade="BF"/>
                <w:sz w:val="18"/>
              </w:rPr>
              <w:t>protected tree species listed under this Act along with any associated permitting</w:t>
            </w:r>
            <w:r>
              <w:rPr>
                <w:color w:val="323E4F" w:themeColor="text2" w:themeShade="BF"/>
                <w:spacing w:val="-25"/>
                <w:sz w:val="18"/>
              </w:rPr>
              <w:t xml:space="preserve"> </w:t>
            </w:r>
            <w:r>
              <w:rPr>
                <w:color w:val="323E4F" w:themeColor="text2" w:themeShade="BF"/>
                <w:sz w:val="18"/>
              </w:rPr>
              <w:t>requirements.</w:t>
            </w:r>
          </w:p>
          <w:p w14:paraId="71D16648" w14:textId="77777777" w:rsidR="000D5AB3" w:rsidRDefault="000D5AB3">
            <w:pPr>
              <w:pStyle w:val="TableParagraph"/>
              <w:spacing w:before="2"/>
              <w:jc w:val="both"/>
              <w:rPr>
                <w:rFonts w:ascii="Times New Roman"/>
                <w:color w:val="323E4F" w:themeColor="text2" w:themeShade="BF"/>
                <w:sz w:val="20"/>
              </w:rPr>
            </w:pPr>
          </w:p>
          <w:p w14:paraId="094DBCB7" w14:textId="77777777" w:rsidR="000D5AB3" w:rsidRDefault="000D5AB3">
            <w:pPr>
              <w:pStyle w:val="TableParagraph"/>
              <w:ind w:left="-1"/>
              <w:jc w:val="both"/>
              <w:rPr>
                <w:b/>
                <w:i/>
                <w:color w:val="323E4F" w:themeColor="text2" w:themeShade="BF"/>
                <w:sz w:val="18"/>
              </w:rPr>
            </w:pPr>
            <w:r>
              <w:rPr>
                <w:b/>
                <w:i/>
                <w:color w:val="323E4F" w:themeColor="text2" w:themeShade="BF"/>
                <w:sz w:val="18"/>
              </w:rPr>
              <w:t>Regulations:</w:t>
            </w:r>
          </w:p>
          <w:p w14:paraId="064D62F8" w14:textId="77777777" w:rsidR="000D5AB3" w:rsidRDefault="000D5AB3">
            <w:pPr>
              <w:pStyle w:val="TableParagraph"/>
              <w:spacing w:before="56"/>
              <w:ind w:left="-1"/>
              <w:jc w:val="both"/>
              <w:rPr>
                <w:b/>
                <w:i/>
                <w:color w:val="323E4F" w:themeColor="text2" w:themeShade="BF"/>
                <w:sz w:val="18"/>
              </w:rPr>
            </w:pPr>
            <w:r>
              <w:rPr>
                <w:color w:val="323E4F" w:themeColor="text2" w:themeShade="BF"/>
                <w:sz w:val="18"/>
              </w:rPr>
              <w:t>List of Protected Tree Species under the National Forests Act, 1998 (GNR 690, 08 September</w:t>
            </w:r>
            <w:r>
              <w:rPr>
                <w:color w:val="323E4F" w:themeColor="text2" w:themeShade="BF"/>
                <w:spacing w:val="-1"/>
                <w:sz w:val="18"/>
              </w:rPr>
              <w:t xml:space="preserve"> </w:t>
            </w:r>
            <w:r>
              <w:rPr>
                <w:color w:val="323E4F" w:themeColor="text2" w:themeShade="BF"/>
                <w:sz w:val="18"/>
              </w:rPr>
              <w:t>2017).</w:t>
            </w:r>
          </w:p>
        </w:tc>
      </w:tr>
      <w:tr w:rsidR="000D5AB3" w14:paraId="1E63128C" w14:textId="77777777" w:rsidTr="00917F04">
        <w:tblPrEx>
          <w:tblCellSpacing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trHeight w:val="607"/>
        </w:trPr>
        <w:tc>
          <w:tcPr>
            <w:tcW w:w="1203" w:type="pct"/>
            <w:tcBorders>
              <w:top w:val="single" w:sz="8" w:space="0" w:color="FFFFFF"/>
              <w:left w:val="nil"/>
              <w:bottom w:val="single" w:sz="8" w:space="0" w:color="FFFFFF"/>
              <w:right w:val="single" w:sz="8" w:space="0" w:color="FFFFFF"/>
            </w:tcBorders>
            <w:shd w:val="clear" w:color="auto" w:fill="B1E7FF"/>
          </w:tcPr>
          <w:p w14:paraId="151B8E5C" w14:textId="77777777" w:rsidR="000D5AB3" w:rsidRDefault="000D5AB3">
            <w:pPr>
              <w:pStyle w:val="TableParagraph"/>
              <w:jc w:val="both"/>
              <w:rPr>
                <w:color w:val="323E4F" w:themeColor="text2" w:themeShade="BF"/>
                <w:sz w:val="18"/>
              </w:rPr>
            </w:pPr>
          </w:p>
          <w:p w14:paraId="5D31270D" w14:textId="77777777" w:rsidR="000D5AB3" w:rsidRDefault="000D5AB3">
            <w:pPr>
              <w:pStyle w:val="TableParagraph"/>
              <w:jc w:val="both"/>
              <w:rPr>
                <w:color w:val="323E4F" w:themeColor="text2" w:themeShade="BF"/>
                <w:sz w:val="18"/>
              </w:rPr>
            </w:pPr>
          </w:p>
          <w:p w14:paraId="51A890A3" w14:textId="77777777" w:rsidR="000D5AB3" w:rsidRDefault="000D5AB3">
            <w:pPr>
              <w:pStyle w:val="TableParagraph"/>
              <w:jc w:val="both"/>
              <w:rPr>
                <w:color w:val="323E4F" w:themeColor="text2" w:themeShade="BF"/>
                <w:sz w:val="18"/>
              </w:rPr>
            </w:pPr>
          </w:p>
          <w:p w14:paraId="4AC194BB" w14:textId="77777777" w:rsidR="000D5AB3" w:rsidRDefault="000D5AB3">
            <w:pPr>
              <w:pStyle w:val="TableParagraph"/>
              <w:jc w:val="both"/>
              <w:rPr>
                <w:color w:val="323E4F" w:themeColor="text2" w:themeShade="BF"/>
                <w:sz w:val="18"/>
              </w:rPr>
            </w:pPr>
          </w:p>
          <w:p w14:paraId="7F73A9C3" w14:textId="77777777" w:rsidR="000D5AB3" w:rsidRDefault="000D5AB3">
            <w:pPr>
              <w:pStyle w:val="TableParagraph"/>
              <w:jc w:val="both"/>
              <w:rPr>
                <w:color w:val="323E4F" w:themeColor="text2" w:themeShade="BF"/>
                <w:sz w:val="18"/>
              </w:rPr>
            </w:pPr>
            <w:r>
              <w:rPr>
                <w:color w:val="323E4F" w:themeColor="text2" w:themeShade="BF"/>
                <w:sz w:val="18"/>
              </w:rPr>
              <w:t>National Environmental Management: Integrated Coastal Management Act (Act No. 44 of 2008)</w:t>
            </w:r>
          </w:p>
        </w:tc>
        <w:tc>
          <w:tcPr>
            <w:tcW w:w="3775" w:type="pct"/>
            <w:gridSpan w:val="2"/>
            <w:tcBorders>
              <w:top w:val="single" w:sz="8" w:space="0" w:color="FFFFFF"/>
              <w:left w:val="single" w:sz="8" w:space="0" w:color="FFFFFF"/>
              <w:bottom w:val="single" w:sz="8" w:space="0" w:color="FFFFFF"/>
              <w:right w:val="nil"/>
            </w:tcBorders>
            <w:shd w:val="clear" w:color="auto" w:fill="B1E7FF"/>
          </w:tcPr>
          <w:p w14:paraId="1344AA42" w14:textId="77777777" w:rsidR="000D5AB3" w:rsidRDefault="000D5AB3">
            <w:pPr>
              <w:pStyle w:val="TableParagraph"/>
              <w:ind w:left="-1"/>
              <w:jc w:val="both"/>
              <w:rPr>
                <w:b/>
                <w:i/>
                <w:color w:val="323E4F" w:themeColor="text2" w:themeShade="BF"/>
                <w:sz w:val="18"/>
              </w:rPr>
            </w:pPr>
            <w:r>
              <w:rPr>
                <w:b/>
                <w:i/>
                <w:color w:val="323E4F" w:themeColor="text2" w:themeShade="BF"/>
                <w:sz w:val="18"/>
              </w:rPr>
              <w:t>Objectives:</w:t>
            </w:r>
          </w:p>
          <w:p w14:paraId="4C4468BD" w14:textId="77777777" w:rsidR="000D5AB3" w:rsidRDefault="000D5AB3">
            <w:pPr>
              <w:pStyle w:val="TableParagraph"/>
              <w:spacing w:before="56" w:line="268" w:lineRule="auto"/>
              <w:ind w:left="-1" w:right="137"/>
              <w:jc w:val="both"/>
              <w:rPr>
                <w:color w:val="323E4F" w:themeColor="text2" w:themeShade="BF"/>
                <w:sz w:val="18"/>
              </w:rPr>
            </w:pPr>
            <w:r>
              <w:rPr>
                <w:color w:val="323E4F" w:themeColor="text2" w:themeShade="BF"/>
                <w:sz w:val="18"/>
              </w:rPr>
              <w:t>The NEM: ICMA has numerous objectives, and these are:</w:t>
            </w:r>
          </w:p>
          <w:p w14:paraId="7772EE6D" w14:textId="77777777" w:rsidR="000D5AB3" w:rsidRDefault="000D5AB3">
            <w:pPr>
              <w:pStyle w:val="TableParagraph"/>
              <w:numPr>
                <w:ilvl w:val="0"/>
                <w:numId w:val="16"/>
              </w:numPr>
              <w:tabs>
                <w:tab w:val="left" w:pos="720"/>
              </w:tabs>
              <w:spacing w:before="26"/>
              <w:ind w:right="139"/>
              <w:jc w:val="both"/>
              <w:rPr>
                <w:color w:val="323E4F" w:themeColor="text2" w:themeShade="BF"/>
                <w:sz w:val="18"/>
              </w:rPr>
            </w:pPr>
            <w:r>
              <w:rPr>
                <w:color w:val="323E4F" w:themeColor="text2" w:themeShade="BF"/>
                <w:sz w:val="18"/>
              </w:rPr>
              <w:t>Determination of the Coastal Zone in South Africa</w:t>
            </w:r>
          </w:p>
          <w:p w14:paraId="0F31CEA7" w14:textId="77777777" w:rsidR="000D5AB3" w:rsidRDefault="000D5AB3">
            <w:pPr>
              <w:pStyle w:val="TableParagraph"/>
              <w:numPr>
                <w:ilvl w:val="0"/>
                <w:numId w:val="16"/>
              </w:numPr>
              <w:tabs>
                <w:tab w:val="left" w:pos="720"/>
              </w:tabs>
              <w:spacing w:before="26"/>
              <w:ind w:right="139"/>
              <w:jc w:val="both"/>
              <w:rPr>
                <w:color w:val="323E4F" w:themeColor="text2" w:themeShade="BF"/>
                <w:sz w:val="18"/>
              </w:rPr>
            </w:pPr>
            <w:r>
              <w:rPr>
                <w:color w:val="323E4F" w:themeColor="text2" w:themeShade="BF"/>
                <w:sz w:val="18"/>
              </w:rPr>
              <w:t xml:space="preserve">Provision for coordinated and integrated management of the coastal zone </w:t>
            </w:r>
          </w:p>
          <w:p w14:paraId="04D1844F" w14:textId="77777777" w:rsidR="000D5AB3" w:rsidRDefault="000D5AB3">
            <w:pPr>
              <w:pStyle w:val="TableParagraph"/>
              <w:numPr>
                <w:ilvl w:val="0"/>
                <w:numId w:val="16"/>
              </w:numPr>
              <w:tabs>
                <w:tab w:val="left" w:pos="720"/>
              </w:tabs>
              <w:spacing w:before="26"/>
              <w:ind w:right="139"/>
              <w:jc w:val="both"/>
              <w:rPr>
                <w:color w:val="323E4F" w:themeColor="text2" w:themeShade="BF"/>
                <w:sz w:val="18"/>
              </w:rPr>
            </w:pPr>
            <w:r>
              <w:rPr>
                <w:color w:val="323E4F" w:themeColor="text2" w:themeShade="BF"/>
                <w:sz w:val="18"/>
              </w:rPr>
              <w:t xml:space="preserve">Preservation, protection, </w:t>
            </w:r>
            <w:proofErr w:type="gramStart"/>
            <w:r>
              <w:rPr>
                <w:color w:val="323E4F" w:themeColor="text2" w:themeShade="BF"/>
                <w:sz w:val="18"/>
              </w:rPr>
              <w:t>extension</w:t>
            </w:r>
            <w:proofErr w:type="gramEnd"/>
            <w:r>
              <w:rPr>
                <w:color w:val="323E4F" w:themeColor="text2" w:themeShade="BF"/>
                <w:sz w:val="18"/>
              </w:rPr>
              <w:t xml:space="preserve"> and enhancement of coastal public property </w:t>
            </w:r>
          </w:p>
          <w:p w14:paraId="74CD818B" w14:textId="77777777" w:rsidR="000D5AB3" w:rsidRDefault="000D5AB3">
            <w:pPr>
              <w:pStyle w:val="TableParagraph"/>
              <w:numPr>
                <w:ilvl w:val="0"/>
                <w:numId w:val="16"/>
              </w:numPr>
              <w:tabs>
                <w:tab w:val="left" w:pos="720"/>
              </w:tabs>
              <w:spacing w:before="26"/>
              <w:ind w:right="139"/>
              <w:jc w:val="both"/>
              <w:rPr>
                <w:color w:val="323E4F" w:themeColor="text2" w:themeShade="BF"/>
                <w:sz w:val="18"/>
              </w:rPr>
            </w:pPr>
            <w:r>
              <w:rPr>
                <w:color w:val="323E4F" w:themeColor="text2" w:themeShade="BF"/>
                <w:sz w:val="18"/>
              </w:rPr>
              <w:t xml:space="preserve">Equitable access to coastal property </w:t>
            </w:r>
          </w:p>
          <w:p w14:paraId="0AEFB034" w14:textId="77777777" w:rsidR="000D5AB3" w:rsidRDefault="000D5AB3">
            <w:pPr>
              <w:pStyle w:val="TableParagraph"/>
              <w:numPr>
                <w:ilvl w:val="0"/>
                <w:numId w:val="16"/>
              </w:numPr>
              <w:tabs>
                <w:tab w:val="left" w:pos="720"/>
              </w:tabs>
              <w:spacing w:before="26"/>
              <w:ind w:right="139"/>
              <w:jc w:val="both"/>
              <w:rPr>
                <w:color w:val="323E4F" w:themeColor="text2" w:themeShade="BF"/>
                <w:sz w:val="18"/>
              </w:rPr>
            </w:pPr>
            <w:r>
              <w:rPr>
                <w:color w:val="323E4F" w:themeColor="text2" w:themeShade="BF"/>
                <w:sz w:val="18"/>
              </w:rPr>
              <w:t>Giving effect to South Africa’s obligations under international coastal and marine law</w:t>
            </w:r>
          </w:p>
          <w:p w14:paraId="2847745D" w14:textId="77777777" w:rsidR="000D5AB3" w:rsidRDefault="000D5AB3">
            <w:pPr>
              <w:pStyle w:val="TableParagraph"/>
              <w:ind w:left="-1"/>
              <w:jc w:val="both"/>
              <w:rPr>
                <w:b/>
                <w:i/>
                <w:color w:val="323E4F" w:themeColor="text2" w:themeShade="BF"/>
                <w:sz w:val="18"/>
              </w:rPr>
            </w:pPr>
            <w:r>
              <w:rPr>
                <w:b/>
                <w:i/>
                <w:color w:val="323E4F" w:themeColor="text2" w:themeShade="BF"/>
                <w:sz w:val="18"/>
              </w:rPr>
              <w:t>Relevance to project:</w:t>
            </w:r>
          </w:p>
          <w:p w14:paraId="5847D379" w14:textId="77777777" w:rsidR="000D5AB3" w:rsidRDefault="000D5AB3">
            <w:pPr>
              <w:pStyle w:val="TableParagraph"/>
              <w:spacing w:before="56" w:line="268" w:lineRule="auto"/>
              <w:ind w:left="-1" w:right="137"/>
              <w:jc w:val="both"/>
              <w:rPr>
                <w:color w:val="323E4F" w:themeColor="text2" w:themeShade="BF"/>
                <w:sz w:val="18"/>
              </w:rPr>
            </w:pPr>
            <w:r>
              <w:rPr>
                <w:color w:val="323E4F" w:themeColor="text2" w:themeShade="BF"/>
                <w:sz w:val="18"/>
              </w:rPr>
              <w:t>In terms of the NEM: ICMA (Act No. 44 of 2008), anyone who wishes to discharge effluent into coastal waters must apply to the Department of Environmental Affairs (DEA) for a Coastal Waters Discharge Permit within 24 months of commencement of the NEM: ICMA. This is specifically if the discharge is in terms of an existing License or authorisation issued under the National Water Act (Act No. 36 of 1998) (NWA).</w:t>
            </w:r>
          </w:p>
          <w:p w14:paraId="5688B1EE" w14:textId="77777777" w:rsidR="000D5AB3" w:rsidRDefault="000D5AB3">
            <w:pPr>
              <w:ind w:right="151"/>
              <w:rPr>
                <w:b/>
                <w:bCs/>
                <w:i/>
                <w:iCs/>
                <w:color w:val="323E4F" w:themeColor="text2" w:themeShade="BF"/>
                <w:sz w:val="18"/>
                <w:szCs w:val="18"/>
              </w:rPr>
            </w:pPr>
          </w:p>
          <w:p w14:paraId="551EE3A8" w14:textId="77777777" w:rsidR="000D5AB3" w:rsidRDefault="000D5AB3">
            <w:pPr>
              <w:pStyle w:val="TableParagraph"/>
              <w:ind w:left="-1"/>
              <w:jc w:val="both"/>
              <w:rPr>
                <w:b/>
                <w:i/>
                <w:color w:val="323E4F" w:themeColor="text2" w:themeShade="BF"/>
                <w:sz w:val="18"/>
              </w:rPr>
            </w:pPr>
            <w:r>
              <w:rPr>
                <w:b/>
                <w:i/>
                <w:color w:val="323E4F" w:themeColor="text2" w:themeShade="BF"/>
                <w:sz w:val="18"/>
              </w:rPr>
              <w:t>Notices and Regulations:</w:t>
            </w:r>
          </w:p>
          <w:p w14:paraId="1D1088F6" w14:textId="77777777" w:rsidR="000D5AB3" w:rsidRDefault="000D5AB3">
            <w:pPr>
              <w:pStyle w:val="TableParagraph"/>
              <w:spacing w:before="56"/>
              <w:ind w:left="-1" w:right="180"/>
              <w:jc w:val="both"/>
              <w:rPr>
                <w:color w:val="323E4F" w:themeColor="text2" w:themeShade="BF"/>
                <w:sz w:val="18"/>
                <w:szCs w:val="18"/>
              </w:rPr>
            </w:pPr>
            <w:r>
              <w:rPr>
                <w:color w:val="323E4F" w:themeColor="text2" w:themeShade="BF"/>
                <w:sz w:val="18"/>
              </w:rPr>
              <w:t>Coastal Waters Discharge Permit Regulations (GNR382) – 15 March 2019</w:t>
            </w:r>
          </w:p>
        </w:tc>
      </w:tr>
      <w:tr w:rsidR="000D5AB3" w14:paraId="298E99E2" w14:textId="77777777" w:rsidTr="00917F04">
        <w:tblPrEx>
          <w:tblCellSpacing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trHeight w:val="607"/>
        </w:trPr>
        <w:tc>
          <w:tcPr>
            <w:tcW w:w="1203" w:type="pct"/>
            <w:tcBorders>
              <w:top w:val="single" w:sz="8" w:space="0" w:color="FFFFFF"/>
              <w:left w:val="nil"/>
              <w:bottom w:val="single" w:sz="8" w:space="0" w:color="FFFFFF"/>
              <w:right w:val="single" w:sz="8" w:space="0" w:color="FFFFFF"/>
            </w:tcBorders>
            <w:shd w:val="clear" w:color="auto" w:fill="B1E7FF"/>
          </w:tcPr>
          <w:p w14:paraId="59CB3BC8" w14:textId="77777777" w:rsidR="000D5AB3" w:rsidRDefault="000D5AB3">
            <w:pPr>
              <w:pStyle w:val="TableParagraph"/>
              <w:spacing w:before="6"/>
              <w:rPr>
                <w:rFonts w:ascii="Times New Roman"/>
                <w:color w:val="323E4F" w:themeColor="text2" w:themeShade="BF"/>
                <w:sz w:val="16"/>
              </w:rPr>
            </w:pPr>
          </w:p>
          <w:p w14:paraId="64C146F7" w14:textId="77777777" w:rsidR="000D5AB3" w:rsidRDefault="000D5AB3">
            <w:pPr>
              <w:pStyle w:val="TableParagraph"/>
              <w:jc w:val="both"/>
              <w:rPr>
                <w:rFonts w:ascii="Times New Roman"/>
                <w:color w:val="323E4F" w:themeColor="text2" w:themeShade="BF"/>
                <w:sz w:val="20"/>
              </w:rPr>
            </w:pPr>
            <w:r>
              <w:rPr>
                <w:color w:val="323E4F" w:themeColor="text2" w:themeShade="BF"/>
                <w:sz w:val="18"/>
              </w:rPr>
              <w:t>KZN Nature Conservation Management Act (Act No. 9 of 1997)</w:t>
            </w:r>
          </w:p>
        </w:tc>
        <w:tc>
          <w:tcPr>
            <w:tcW w:w="3775" w:type="pct"/>
            <w:gridSpan w:val="2"/>
            <w:tcBorders>
              <w:top w:val="single" w:sz="8" w:space="0" w:color="FFFFFF"/>
              <w:left w:val="single" w:sz="8" w:space="0" w:color="FFFFFF"/>
              <w:bottom w:val="single" w:sz="8" w:space="0" w:color="FFFFFF"/>
              <w:right w:val="nil"/>
            </w:tcBorders>
            <w:shd w:val="clear" w:color="auto" w:fill="B1E7FF"/>
          </w:tcPr>
          <w:p w14:paraId="65CC4D5E" w14:textId="77777777" w:rsidR="000D5AB3" w:rsidRDefault="000D5AB3">
            <w:pPr>
              <w:pStyle w:val="TableParagraph"/>
              <w:spacing w:before="6"/>
              <w:ind w:right="180"/>
              <w:rPr>
                <w:rFonts w:ascii="Times New Roman"/>
                <w:color w:val="323E4F" w:themeColor="text2" w:themeShade="BF"/>
                <w:sz w:val="16"/>
              </w:rPr>
            </w:pPr>
          </w:p>
          <w:p w14:paraId="69C0EE9B" w14:textId="77777777" w:rsidR="000D5AB3" w:rsidRDefault="000D5AB3">
            <w:pPr>
              <w:pStyle w:val="TableParagraph"/>
              <w:spacing w:before="56" w:line="268" w:lineRule="auto"/>
              <w:ind w:left="-1" w:right="137"/>
              <w:jc w:val="both"/>
              <w:rPr>
                <w:b/>
                <w:i/>
                <w:color w:val="323E4F" w:themeColor="text2" w:themeShade="BF"/>
                <w:sz w:val="18"/>
              </w:rPr>
            </w:pPr>
            <w:r>
              <w:rPr>
                <w:color w:val="323E4F" w:themeColor="text2" w:themeShade="BF"/>
                <w:sz w:val="18"/>
              </w:rPr>
              <w:t>This Act makes provision of institutional structures for nature conservation in KZN to establish control and monitoring bodies and mechanisms such as the KZN Nature Conservation Board.</w:t>
            </w:r>
          </w:p>
        </w:tc>
      </w:tr>
      <w:tr w:rsidR="000D5AB3" w14:paraId="3EF90D5C" w14:textId="77777777" w:rsidTr="00917F04">
        <w:tblPrEx>
          <w:tblCellSpacing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trHeight w:val="607"/>
        </w:trPr>
        <w:tc>
          <w:tcPr>
            <w:tcW w:w="1203" w:type="pct"/>
            <w:tcBorders>
              <w:top w:val="single" w:sz="8" w:space="0" w:color="FFFFFF"/>
              <w:left w:val="nil"/>
              <w:bottom w:val="nil"/>
              <w:right w:val="single" w:sz="8" w:space="0" w:color="FFFFFF"/>
            </w:tcBorders>
            <w:shd w:val="clear" w:color="auto" w:fill="B1E7FF"/>
          </w:tcPr>
          <w:p w14:paraId="5EB24A51" w14:textId="77777777" w:rsidR="000D5AB3" w:rsidRDefault="000D5AB3">
            <w:pPr>
              <w:pStyle w:val="TableParagraph"/>
              <w:spacing w:before="9"/>
              <w:rPr>
                <w:rFonts w:ascii="Times New Roman"/>
                <w:color w:val="323E4F" w:themeColor="text2" w:themeShade="BF"/>
                <w:sz w:val="26"/>
              </w:rPr>
            </w:pPr>
          </w:p>
          <w:p w14:paraId="78D9EFBF" w14:textId="77777777" w:rsidR="000D5AB3" w:rsidRDefault="000D5AB3">
            <w:pPr>
              <w:pStyle w:val="TableParagraph"/>
              <w:jc w:val="both"/>
              <w:rPr>
                <w:rFonts w:ascii="Times New Roman"/>
                <w:color w:val="323E4F" w:themeColor="text2" w:themeShade="BF"/>
                <w:sz w:val="20"/>
              </w:rPr>
            </w:pPr>
            <w:r>
              <w:rPr>
                <w:color w:val="323E4F" w:themeColor="text2" w:themeShade="BF"/>
                <w:sz w:val="18"/>
              </w:rPr>
              <w:t>KZN Nature Conservation Ordinance (No. 15 of 1974)</w:t>
            </w:r>
          </w:p>
        </w:tc>
        <w:tc>
          <w:tcPr>
            <w:tcW w:w="3775" w:type="pct"/>
            <w:gridSpan w:val="2"/>
            <w:tcBorders>
              <w:top w:val="single" w:sz="8" w:space="0" w:color="FFFFFF"/>
              <w:left w:val="single" w:sz="8" w:space="0" w:color="FFFFFF"/>
              <w:bottom w:val="nil"/>
              <w:right w:val="nil"/>
            </w:tcBorders>
            <w:shd w:val="clear" w:color="auto" w:fill="B1E7FF"/>
            <w:hideMark/>
          </w:tcPr>
          <w:p w14:paraId="5BCF68EC" w14:textId="77777777" w:rsidR="000D5AB3" w:rsidRDefault="000D5AB3">
            <w:pPr>
              <w:pStyle w:val="TableParagraph"/>
              <w:spacing w:before="56" w:line="268" w:lineRule="auto"/>
              <w:ind w:left="-1" w:right="137"/>
              <w:jc w:val="both"/>
              <w:rPr>
                <w:color w:val="323E4F" w:themeColor="text2" w:themeShade="BF"/>
                <w:sz w:val="18"/>
              </w:rPr>
            </w:pPr>
            <w:r>
              <w:rPr>
                <w:color w:val="323E4F" w:themeColor="text2" w:themeShade="BF"/>
                <w:sz w:val="18"/>
              </w:rPr>
              <w:t xml:space="preserve">This Ordinance serves to consolidate the laws relating to nature conservation within the province of KZN and describes the correct processes related to the adherence and regulation of these laws. The ordinance outlines </w:t>
            </w:r>
            <w:proofErr w:type="gramStart"/>
            <w:r>
              <w:rPr>
                <w:color w:val="323E4F" w:themeColor="text2" w:themeShade="BF"/>
                <w:sz w:val="18"/>
              </w:rPr>
              <w:t>a number of</w:t>
            </w:r>
            <w:proofErr w:type="gramEnd"/>
            <w:r>
              <w:rPr>
                <w:color w:val="323E4F" w:themeColor="text2" w:themeShade="BF"/>
                <w:sz w:val="18"/>
              </w:rPr>
              <w:t xml:space="preserve"> protected faunal and floral species and the accompanying regulations that are relevant to these species.</w:t>
            </w:r>
          </w:p>
        </w:tc>
      </w:tr>
    </w:tbl>
    <w:p w14:paraId="73826447" w14:textId="77777777" w:rsidR="000D5AB3" w:rsidRDefault="000D5AB3" w:rsidP="000D5AB3">
      <w:pPr>
        <w:pStyle w:val="BodyText"/>
        <w:jc w:val="both"/>
        <w:rPr>
          <w:rFonts w:ascii="Times New Roman"/>
          <w:color w:val="323E4F" w:themeColor="text2" w:themeShade="BF"/>
        </w:rPr>
      </w:pPr>
    </w:p>
    <w:p w14:paraId="6C4DDA2C" w14:textId="77777777" w:rsidR="000D5AB3" w:rsidRDefault="000D5AB3" w:rsidP="000D5AB3">
      <w:pPr>
        <w:pStyle w:val="BodyText"/>
        <w:spacing w:before="93" w:line="268" w:lineRule="auto"/>
        <w:ind w:left="360" w:right="570"/>
        <w:jc w:val="both"/>
        <w:rPr>
          <w:color w:val="323E4F" w:themeColor="text2" w:themeShade="BF"/>
        </w:rPr>
      </w:pPr>
      <w:r>
        <w:rPr>
          <w:color w:val="323E4F" w:themeColor="text2" w:themeShade="BF"/>
        </w:rPr>
        <w:t>There</w:t>
      </w:r>
      <w:r>
        <w:rPr>
          <w:color w:val="323E4F" w:themeColor="text2" w:themeShade="BF"/>
          <w:spacing w:val="-14"/>
        </w:rPr>
        <w:t xml:space="preserve"> </w:t>
      </w:r>
      <w:r>
        <w:rPr>
          <w:color w:val="323E4F" w:themeColor="text2" w:themeShade="BF"/>
        </w:rPr>
        <w:t>are also</w:t>
      </w:r>
      <w:r>
        <w:rPr>
          <w:color w:val="323E4F" w:themeColor="text2" w:themeShade="BF"/>
          <w:spacing w:val="-10"/>
        </w:rPr>
        <w:t xml:space="preserve"> </w:t>
      </w:r>
      <w:proofErr w:type="gramStart"/>
      <w:r>
        <w:rPr>
          <w:color w:val="323E4F" w:themeColor="text2" w:themeShade="BF"/>
        </w:rPr>
        <w:t>a</w:t>
      </w:r>
      <w:r>
        <w:rPr>
          <w:color w:val="323E4F" w:themeColor="text2" w:themeShade="BF"/>
          <w:spacing w:val="-13"/>
        </w:rPr>
        <w:t xml:space="preserve"> </w:t>
      </w:r>
      <w:r>
        <w:rPr>
          <w:color w:val="323E4F" w:themeColor="text2" w:themeShade="BF"/>
        </w:rPr>
        <w:t>number</w:t>
      </w:r>
      <w:r>
        <w:rPr>
          <w:color w:val="323E4F" w:themeColor="text2" w:themeShade="BF"/>
          <w:spacing w:val="-13"/>
        </w:rPr>
        <w:t xml:space="preserve"> </w:t>
      </w:r>
      <w:r>
        <w:rPr>
          <w:color w:val="323E4F" w:themeColor="text2" w:themeShade="BF"/>
        </w:rPr>
        <w:t>of</w:t>
      </w:r>
      <w:proofErr w:type="gramEnd"/>
      <w:r>
        <w:rPr>
          <w:color w:val="323E4F" w:themeColor="text2" w:themeShade="BF"/>
          <w:spacing w:val="-11"/>
        </w:rPr>
        <w:t xml:space="preserve"> </w:t>
      </w:r>
      <w:r>
        <w:rPr>
          <w:color w:val="323E4F" w:themeColor="text2" w:themeShade="BF"/>
        </w:rPr>
        <w:t>international</w:t>
      </w:r>
      <w:r>
        <w:rPr>
          <w:color w:val="323E4F" w:themeColor="text2" w:themeShade="BF"/>
          <w:spacing w:val="-12"/>
        </w:rPr>
        <w:t xml:space="preserve"> </w:t>
      </w:r>
      <w:r>
        <w:rPr>
          <w:color w:val="323E4F" w:themeColor="text2" w:themeShade="BF"/>
        </w:rPr>
        <w:t>conventions,</w:t>
      </w:r>
      <w:r>
        <w:rPr>
          <w:color w:val="323E4F" w:themeColor="text2" w:themeShade="BF"/>
          <w:spacing w:val="-9"/>
        </w:rPr>
        <w:t xml:space="preserve"> </w:t>
      </w:r>
      <w:r>
        <w:rPr>
          <w:color w:val="323E4F" w:themeColor="text2" w:themeShade="BF"/>
        </w:rPr>
        <w:t>agreements,</w:t>
      </w:r>
      <w:r>
        <w:rPr>
          <w:color w:val="323E4F" w:themeColor="text2" w:themeShade="BF"/>
          <w:spacing w:val="-13"/>
        </w:rPr>
        <w:t xml:space="preserve"> </w:t>
      </w:r>
      <w:r>
        <w:rPr>
          <w:color w:val="323E4F" w:themeColor="text2" w:themeShade="BF"/>
        </w:rPr>
        <w:t>standards,</w:t>
      </w:r>
      <w:r>
        <w:rPr>
          <w:color w:val="323E4F" w:themeColor="text2" w:themeShade="BF"/>
          <w:spacing w:val="-14"/>
        </w:rPr>
        <w:t xml:space="preserve"> </w:t>
      </w:r>
      <w:r>
        <w:rPr>
          <w:color w:val="323E4F" w:themeColor="text2" w:themeShade="BF"/>
        </w:rPr>
        <w:t>guidelines</w:t>
      </w:r>
      <w:r>
        <w:rPr>
          <w:color w:val="323E4F" w:themeColor="text2" w:themeShade="BF"/>
          <w:spacing w:val="-11"/>
        </w:rPr>
        <w:t xml:space="preserve"> </w:t>
      </w:r>
      <w:r>
        <w:rPr>
          <w:color w:val="323E4F" w:themeColor="text2" w:themeShade="BF"/>
        </w:rPr>
        <w:t>and</w:t>
      </w:r>
      <w:r>
        <w:rPr>
          <w:color w:val="323E4F" w:themeColor="text2" w:themeShade="BF"/>
          <w:spacing w:val="-10"/>
        </w:rPr>
        <w:t xml:space="preserve"> </w:t>
      </w:r>
      <w:r>
        <w:rPr>
          <w:color w:val="323E4F" w:themeColor="text2" w:themeShade="BF"/>
        </w:rPr>
        <w:t>industry</w:t>
      </w:r>
      <w:r>
        <w:rPr>
          <w:color w:val="323E4F" w:themeColor="text2" w:themeShade="BF"/>
          <w:spacing w:val="-8"/>
        </w:rPr>
        <w:t xml:space="preserve"> </w:t>
      </w:r>
      <w:r>
        <w:rPr>
          <w:color w:val="323E4F" w:themeColor="text2" w:themeShade="BF"/>
        </w:rPr>
        <w:t>guidelines which may have relevance to the proposed</w:t>
      </w:r>
      <w:r>
        <w:rPr>
          <w:color w:val="323E4F" w:themeColor="text2" w:themeShade="BF"/>
          <w:spacing w:val="1"/>
        </w:rPr>
        <w:t xml:space="preserve"> </w:t>
      </w:r>
      <w:r>
        <w:rPr>
          <w:color w:val="323E4F" w:themeColor="text2" w:themeShade="BF"/>
        </w:rPr>
        <w:t>project.</w:t>
      </w:r>
    </w:p>
    <w:p w14:paraId="01B7B6DC" w14:textId="77777777" w:rsidR="000D5AB3" w:rsidRDefault="000D5AB3" w:rsidP="000D5AB3">
      <w:pPr>
        <w:pStyle w:val="BodyText"/>
        <w:jc w:val="both"/>
        <w:rPr>
          <w:color w:val="323E4F" w:themeColor="text2" w:themeShade="BF"/>
          <w:sz w:val="22"/>
        </w:rPr>
      </w:pPr>
    </w:p>
    <w:p w14:paraId="2BEE3F25" w14:textId="77777777" w:rsidR="00F41561" w:rsidRDefault="00F41561">
      <w:pPr>
        <w:spacing w:after="160" w:line="259" w:lineRule="auto"/>
        <w:rPr>
          <w:rFonts w:eastAsia="Arial" w:cs="Arial"/>
          <w:b/>
          <w:i/>
          <w:iCs/>
          <w:color w:val="323E4F" w:themeColor="text2" w:themeShade="BF"/>
          <w:szCs w:val="18"/>
          <w:lang w:val="en-ZA" w:eastAsia="en-ZA" w:bidi="en-ZA"/>
        </w:rPr>
      </w:pPr>
      <w:bookmarkStart w:id="10" w:name="_bookmark6"/>
      <w:bookmarkStart w:id="11" w:name="_Toc127273881"/>
      <w:bookmarkEnd w:id="10"/>
      <w:r>
        <w:rPr>
          <w:color w:val="323E4F" w:themeColor="text2" w:themeShade="BF"/>
        </w:rPr>
        <w:br w:type="page"/>
      </w:r>
    </w:p>
    <w:p w14:paraId="7FEEC68C" w14:textId="77DB1CD6" w:rsidR="000D5AB3" w:rsidRDefault="000D5AB3" w:rsidP="000D5AB3">
      <w:pPr>
        <w:pStyle w:val="Caption"/>
        <w:rPr>
          <w:color w:val="323E4F" w:themeColor="text2" w:themeShade="BF"/>
        </w:rPr>
      </w:pPr>
      <w:r>
        <w:rPr>
          <w:color w:val="323E4F" w:themeColor="text2" w:themeShade="BF"/>
        </w:rPr>
        <w:lastRenderedPageBreak/>
        <w:t xml:space="preserve">Table </w:t>
      </w:r>
      <w:r>
        <w:fldChar w:fldCharType="begin"/>
      </w:r>
      <w:r>
        <w:rPr>
          <w:color w:val="323E4F" w:themeColor="text2" w:themeShade="BF"/>
        </w:rPr>
        <w:instrText xml:space="preserve"> STYLEREF 1 \s </w:instrText>
      </w:r>
      <w:r>
        <w:fldChar w:fldCharType="separate"/>
      </w:r>
      <w:r>
        <w:rPr>
          <w:noProof/>
          <w:color w:val="323E4F" w:themeColor="text2" w:themeShade="BF"/>
        </w:rPr>
        <w:t>2</w:t>
      </w:r>
      <w:r>
        <w:fldChar w:fldCharType="end"/>
      </w:r>
      <w:r>
        <w:rPr>
          <w:color w:val="323E4F" w:themeColor="text2" w:themeShade="BF"/>
        </w:rPr>
        <w:noBreakHyphen/>
      </w:r>
      <w:r>
        <w:fldChar w:fldCharType="begin"/>
      </w:r>
      <w:r>
        <w:rPr>
          <w:color w:val="323E4F" w:themeColor="text2" w:themeShade="BF"/>
        </w:rPr>
        <w:instrText xml:space="preserve"> SEQ Table \* ARABIC \s 1 </w:instrText>
      </w:r>
      <w:r>
        <w:fldChar w:fldCharType="separate"/>
      </w:r>
      <w:r>
        <w:rPr>
          <w:noProof/>
          <w:color w:val="323E4F" w:themeColor="text2" w:themeShade="BF"/>
        </w:rPr>
        <w:t>2</w:t>
      </w:r>
      <w:r>
        <w:fldChar w:fldCharType="end"/>
      </w:r>
      <w:r>
        <w:rPr>
          <w:color w:val="323E4F" w:themeColor="text2" w:themeShade="BF"/>
        </w:rPr>
        <w:t>:</w:t>
      </w:r>
      <w:r>
        <w:rPr>
          <w:color w:val="323E4F" w:themeColor="text2" w:themeShade="BF"/>
        </w:rPr>
        <w:tab/>
        <w:t>International Conventions, Standards, Guidelines and Practices</w:t>
      </w:r>
      <w:bookmarkEnd w:id="11"/>
    </w:p>
    <w:tbl>
      <w:tblPr>
        <w:tblW w:w="5000" w:type="pct"/>
        <w:tblCellSpacing w:w="8" w:type="dxa"/>
        <w:tblCellMar>
          <w:left w:w="0" w:type="dxa"/>
          <w:right w:w="0" w:type="dxa"/>
        </w:tblCellMar>
        <w:tblLook w:val="01E0" w:firstRow="1" w:lastRow="1" w:firstColumn="1" w:lastColumn="1" w:noHBand="0" w:noVBand="0"/>
      </w:tblPr>
      <w:tblGrid>
        <w:gridCol w:w="3597"/>
        <w:gridCol w:w="10363"/>
      </w:tblGrid>
      <w:tr w:rsidR="000D5AB3" w14:paraId="75A75B31" w14:textId="77777777" w:rsidTr="000C5758">
        <w:trPr>
          <w:trHeight w:val="329"/>
          <w:tblHeader/>
          <w:tblCellSpacing w:w="8" w:type="dxa"/>
        </w:trPr>
        <w:tc>
          <w:tcPr>
            <w:tcW w:w="4989" w:type="pct"/>
            <w:gridSpan w:val="2"/>
            <w:shd w:val="clear" w:color="auto" w:fill="00567D"/>
            <w:hideMark/>
          </w:tcPr>
          <w:p w14:paraId="0643E4A6" w14:textId="77777777" w:rsidR="000D5AB3" w:rsidRDefault="000D5AB3">
            <w:pPr>
              <w:pStyle w:val="TableParagraph"/>
              <w:spacing w:before="56"/>
              <w:ind w:left="2590"/>
              <w:jc w:val="both"/>
              <w:rPr>
                <w:b/>
                <w:color w:val="323E4F" w:themeColor="text2" w:themeShade="BF"/>
                <w:sz w:val="18"/>
              </w:rPr>
            </w:pPr>
            <w:r>
              <w:rPr>
                <w:b/>
                <w:color w:val="FFFFFF" w:themeColor="background1"/>
                <w:sz w:val="18"/>
              </w:rPr>
              <w:t>Conventions, Agreements, Standards, Guidelines</w:t>
            </w:r>
          </w:p>
        </w:tc>
      </w:tr>
      <w:tr w:rsidR="000D5AB3" w14:paraId="2B4FA02F" w14:textId="77777777" w:rsidTr="000C5758">
        <w:trPr>
          <w:trHeight w:val="797"/>
          <w:tblCellSpacing w:w="8" w:type="dxa"/>
        </w:trPr>
        <w:tc>
          <w:tcPr>
            <w:tcW w:w="1281" w:type="pct"/>
            <w:shd w:val="clear" w:color="auto" w:fill="B1E7FF"/>
            <w:hideMark/>
          </w:tcPr>
          <w:p w14:paraId="30624B0E" w14:textId="77777777" w:rsidR="000D5AB3" w:rsidRDefault="000D5AB3">
            <w:pPr>
              <w:pStyle w:val="TableParagraph"/>
              <w:spacing w:before="56" w:line="268" w:lineRule="auto"/>
              <w:ind w:right="189"/>
              <w:jc w:val="both"/>
              <w:rPr>
                <w:color w:val="323E4F" w:themeColor="text2" w:themeShade="BF"/>
                <w:sz w:val="18"/>
              </w:rPr>
            </w:pPr>
            <w:r>
              <w:rPr>
                <w:color w:val="323E4F" w:themeColor="text2" w:themeShade="BF"/>
                <w:sz w:val="18"/>
              </w:rPr>
              <w:t>World Heritage Convention (WHC) - Convention concerning the Protection of the World Cultural and Natural Heritage 1972 (Paris)</w:t>
            </w:r>
          </w:p>
        </w:tc>
        <w:tc>
          <w:tcPr>
            <w:tcW w:w="3702" w:type="pct"/>
            <w:shd w:val="clear" w:color="auto" w:fill="B1E7FF"/>
            <w:hideMark/>
          </w:tcPr>
          <w:p w14:paraId="45E6336C" w14:textId="77777777" w:rsidR="000D5AB3" w:rsidRDefault="000D5AB3">
            <w:pPr>
              <w:pStyle w:val="TableParagraph"/>
              <w:spacing w:before="171" w:line="271" w:lineRule="auto"/>
              <w:ind w:left="-2"/>
              <w:jc w:val="both"/>
              <w:rPr>
                <w:color w:val="323E4F" w:themeColor="text2" w:themeShade="BF"/>
                <w:sz w:val="18"/>
              </w:rPr>
            </w:pPr>
            <w:r>
              <w:rPr>
                <w:color w:val="323E4F" w:themeColor="text2" w:themeShade="BF"/>
                <w:sz w:val="18"/>
              </w:rPr>
              <w:t xml:space="preserve">Ensuring the identification, protection, conservation, </w:t>
            </w:r>
            <w:proofErr w:type="gramStart"/>
            <w:r>
              <w:rPr>
                <w:color w:val="323E4F" w:themeColor="text2" w:themeShade="BF"/>
                <w:sz w:val="18"/>
              </w:rPr>
              <w:t>presentation</w:t>
            </w:r>
            <w:proofErr w:type="gramEnd"/>
            <w:r>
              <w:rPr>
                <w:color w:val="323E4F" w:themeColor="text2" w:themeShade="BF"/>
                <w:sz w:val="18"/>
              </w:rPr>
              <w:t xml:space="preserve"> and transmission to future generations of the cultural and natural heritage.</w:t>
            </w:r>
          </w:p>
        </w:tc>
      </w:tr>
      <w:tr w:rsidR="000D5AB3" w14:paraId="6435738B" w14:textId="77777777" w:rsidTr="000C5758">
        <w:trPr>
          <w:trHeight w:val="864"/>
          <w:tblCellSpacing w:w="8" w:type="dxa"/>
        </w:trPr>
        <w:tc>
          <w:tcPr>
            <w:tcW w:w="1281" w:type="pct"/>
            <w:shd w:val="clear" w:color="auto" w:fill="B1E7FF"/>
          </w:tcPr>
          <w:p w14:paraId="28C0FEC5" w14:textId="77777777" w:rsidR="000D5AB3" w:rsidRDefault="000D5AB3">
            <w:pPr>
              <w:pStyle w:val="TableParagraph"/>
              <w:spacing w:before="2"/>
              <w:jc w:val="both"/>
              <w:rPr>
                <w:b/>
                <w:color w:val="323E4F" w:themeColor="text2" w:themeShade="BF"/>
                <w:sz w:val="25"/>
              </w:rPr>
            </w:pPr>
          </w:p>
          <w:p w14:paraId="0EFAA14A" w14:textId="77777777" w:rsidR="000D5AB3" w:rsidRDefault="000D5AB3">
            <w:pPr>
              <w:pStyle w:val="TableParagraph"/>
              <w:spacing w:line="266" w:lineRule="auto"/>
              <w:ind w:right="660"/>
              <w:jc w:val="both"/>
              <w:rPr>
                <w:color w:val="323E4F" w:themeColor="text2" w:themeShade="BF"/>
                <w:sz w:val="18"/>
              </w:rPr>
            </w:pPr>
            <w:r>
              <w:rPr>
                <w:color w:val="323E4F" w:themeColor="text2" w:themeShade="BF"/>
                <w:sz w:val="18"/>
              </w:rPr>
              <w:t>Convention on Biological Diversity (29 December 1993)</w:t>
            </w:r>
          </w:p>
        </w:tc>
        <w:tc>
          <w:tcPr>
            <w:tcW w:w="3702" w:type="pct"/>
            <w:shd w:val="clear" w:color="auto" w:fill="B1E7FF"/>
            <w:hideMark/>
          </w:tcPr>
          <w:p w14:paraId="400A3F91" w14:textId="77777777" w:rsidR="000D5AB3" w:rsidRDefault="000D5AB3">
            <w:pPr>
              <w:pStyle w:val="TableParagraph"/>
              <w:spacing w:before="57" w:line="268" w:lineRule="auto"/>
              <w:ind w:left="-2" w:right="136"/>
              <w:jc w:val="both"/>
              <w:rPr>
                <w:color w:val="323E4F" w:themeColor="text2" w:themeShade="BF"/>
                <w:sz w:val="18"/>
              </w:rPr>
            </w:pPr>
            <w:r>
              <w:rPr>
                <w:color w:val="323E4F" w:themeColor="text2" w:themeShade="BF"/>
                <w:sz w:val="18"/>
              </w:rPr>
              <w:t>The Convention has a bearing on the management of biodiversity at the study area. Countries such as South Africa that ascribe to the Convention must</w:t>
            </w:r>
            <w:r>
              <w:rPr>
                <w:color w:val="323E4F" w:themeColor="text2" w:themeShade="BF"/>
                <w:spacing w:val="-9"/>
                <w:sz w:val="18"/>
              </w:rPr>
              <w:t xml:space="preserve"> </w:t>
            </w:r>
            <w:r>
              <w:rPr>
                <w:color w:val="323E4F" w:themeColor="text2" w:themeShade="BF"/>
                <w:sz w:val="18"/>
              </w:rPr>
              <w:t>rehabilitate</w:t>
            </w:r>
            <w:r>
              <w:rPr>
                <w:color w:val="323E4F" w:themeColor="text2" w:themeShade="BF"/>
                <w:spacing w:val="-8"/>
                <w:sz w:val="18"/>
              </w:rPr>
              <w:t xml:space="preserve"> </w:t>
            </w:r>
            <w:r>
              <w:rPr>
                <w:color w:val="323E4F" w:themeColor="text2" w:themeShade="BF"/>
                <w:sz w:val="18"/>
              </w:rPr>
              <w:t>or</w:t>
            </w:r>
            <w:r>
              <w:rPr>
                <w:color w:val="323E4F" w:themeColor="text2" w:themeShade="BF"/>
                <w:spacing w:val="-9"/>
                <w:sz w:val="18"/>
              </w:rPr>
              <w:t xml:space="preserve"> </w:t>
            </w:r>
            <w:r>
              <w:rPr>
                <w:color w:val="323E4F" w:themeColor="text2" w:themeShade="BF"/>
                <w:sz w:val="18"/>
              </w:rPr>
              <w:t>restore</w:t>
            </w:r>
            <w:r>
              <w:rPr>
                <w:color w:val="323E4F" w:themeColor="text2" w:themeShade="BF"/>
                <w:spacing w:val="-9"/>
                <w:sz w:val="18"/>
              </w:rPr>
              <w:t xml:space="preserve"> </w:t>
            </w:r>
            <w:r>
              <w:rPr>
                <w:color w:val="323E4F" w:themeColor="text2" w:themeShade="BF"/>
                <w:sz w:val="18"/>
              </w:rPr>
              <w:t>degraded</w:t>
            </w:r>
            <w:r>
              <w:rPr>
                <w:color w:val="323E4F" w:themeColor="text2" w:themeShade="BF"/>
                <w:spacing w:val="-9"/>
                <w:sz w:val="18"/>
              </w:rPr>
              <w:t xml:space="preserve"> </w:t>
            </w:r>
            <w:r>
              <w:rPr>
                <w:color w:val="323E4F" w:themeColor="text2" w:themeShade="BF"/>
                <w:sz w:val="18"/>
              </w:rPr>
              <w:t>ecosystems</w:t>
            </w:r>
            <w:r>
              <w:rPr>
                <w:color w:val="323E4F" w:themeColor="text2" w:themeShade="BF"/>
                <w:spacing w:val="-9"/>
                <w:sz w:val="18"/>
              </w:rPr>
              <w:t xml:space="preserve"> </w:t>
            </w:r>
            <w:r>
              <w:rPr>
                <w:color w:val="323E4F" w:themeColor="text2" w:themeShade="BF"/>
                <w:sz w:val="18"/>
              </w:rPr>
              <w:t>through</w:t>
            </w:r>
            <w:r>
              <w:rPr>
                <w:color w:val="323E4F" w:themeColor="text2" w:themeShade="BF"/>
                <w:spacing w:val="-9"/>
                <w:sz w:val="18"/>
              </w:rPr>
              <w:t xml:space="preserve"> </w:t>
            </w:r>
            <w:r>
              <w:rPr>
                <w:color w:val="323E4F" w:themeColor="text2" w:themeShade="BF"/>
                <w:sz w:val="18"/>
              </w:rPr>
              <w:t>the</w:t>
            </w:r>
            <w:r>
              <w:rPr>
                <w:color w:val="323E4F" w:themeColor="text2" w:themeShade="BF"/>
                <w:spacing w:val="-6"/>
                <w:sz w:val="18"/>
              </w:rPr>
              <w:t xml:space="preserve"> </w:t>
            </w:r>
            <w:r>
              <w:rPr>
                <w:color w:val="323E4F" w:themeColor="text2" w:themeShade="BF"/>
                <w:sz w:val="18"/>
              </w:rPr>
              <w:t>formulation</w:t>
            </w:r>
            <w:r>
              <w:rPr>
                <w:color w:val="323E4F" w:themeColor="text2" w:themeShade="BF"/>
                <w:spacing w:val="-9"/>
                <w:sz w:val="18"/>
              </w:rPr>
              <w:t xml:space="preserve"> </w:t>
            </w:r>
            <w:r>
              <w:rPr>
                <w:color w:val="323E4F" w:themeColor="text2" w:themeShade="BF"/>
                <w:sz w:val="18"/>
              </w:rPr>
              <w:t>of appropriate strategies and plans.</w:t>
            </w:r>
          </w:p>
        </w:tc>
      </w:tr>
      <w:tr w:rsidR="000D5AB3" w14:paraId="326F2BF3" w14:textId="77777777" w:rsidTr="000C5758">
        <w:trPr>
          <w:trHeight w:val="1152"/>
          <w:tblCellSpacing w:w="8" w:type="dxa"/>
        </w:trPr>
        <w:tc>
          <w:tcPr>
            <w:tcW w:w="1281" w:type="pct"/>
            <w:shd w:val="clear" w:color="auto" w:fill="B1E7FF"/>
          </w:tcPr>
          <w:p w14:paraId="719E7B7A" w14:textId="77777777" w:rsidR="000D5AB3" w:rsidRDefault="000D5AB3">
            <w:pPr>
              <w:pStyle w:val="TableParagraph"/>
              <w:jc w:val="both"/>
              <w:rPr>
                <w:b/>
                <w:color w:val="323E4F" w:themeColor="text2" w:themeShade="BF"/>
                <w:sz w:val="20"/>
              </w:rPr>
            </w:pPr>
          </w:p>
          <w:p w14:paraId="67F3EB4F" w14:textId="77777777" w:rsidR="000D5AB3" w:rsidRDefault="000D5AB3">
            <w:pPr>
              <w:pStyle w:val="TableParagraph"/>
              <w:jc w:val="both"/>
              <w:rPr>
                <w:b/>
                <w:color w:val="323E4F" w:themeColor="text2" w:themeShade="BF"/>
                <w:sz w:val="20"/>
              </w:rPr>
            </w:pPr>
          </w:p>
          <w:p w14:paraId="1397166F" w14:textId="77777777" w:rsidR="000D5AB3" w:rsidRDefault="000D5AB3">
            <w:pPr>
              <w:pStyle w:val="TableParagraph"/>
              <w:spacing w:before="9"/>
              <w:jc w:val="both"/>
              <w:rPr>
                <w:b/>
                <w:color w:val="323E4F" w:themeColor="text2" w:themeShade="BF"/>
                <w:sz w:val="15"/>
              </w:rPr>
            </w:pPr>
          </w:p>
          <w:p w14:paraId="264466E9" w14:textId="77777777" w:rsidR="000D5AB3" w:rsidRDefault="000D5AB3">
            <w:pPr>
              <w:pStyle w:val="TableParagraph"/>
              <w:jc w:val="both"/>
              <w:rPr>
                <w:color w:val="323E4F" w:themeColor="text2" w:themeShade="BF"/>
                <w:sz w:val="18"/>
              </w:rPr>
            </w:pPr>
            <w:r>
              <w:rPr>
                <w:color w:val="323E4F" w:themeColor="text2" w:themeShade="BF"/>
                <w:sz w:val="18"/>
              </w:rPr>
              <w:t>RAMSAR Convention on Wetlands</w:t>
            </w:r>
          </w:p>
        </w:tc>
        <w:tc>
          <w:tcPr>
            <w:tcW w:w="3702" w:type="pct"/>
            <w:shd w:val="clear" w:color="auto" w:fill="B1E7FF"/>
            <w:hideMark/>
          </w:tcPr>
          <w:p w14:paraId="292CB02B" w14:textId="77777777" w:rsidR="000D5AB3" w:rsidRDefault="000D5AB3">
            <w:pPr>
              <w:pStyle w:val="TableParagraph"/>
              <w:spacing w:before="56" w:line="268" w:lineRule="auto"/>
              <w:ind w:left="-2" w:right="136"/>
              <w:jc w:val="both"/>
              <w:rPr>
                <w:color w:val="323E4F" w:themeColor="text2" w:themeShade="BF"/>
                <w:sz w:val="18"/>
              </w:rPr>
            </w:pPr>
            <w:r>
              <w:rPr>
                <w:color w:val="323E4F" w:themeColor="text2" w:themeShade="BF"/>
                <w:sz w:val="18"/>
              </w:rPr>
              <w:t>The Convention on Wetlands is the intergovernmental treaty that provides the framework for the conservation and wise use of wetlands and their resources. The Convention was adopted in the Iranian city of Ramsar in 1971 and came into force in 1975. Since then, almost 90% of UN member states, from all the world’s geographic regions, have acceded to become “Contracting Parties”.</w:t>
            </w:r>
          </w:p>
        </w:tc>
      </w:tr>
      <w:tr w:rsidR="000D5AB3" w14:paraId="4228B90F" w14:textId="77777777" w:rsidTr="000C5758">
        <w:trPr>
          <w:trHeight w:val="1440"/>
          <w:tblCellSpacing w:w="8" w:type="dxa"/>
        </w:trPr>
        <w:tc>
          <w:tcPr>
            <w:tcW w:w="1281" w:type="pct"/>
            <w:shd w:val="clear" w:color="auto" w:fill="B1E7FF"/>
          </w:tcPr>
          <w:p w14:paraId="6DF5EA4F" w14:textId="77777777" w:rsidR="000D5AB3" w:rsidRDefault="000D5AB3">
            <w:pPr>
              <w:pStyle w:val="TableParagraph"/>
              <w:jc w:val="both"/>
              <w:rPr>
                <w:b/>
                <w:color w:val="323E4F" w:themeColor="text2" w:themeShade="BF"/>
              </w:rPr>
            </w:pPr>
          </w:p>
          <w:p w14:paraId="6BC7EE64" w14:textId="77777777" w:rsidR="000D5AB3" w:rsidRDefault="000D5AB3">
            <w:pPr>
              <w:pStyle w:val="TableParagraph"/>
              <w:spacing w:line="276" w:lineRule="auto"/>
              <w:ind w:right="357"/>
              <w:jc w:val="both"/>
              <w:rPr>
                <w:color w:val="323E4F" w:themeColor="text2" w:themeShade="BF"/>
                <w:sz w:val="20"/>
              </w:rPr>
            </w:pPr>
            <w:r>
              <w:rPr>
                <w:color w:val="323E4F" w:themeColor="text2" w:themeShade="BF"/>
                <w:sz w:val="18"/>
              </w:rPr>
              <w:t xml:space="preserve">United Nations Convention to Combat Desertification </w:t>
            </w:r>
            <w:r>
              <w:rPr>
                <w:color w:val="323E4F" w:themeColor="text2" w:themeShade="BF"/>
                <w:sz w:val="20"/>
              </w:rPr>
              <w:t>(26 December 1996)</w:t>
            </w:r>
          </w:p>
        </w:tc>
        <w:tc>
          <w:tcPr>
            <w:tcW w:w="3702" w:type="pct"/>
            <w:shd w:val="clear" w:color="auto" w:fill="B1E7FF"/>
          </w:tcPr>
          <w:p w14:paraId="70116364" w14:textId="77777777" w:rsidR="000D5AB3" w:rsidRDefault="000D5AB3">
            <w:pPr>
              <w:pStyle w:val="TableParagraph"/>
              <w:spacing w:before="56" w:line="271" w:lineRule="auto"/>
              <w:ind w:left="-2" w:right="136"/>
              <w:jc w:val="both"/>
              <w:rPr>
                <w:color w:val="323E4F" w:themeColor="text2" w:themeShade="BF"/>
                <w:sz w:val="18"/>
              </w:rPr>
            </w:pPr>
            <w:r>
              <w:rPr>
                <w:color w:val="323E4F" w:themeColor="text2" w:themeShade="BF"/>
                <w:sz w:val="18"/>
              </w:rPr>
              <w:t>To</w:t>
            </w:r>
            <w:r>
              <w:rPr>
                <w:color w:val="323E4F" w:themeColor="text2" w:themeShade="BF"/>
                <w:spacing w:val="-14"/>
                <w:sz w:val="18"/>
              </w:rPr>
              <w:t xml:space="preserve"> </w:t>
            </w:r>
            <w:r>
              <w:rPr>
                <w:color w:val="323E4F" w:themeColor="text2" w:themeShade="BF"/>
                <w:sz w:val="18"/>
              </w:rPr>
              <w:t>combat</w:t>
            </w:r>
            <w:r>
              <w:rPr>
                <w:color w:val="323E4F" w:themeColor="text2" w:themeShade="BF"/>
                <w:spacing w:val="-14"/>
                <w:sz w:val="18"/>
              </w:rPr>
              <w:t xml:space="preserve"> </w:t>
            </w:r>
            <w:r>
              <w:rPr>
                <w:color w:val="323E4F" w:themeColor="text2" w:themeShade="BF"/>
                <w:sz w:val="18"/>
              </w:rPr>
              <w:t>desertification</w:t>
            </w:r>
            <w:r>
              <w:rPr>
                <w:color w:val="323E4F" w:themeColor="text2" w:themeShade="BF"/>
                <w:spacing w:val="-15"/>
                <w:sz w:val="18"/>
              </w:rPr>
              <w:t xml:space="preserve"> </w:t>
            </w:r>
            <w:r>
              <w:rPr>
                <w:color w:val="323E4F" w:themeColor="text2" w:themeShade="BF"/>
                <w:sz w:val="18"/>
              </w:rPr>
              <w:t>and</w:t>
            </w:r>
            <w:r>
              <w:rPr>
                <w:color w:val="323E4F" w:themeColor="text2" w:themeShade="BF"/>
                <w:spacing w:val="-18"/>
                <w:sz w:val="18"/>
              </w:rPr>
              <w:t xml:space="preserve"> </w:t>
            </w:r>
            <w:r>
              <w:rPr>
                <w:color w:val="323E4F" w:themeColor="text2" w:themeShade="BF"/>
                <w:sz w:val="18"/>
              </w:rPr>
              <w:t>mitigate</w:t>
            </w:r>
            <w:r>
              <w:rPr>
                <w:color w:val="323E4F" w:themeColor="text2" w:themeShade="BF"/>
                <w:spacing w:val="-15"/>
                <w:sz w:val="18"/>
              </w:rPr>
              <w:t xml:space="preserve"> </w:t>
            </w:r>
            <w:r>
              <w:rPr>
                <w:color w:val="323E4F" w:themeColor="text2" w:themeShade="BF"/>
                <w:sz w:val="18"/>
              </w:rPr>
              <w:t>the</w:t>
            </w:r>
            <w:r>
              <w:rPr>
                <w:color w:val="323E4F" w:themeColor="text2" w:themeShade="BF"/>
                <w:spacing w:val="-16"/>
                <w:sz w:val="18"/>
              </w:rPr>
              <w:t xml:space="preserve"> </w:t>
            </w:r>
            <w:r>
              <w:rPr>
                <w:color w:val="323E4F" w:themeColor="text2" w:themeShade="BF"/>
                <w:sz w:val="18"/>
              </w:rPr>
              <w:t>effects</w:t>
            </w:r>
            <w:r>
              <w:rPr>
                <w:color w:val="323E4F" w:themeColor="text2" w:themeShade="BF"/>
                <w:spacing w:val="-13"/>
                <w:sz w:val="18"/>
              </w:rPr>
              <w:t xml:space="preserve"> </w:t>
            </w:r>
            <w:r>
              <w:rPr>
                <w:color w:val="323E4F" w:themeColor="text2" w:themeShade="BF"/>
                <w:sz w:val="18"/>
              </w:rPr>
              <w:t>of</w:t>
            </w:r>
            <w:r>
              <w:rPr>
                <w:color w:val="323E4F" w:themeColor="text2" w:themeShade="BF"/>
                <w:spacing w:val="-11"/>
                <w:sz w:val="18"/>
              </w:rPr>
              <w:t xml:space="preserve"> </w:t>
            </w:r>
            <w:r>
              <w:rPr>
                <w:color w:val="323E4F" w:themeColor="text2" w:themeShade="BF"/>
                <w:sz w:val="18"/>
              </w:rPr>
              <w:t>drought</w:t>
            </w:r>
            <w:r>
              <w:rPr>
                <w:color w:val="323E4F" w:themeColor="text2" w:themeShade="BF"/>
                <w:spacing w:val="-16"/>
                <w:sz w:val="18"/>
              </w:rPr>
              <w:t xml:space="preserve"> </w:t>
            </w:r>
            <w:r>
              <w:rPr>
                <w:color w:val="323E4F" w:themeColor="text2" w:themeShade="BF"/>
                <w:sz w:val="18"/>
              </w:rPr>
              <w:t>through</w:t>
            </w:r>
            <w:r>
              <w:rPr>
                <w:color w:val="323E4F" w:themeColor="text2" w:themeShade="BF"/>
                <w:spacing w:val="-16"/>
                <w:sz w:val="18"/>
              </w:rPr>
              <w:t xml:space="preserve"> </w:t>
            </w:r>
            <w:r>
              <w:rPr>
                <w:color w:val="323E4F" w:themeColor="text2" w:themeShade="BF"/>
                <w:sz w:val="18"/>
              </w:rPr>
              <w:t>national action</w:t>
            </w:r>
            <w:r>
              <w:rPr>
                <w:color w:val="323E4F" w:themeColor="text2" w:themeShade="BF"/>
                <w:spacing w:val="-1"/>
                <w:sz w:val="18"/>
              </w:rPr>
              <w:t xml:space="preserve"> </w:t>
            </w:r>
            <w:r>
              <w:rPr>
                <w:color w:val="323E4F" w:themeColor="text2" w:themeShade="BF"/>
                <w:sz w:val="18"/>
              </w:rPr>
              <w:t>programs.</w:t>
            </w:r>
          </w:p>
          <w:p w14:paraId="661EF746" w14:textId="77777777" w:rsidR="000D5AB3" w:rsidRDefault="000D5AB3">
            <w:pPr>
              <w:pStyle w:val="TableParagraph"/>
              <w:spacing w:before="11"/>
              <w:ind w:right="136"/>
              <w:jc w:val="both"/>
              <w:rPr>
                <w:b/>
                <w:color w:val="323E4F" w:themeColor="text2" w:themeShade="BF"/>
                <w:sz w:val="19"/>
              </w:rPr>
            </w:pPr>
          </w:p>
          <w:p w14:paraId="4D0133B0" w14:textId="77777777" w:rsidR="000D5AB3" w:rsidRDefault="000D5AB3">
            <w:pPr>
              <w:pStyle w:val="TableParagraph"/>
              <w:spacing w:line="268" w:lineRule="auto"/>
              <w:ind w:left="-2" w:right="136"/>
              <w:jc w:val="both"/>
              <w:rPr>
                <w:color w:val="323E4F" w:themeColor="text2" w:themeShade="BF"/>
                <w:sz w:val="18"/>
              </w:rPr>
            </w:pPr>
            <w:r>
              <w:rPr>
                <w:color w:val="323E4F" w:themeColor="text2" w:themeShade="BF"/>
                <w:sz w:val="18"/>
              </w:rPr>
              <w:t>South</w:t>
            </w:r>
            <w:r>
              <w:rPr>
                <w:color w:val="323E4F" w:themeColor="text2" w:themeShade="BF"/>
                <w:spacing w:val="-8"/>
                <w:sz w:val="18"/>
              </w:rPr>
              <w:t xml:space="preserve"> </w:t>
            </w:r>
            <w:r>
              <w:rPr>
                <w:color w:val="323E4F" w:themeColor="text2" w:themeShade="BF"/>
                <w:sz w:val="18"/>
              </w:rPr>
              <w:t>Africa</w:t>
            </w:r>
            <w:r>
              <w:rPr>
                <w:color w:val="323E4F" w:themeColor="text2" w:themeShade="BF"/>
                <w:spacing w:val="-8"/>
                <w:sz w:val="18"/>
              </w:rPr>
              <w:t xml:space="preserve"> </w:t>
            </w:r>
            <w:r>
              <w:rPr>
                <w:color w:val="323E4F" w:themeColor="text2" w:themeShade="BF"/>
                <w:sz w:val="18"/>
              </w:rPr>
              <w:t>has</w:t>
            </w:r>
            <w:r>
              <w:rPr>
                <w:color w:val="323E4F" w:themeColor="text2" w:themeShade="BF"/>
                <w:spacing w:val="-7"/>
                <w:sz w:val="18"/>
              </w:rPr>
              <w:t xml:space="preserve"> </w:t>
            </w:r>
            <w:r>
              <w:rPr>
                <w:color w:val="323E4F" w:themeColor="text2" w:themeShade="BF"/>
                <w:sz w:val="18"/>
              </w:rPr>
              <w:t>responded</w:t>
            </w:r>
            <w:r>
              <w:rPr>
                <w:color w:val="323E4F" w:themeColor="text2" w:themeShade="BF"/>
                <w:spacing w:val="-9"/>
                <w:sz w:val="18"/>
              </w:rPr>
              <w:t xml:space="preserve"> </w:t>
            </w:r>
            <w:r>
              <w:rPr>
                <w:color w:val="323E4F" w:themeColor="text2" w:themeShade="BF"/>
                <w:sz w:val="18"/>
              </w:rPr>
              <w:t>to</w:t>
            </w:r>
            <w:r>
              <w:rPr>
                <w:color w:val="323E4F" w:themeColor="text2" w:themeShade="BF"/>
                <w:spacing w:val="-10"/>
                <w:sz w:val="18"/>
              </w:rPr>
              <w:t xml:space="preserve"> </w:t>
            </w:r>
            <w:r>
              <w:rPr>
                <w:color w:val="323E4F" w:themeColor="text2" w:themeShade="BF"/>
                <w:sz w:val="18"/>
              </w:rPr>
              <w:t>the</w:t>
            </w:r>
            <w:r>
              <w:rPr>
                <w:color w:val="323E4F" w:themeColor="text2" w:themeShade="BF"/>
                <w:spacing w:val="-8"/>
                <w:sz w:val="18"/>
              </w:rPr>
              <w:t xml:space="preserve"> </w:t>
            </w:r>
            <w:r>
              <w:rPr>
                <w:color w:val="323E4F" w:themeColor="text2" w:themeShade="BF"/>
                <w:sz w:val="18"/>
              </w:rPr>
              <w:t>UN</w:t>
            </w:r>
            <w:r>
              <w:rPr>
                <w:color w:val="323E4F" w:themeColor="text2" w:themeShade="BF"/>
                <w:spacing w:val="-10"/>
                <w:sz w:val="18"/>
              </w:rPr>
              <w:t xml:space="preserve"> </w:t>
            </w:r>
            <w:r>
              <w:rPr>
                <w:color w:val="323E4F" w:themeColor="text2" w:themeShade="BF"/>
                <w:sz w:val="18"/>
              </w:rPr>
              <w:t>Convention</w:t>
            </w:r>
            <w:r>
              <w:rPr>
                <w:color w:val="323E4F" w:themeColor="text2" w:themeShade="BF"/>
                <w:spacing w:val="-8"/>
                <w:sz w:val="18"/>
              </w:rPr>
              <w:t xml:space="preserve"> </w:t>
            </w:r>
            <w:r>
              <w:rPr>
                <w:color w:val="323E4F" w:themeColor="text2" w:themeShade="BF"/>
                <w:sz w:val="18"/>
              </w:rPr>
              <w:t>to</w:t>
            </w:r>
            <w:r>
              <w:rPr>
                <w:color w:val="323E4F" w:themeColor="text2" w:themeShade="BF"/>
                <w:spacing w:val="-8"/>
                <w:sz w:val="18"/>
              </w:rPr>
              <w:t xml:space="preserve"> </w:t>
            </w:r>
            <w:r>
              <w:rPr>
                <w:color w:val="323E4F" w:themeColor="text2" w:themeShade="BF"/>
                <w:sz w:val="18"/>
              </w:rPr>
              <w:t>Combat</w:t>
            </w:r>
            <w:r>
              <w:rPr>
                <w:color w:val="323E4F" w:themeColor="text2" w:themeShade="BF"/>
                <w:spacing w:val="-10"/>
                <w:sz w:val="18"/>
              </w:rPr>
              <w:t xml:space="preserve"> </w:t>
            </w:r>
            <w:r>
              <w:rPr>
                <w:color w:val="323E4F" w:themeColor="text2" w:themeShade="BF"/>
                <w:sz w:val="18"/>
              </w:rPr>
              <w:t xml:space="preserve">Desertification by developing a National Action Plan (NAP). The aim of the NAP is to implement at current and future policies that affect natural resource management and rural development, and establish partnerships between government departments, overseas development agencies, the private </w:t>
            </w:r>
            <w:proofErr w:type="gramStart"/>
            <w:r>
              <w:rPr>
                <w:color w:val="323E4F" w:themeColor="text2" w:themeShade="BF"/>
                <w:sz w:val="18"/>
              </w:rPr>
              <w:t>sector</w:t>
            </w:r>
            <w:proofErr w:type="gramEnd"/>
            <w:r>
              <w:rPr>
                <w:color w:val="323E4F" w:themeColor="text2" w:themeShade="BF"/>
                <w:sz w:val="18"/>
              </w:rPr>
              <w:t xml:space="preserve"> and</w:t>
            </w:r>
            <w:r>
              <w:rPr>
                <w:color w:val="323E4F" w:themeColor="text2" w:themeShade="BF"/>
                <w:spacing w:val="-1"/>
                <w:sz w:val="18"/>
              </w:rPr>
              <w:t xml:space="preserve"> </w:t>
            </w:r>
            <w:r>
              <w:rPr>
                <w:color w:val="323E4F" w:themeColor="text2" w:themeShade="BF"/>
                <w:sz w:val="18"/>
              </w:rPr>
              <w:t>NGOs.</w:t>
            </w:r>
          </w:p>
        </w:tc>
      </w:tr>
      <w:tr w:rsidR="000D5AB3" w14:paraId="02D31B29" w14:textId="77777777" w:rsidTr="000C5758">
        <w:trPr>
          <w:trHeight w:val="1008"/>
          <w:tblCellSpacing w:w="8" w:type="dxa"/>
        </w:trPr>
        <w:tc>
          <w:tcPr>
            <w:tcW w:w="1281" w:type="pct"/>
            <w:shd w:val="clear" w:color="auto" w:fill="B1E7FF"/>
          </w:tcPr>
          <w:p w14:paraId="2F505149" w14:textId="77777777" w:rsidR="000D5AB3" w:rsidRDefault="000D5AB3">
            <w:pPr>
              <w:pStyle w:val="TableParagraph"/>
              <w:spacing w:before="2"/>
              <w:jc w:val="both"/>
              <w:rPr>
                <w:b/>
                <w:color w:val="323E4F" w:themeColor="text2" w:themeShade="BF"/>
                <w:sz w:val="25"/>
              </w:rPr>
            </w:pPr>
          </w:p>
          <w:p w14:paraId="374B3962" w14:textId="77777777" w:rsidR="000D5AB3" w:rsidRDefault="000D5AB3">
            <w:pPr>
              <w:pStyle w:val="TableParagraph"/>
              <w:spacing w:before="1" w:line="268" w:lineRule="auto"/>
              <w:ind w:right="40"/>
              <w:jc w:val="both"/>
              <w:rPr>
                <w:color w:val="323E4F" w:themeColor="text2" w:themeShade="BF"/>
                <w:sz w:val="18"/>
              </w:rPr>
            </w:pPr>
            <w:r>
              <w:rPr>
                <w:color w:val="323E4F" w:themeColor="text2" w:themeShade="BF"/>
                <w:sz w:val="18"/>
              </w:rPr>
              <w:t>United Nations Framework Convention on Climate Change - Kyoto Protocol (23 February 2005)</w:t>
            </w:r>
          </w:p>
        </w:tc>
        <w:tc>
          <w:tcPr>
            <w:tcW w:w="3702" w:type="pct"/>
            <w:shd w:val="clear" w:color="auto" w:fill="B1E7FF"/>
            <w:hideMark/>
          </w:tcPr>
          <w:p w14:paraId="5BE5329A" w14:textId="77777777" w:rsidR="000D5AB3" w:rsidRDefault="000D5AB3">
            <w:pPr>
              <w:pStyle w:val="TableParagraph"/>
              <w:spacing w:before="55" w:line="268" w:lineRule="auto"/>
              <w:ind w:left="-2" w:right="136"/>
              <w:jc w:val="both"/>
              <w:rPr>
                <w:color w:val="323E4F" w:themeColor="text2" w:themeShade="BF"/>
                <w:sz w:val="18"/>
              </w:rPr>
            </w:pPr>
            <w:r>
              <w:rPr>
                <w:color w:val="323E4F" w:themeColor="text2" w:themeShade="BF"/>
                <w:sz w:val="18"/>
              </w:rPr>
              <w:t>To further reduce greenhouse gas emissions by enhancing the national programs of developed countries aimed at this goal and by establishing percentage reduction targets for the developed countries and through the clean development mechanism (CDM) (where developed countries can invest in developing country clean technology to offset emissions).</w:t>
            </w:r>
          </w:p>
        </w:tc>
      </w:tr>
      <w:tr w:rsidR="000D5AB3" w14:paraId="4097CCA5" w14:textId="77777777" w:rsidTr="000C5758">
        <w:trPr>
          <w:cantSplit/>
          <w:trHeight w:val="864"/>
          <w:tblCellSpacing w:w="8" w:type="dxa"/>
        </w:trPr>
        <w:tc>
          <w:tcPr>
            <w:tcW w:w="1281" w:type="pct"/>
            <w:shd w:val="clear" w:color="auto" w:fill="B1E7FF"/>
          </w:tcPr>
          <w:p w14:paraId="77C5A5DE" w14:textId="77777777" w:rsidR="000D5AB3" w:rsidRDefault="000D5AB3">
            <w:pPr>
              <w:pStyle w:val="TableParagraph"/>
              <w:spacing w:before="4"/>
              <w:jc w:val="both"/>
              <w:rPr>
                <w:b/>
                <w:color w:val="323E4F" w:themeColor="text2" w:themeShade="BF"/>
                <w:sz w:val="25"/>
              </w:rPr>
            </w:pPr>
          </w:p>
          <w:p w14:paraId="74793BC5" w14:textId="77777777" w:rsidR="000D5AB3" w:rsidRDefault="000D5AB3">
            <w:pPr>
              <w:pStyle w:val="TableParagraph"/>
              <w:spacing w:line="266" w:lineRule="auto"/>
              <w:ind w:right="40"/>
              <w:jc w:val="both"/>
              <w:rPr>
                <w:color w:val="323E4F" w:themeColor="text2" w:themeShade="BF"/>
                <w:sz w:val="18"/>
              </w:rPr>
            </w:pPr>
            <w:r>
              <w:rPr>
                <w:color w:val="323E4F" w:themeColor="text2" w:themeShade="BF"/>
                <w:sz w:val="18"/>
              </w:rPr>
              <w:t>New Partnership for Africa’s Development (NEPAD) (2001)</w:t>
            </w:r>
          </w:p>
        </w:tc>
        <w:tc>
          <w:tcPr>
            <w:tcW w:w="3702" w:type="pct"/>
            <w:shd w:val="clear" w:color="auto" w:fill="B1E7FF"/>
            <w:hideMark/>
          </w:tcPr>
          <w:p w14:paraId="69F6EABA" w14:textId="77777777" w:rsidR="000D5AB3" w:rsidRDefault="000D5AB3">
            <w:pPr>
              <w:pStyle w:val="TableParagraph"/>
              <w:spacing w:before="57" w:line="266" w:lineRule="auto"/>
              <w:ind w:left="-2" w:right="136"/>
              <w:jc w:val="both"/>
              <w:rPr>
                <w:color w:val="323E4F" w:themeColor="text2" w:themeShade="BF"/>
                <w:sz w:val="18"/>
              </w:rPr>
            </w:pPr>
            <w:r>
              <w:rPr>
                <w:color w:val="323E4F" w:themeColor="text2" w:themeShade="BF"/>
                <w:sz w:val="18"/>
              </w:rPr>
              <w:t>The NEPAD is an economic development program of the African Union adopted at the 37</w:t>
            </w:r>
            <w:proofErr w:type="spellStart"/>
            <w:r>
              <w:rPr>
                <w:color w:val="323E4F" w:themeColor="text2" w:themeShade="BF"/>
                <w:position w:val="6"/>
                <w:sz w:val="12"/>
              </w:rPr>
              <w:t>th</w:t>
            </w:r>
            <w:proofErr w:type="spellEnd"/>
            <w:r>
              <w:rPr>
                <w:color w:val="323E4F" w:themeColor="text2" w:themeShade="BF"/>
                <w:position w:val="6"/>
                <w:sz w:val="12"/>
              </w:rPr>
              <w:t xml:space="preserve"> </w:t>
            </w:r>
            <w:r>
              <w:rPr>
                <w:color w:val="323E4F" w:themeColor="text2" w:themeShade="BF"/>
                <w:sz w:val="18"/>
              </w:rPr>
              <w:t>session of the Assembly of Heads of State and Government in July 2001 in Lusaka, Zambia. Wetland conservation and sustainable use is one of the eight themes under the environment initiative.</w:t>
            </w:r>
          </w:p>
        </w:tc>
      </w:tr>
      <w:tr w:rsidR="000D5AB3" w14:paraId="611E28E5" w14:textId="77777777" w:rsidTr="000C5758">
        <w:trPr>
          <w:cantSplit/>
          <w:trHeight w:val="1584"/>
          <w:tblCellSpacing w:w="8" w:type="dxa"/>
        </w:trPr>
        <w:tc>
          <w:tcPr>
            <w:tcW w:w="1281" w:type="pct"/>
            <w:shd w:val="clear" w:color="auto" w:fill="B1E7FF"/>
          </w:tcPr>
          <w:p w14:paraId="1A929F13" w14:textId="77777777" w:rsidR="000D5AB3" w:rsidRDefault="000D5AB3">
            <w:pPr>
              <w:pStyle w:val="TableParagraph"/>
              <w:spacing w:before="1"/>
              <w:jc w:val="both"/>
              <w:rPr>
                <w:rFonts w:ascii="Times New Roman"/>
                <w:color w:val="323E4F" w:themeColor="text2" w:themeShade="BF"/>
                <w:sz w:val="25"/>
              </w:rPr>
            </w:pPr>
          </w:p>
          <w:p w14:paraId="05ED5A2C" w14:textId="77777777" w:rsidR="000D5AB3" w:rsidRDefault="000D5AB3">
            <w:pPr>
              <w:pStyle w:val="TableParagraph"/>
              <w:spacing w:line="268" w:lineRule="auto"/>
              <w:ind w:right="49"/>
              <w:jc w:val="both"/>
              <w:rPr>
                <w:color w:val="323E4F" w:themeColor="text2" w:themeShade="BF"/>
                <w:sz w:val="18"/>
              </w:rPr>
            </w:pPr>
            <w:r>
              <w:rPr>
                <w:color w:val="323E4F" w:themeColor="text2" w:themeShade="BF"/>
                <w:sz w:val="18"/>
              </w:rPr>
              <w:t>Paris Agreement adopted on 12 December 2015 at the 21st session of the Conference of the Parties to the United Nations Framework Convention on Climate Change (UNFCCC CoP21)</w:t>
            </w:r>
          </w:p>
        </w:tc>
        <w:tc>
          <w:tcPr>
            <w:tcW w:w="3702" w:type="pct"/>
            <w:shd w:val="clear" w:color="auto" w:fill="B1E7FF"/>
          </w:tcPr>
          <w:p w14:paraId="7DA8FB49" w14:textId="77777777" w:rsidR="000D5AB3" w:rsidRDefault="000D5AB3">
            <w:pPr>
              <w:pStyle w:val="TableParagraph"/>
              <w:spacing w:before="56" w:line="268" w:lineRule="auto"/>
              <w:ind w:left="-2" w:right="136"/>
              <w:jc w:val="both"/>
              <w:rPr>
                <w:color w:val="323E4F" w:themeColor="text2" w:themeShade="BF"/>
                <w:sz w:val="18"/>
              </w:rPr>
            </w:pPr>
            <w:r>
              <w:rPr>
                <w:color w:val="323E4F" w:themeColor="text2" w:themeShade="BF"/>
                <w:sz w:val="18"/>
              </w:rPr>
              <w:t>The</w:t>
            </w:r>
            <w:r>
              <w:rPr>
                <w:color w:val="323E4F" w:themeColor="text2" w:themeShade="BF"/>
                <w:spacing w:val="-10"/>
                <w:sz w:val="18"/>
              </w:rPr>
              <w:t xml:space="preserve"> </w:t>
            </w:r>
            <w:r>
              <w:rPr>
                <w:color w:val="323E4F" w:themeColor="text2" w:themeShade="BF"/>
                <w:sz w:val="18"/>
              </w:rPr>
              <w:t>Agreement</w:t>
            </w:r>
            <w:r>
              <w:rPr>
                <w:color w:val="323E4F" w:themeColor="text2" w:themeShade="BF"/>
                <w:spacing w:val="-9"/>
                <w:sz w:val="18"/>
              </w:rPr>
              <w:t xml:space="preserve"> </w:t>
            </w:r>
            <w:r>
              <w:rPr>
                <w:color w:val="323E4F" w:themeColor="text2" w:themeShade="BF"/>
                <w:sz w:val="18"/>
              </w:rPr>
              <w:t>is</w:t>
            </w:r>
            <w:r>
              <w:rPr>
                <w:color w:val="323E4F" w:themeColor="text2" w:themeShade="BF"/>
                <w:spacing w:val="-8"/>
                <w:sz w:val="18"/>
              </w:rPr>
              <w:t xml:space="preserve"> </w:t>
            </w:r>
            <w:r>
              <w:rPr>
                <w:color w:val="323E4F" w:themeColor="text2" w:themeShade="BF"/>
                <w:sz w:val="18"/>
              </w:rPr>
              <w:t>a</w:t>
            </w:r>
            <w:r>
              <w:rPr>
                <w:color w:val="323E4F" w:themeColor="text2" w:themeShade="BF"/>
                <w:spacing w:val="-11"/>
                <w:sz w:val="18"/>
              </w:rPr>
              <w:t xml:space="preserve"> </w:t>
            </w:r>
            <w:r>
              <w:rPr>
                <w:color w:val="323E4F" w:themeColor="text2" w:themeShade="BF"/>
                <w:sz w:val="18"/>
              </w:rPr>
              <w:t>comprehensive</w:t>
            </w:r>
            <w:r>
              <w:rPr>
                <w:color w:val="323E4F" w:themeColor="text2" w:themeShade="BF"/>
                <w:spacing w:val="-9"/>
                <w:sz w:val="18"/>
              </w:rPr>
              <w:t xml:space="preserve"> </w:t>
            </w:r>
            <w:r>
              <w:rPr>
                <w:color w:val="323E4F" w:themeColor="text2" w:themeShade="BF"/>
                <w:sz w:val="18"/>
              </w:rPr>
              <w:t>framework</w:t>
            </w:r>
            <w:r>
              <w:rPr>
                <w:color w:val="323E4F" w:themeColor="text2" w:themeShade="BF"/>
                <w:spacing w:val="-8"/>
                <w:sz w:val="18"/>
              </w:rPr>
              <w:t xml:space="preserve"> </w:t>
            </w:r>
            <w:r>
              <w:rPr>
                <w:color w:val="323E4F" w:themeColor="text2" w:themeShade="BF"/>
                <w:sz w:val="18"/>
              </w:rPr>
              <w:t>which</w:t>
            </w:r>
            <w:r>
              <w:rPr>
                <w:color w:val="323E4F" w:themeColor="text2" w:themeShade="BF"/>
                <w:spacing w:val="-9"/>
                <w:sz w:val="18"/>
              </w:rPr>
              <w:t xml:space="preserve"> </w:t>
            </w:r>
            <w:r>
              <w:rPr>
                <w:color w:val="323E4F" w:themeColor="text2" w:themeShade="BF"/>
                <w:sz w:val="18"/>
              </w:rPr>
              <w:t>will</w:t>
            </w:r>
            <w:r>
              <w:rPr>
                <w:color w:val="323E4F" w:themeColor="text2" w:themeShade="BF"/>
                <w:spacing w:val="-9"/>
                <w:sz w:val="18"/>
              </w:rPr>
              <w:t xml:space="preserve"> </w:t>
            </w:r>
            <w:r>
              <w:rPr>
                <w:color w:val="323E4F" w:themeColor="text2" w:themeShade="BF"/>
                <w:sz w:val="18"/>
              </w:rPr>
              <w:t>guide</w:t>
            </w:r>
            <w:r>
              <w:rPr>
                <w:color w:val="323E4F" w:themeColor="text2" w:themeShade="BF"/>
                <w:spacing w:val="-9"/>
                <w:sz w:val="18"/>
              </w:rPr>
              <w:t xml:space="preserve"> </w:t>
            </w:r>
            <w:r>
              <w:rPr>
                <w:color w:val="323E4F" w:themeColor="text2" w:themeShade="BF"/>
                <w:sz w:val="18"/>
              </w:rPr>
              <w:t>international efforts to limit greenhouse gas emissions and to meet all the associated challenges posed by climate</w:t>
            </w:r>
            <w:r>
              <w:rPr>
                <w:color w:val="323E4F" w:themeColor="text2" w:themeShade="BF"/>
                <w:spacing w:val="-6"/>
                <w:sz w:val="18"/>
              </w:rPr>
              <w:t xml:space="preserve"> </w:t>
            </w:r>
            <w:r>
              <w:rPr>
                <w:color w:val="323E4F" w:themeColor="text2" w:themeShade="BF"/>
                <w:sz w:val="18"/>
              </w:rPr>
              <w:t>change.</w:t>
            </w:r>
          </w:p>
          <w:p w14:paraId="56BD0D4A" w14:textId="77777777" w:rsidR="000D5AB3" w:rsidRDefault="000D5AB3">
            <w:pPr>
              <w:pStyle w:val="TableParagraph"/>
              <w:spacing w:before="4"/>
              <w:ind w:right="136"/>
              <w:jc w:val="both"/>
              <w:rPr>
                <w:rFonts w:ascii="Times New Roman"/>
                <w:color w:val="323E4F" w:themeColor="text2" w:themeShade="BF"/>
                <w:sz w:val="20"/>
              </w:rPr>
            </w:pPr>
          </w:p>
          <w:p w14:paraId="2DB3ADC5" w14:textId="77777777" w:rsidR="000D5AB3" w:rsidRDefault="000D5AB3">
            <w:pPr>
              <w:pStyle w:val="TableParagraph"/>
              <w:spacing w:line="266" w:lineRule="auto"/>
              <w:ind w:left="-2" w:right="136"/>
              <w:jc w:val="both"/>
              <w:rPr>
                <w:color w:val="323E4F" w:themeColor="text2" w:themeShade="BF"/>
                <w:sz w:val="18"/>
              </w:rPr>
            </w:pPr>
            <w:r>
              <w:rPr>
                <w:color w:val="323E4F" w:themeColor="text2" w:themeShade="BF"/>
                <w:sz w:val="18"/>
              </w:rPr>
              <w:t>The main objective of the Agreement is to limit the global temperature increase to well below 2 degrees Celsius, while pursuing efforts to limit the increase to 1.5 degrees.</w:t>
            </w:r>
          </w:p>
        </w:tc>
      </w:tr>
      <w:tr w:rsidR="000D5AB3" w14:paraId="7C4D2052" w14:textId="77777777" w:rsidTr="000C5758">
        <w:trPr>
          <w:cantSplit/>
          <w:trHeight w:val="3024"/>
          <w:tblCellSpacing w:w="8" w:type="dxa"/>
        </w:trPr>
        <w:tc>
          <w:tcPr>
            <w:tcW w:w="1281" w:type="pct"/>
            <w:shd w:val="clear" w:color="auto" w:fill="B1E7FF"/>
          </w:tcPr>
          <w:p w14:paraId="5D13BA39" w14:textId="77777777" w:rsidR="000D5AB3" w:rsidRDefault="000D5AB3">
            <w:pPr>
              <w:pStyle w:val="TableParagraph"/>
              <w:jc w:val="both"/>
              <w:rPr>
                <w:rFonts w:ascii="Times New Roman"/>
                <w:color w:val="323E4F" w:themeColor="text2" w:themeShade="BF"/>
                <w:sz w:val="20"/>
              </w:rPr>
            </w:pPr>
          </w:p>
          <w:p w14:paraId="58DBFF29" w14:textId="77777777" w:rsidR="000D5AB3" w:rsidRDefault="000D5AB3">
            <w:pPr>
              <w:pStyle w:val="TableParagraph"/>
              <w:jc w:val="both"/>
              <w:rPr>
                <w:rFonts w:ascii="Times New Roman"/>
                <w:color w:val="323E4F" w:themeColor="text2" w:themeShade="BF"/>
                <w:sz w:val="20"/>
              </w:rPr>
            </w:pPr>
          </w:p>
          <w:p w14:paraId="0AD8BBAA" w14:textId="77777777" w:rsidR="000D5AB3" w:rsidRDefault="000D5AB3">
            <w:pPr>
              <w:pStyle w:val="TableParagraph"/>
              <w:jc w:val="both"/>
              <w:rPr>
                <w:rFonts w:ascii="Times New Roman"/>
                <w:color w:val="323E4F" w:themeColor="text2" w:themeShade="BF"/>
                <w:sz w:val="20"/>
              </w:rPr>
            </w:pPr>
          </w:p>
          <w:p w14:paraId="37A40E39" w14:textId="77777777" w:rsidR="000D5AB3" w:rsidRDefault="000D5AB3">
            <w:pPr>
              <w:pStyle w:val="TableParagraph"/>
              <w:jc w:val="both"/>
              <w:rPr>
                <w:rFonts w:ascii="Times New Roman"/>
                <w:color w:val="323E4F" w:themeColor="text2" w:themeShade="BF"/>
                <w:sz w:val="20"/>
              </w:rPr>
            </w:pPr>
          </w:p>
          <w:p w14:paraId="2BC273A7" w14:textId="77777777" w:rsidR="000D5AB3" w:rsidRDefault="000D5AB3">
            <w:pPr>
              <w:pStyle w:val="TableParagraph"/>
              <w:jc w:val="both"/>
              <w:rPr>
                <w:rFonts w:ascii="Times New Roman"/>
                <w:color w:val="323E4F" w:themeColor="text2" w:themeShade="BF"/>
                <w:sz w:val="20"/>
              </w:rPr>
            </w:pPr>
          </w:p>
          <w:p w14:paraId="5DDBAA6D" w14:textId="77777777" w:rsidR="000D5AB3" w:rsidRDefault="000D5AB3">
            <w:pPr>
              <w:pStyle w:val="TableParagraph"/>
              <w:jc w:val="both"/>
              <w:rPr>
                <w:rFonts w:ascii="Times New Roman"/>
                <w:color w:val="323E4F" w:themeColor="text2" w:themeShade="BF"/>
                <w:sz w:val="20"/>
              </w:rPr>
            </w:pPr>
          </w:p>
          <w:p w14:paraId="4F2612DB" w14:textId="77777777" w:rsidR="000D5AB3" w:rsidRDefault="000D5AB3">
            <w:pPr>
              <w:pStyle w:val="TableParagraph"/>
              <w:jc w:val="both"/>
              <w:rPr>
                <w:rFonts w:ascii="Times New Roman"/>
                <w:color w:val="323E4F" w:themeColor="text2" w:themeShade="BF"/>
                <w:sz w:val="20"/>
              </w:rPr>
            </w:pPr>
          </w:p>
          <w:p w14:paraId="02AE2DAF" w14:textId="77777777" w:rsidR="000D5AB3" w:rsidRDefault="000D5AB3">
            <w:pPr>
              <w:pStyle w:val="TableParagraph"/>
              <w:spacing w:before="4"/>
              <w:jc w:val="both"/>
              <w:rPr>
                <w:rFonts w:ascii="Times New Roman"/>
                <w:color w:val="323E4F" w:themeColor="text2" w:themeShade="BF"/>
                <w:sz w:val="17"/>
              </w:rPr>
            </w:pPr>
          </w:p>
          <w:p w14:paraId="6F1B490B" w14:textId="77777777" w:rsidR="000D5AB3" w:rsidRDefault="000D5AB3">
            <w:pPr>
              <w:pStyle w:val="TableParagraph"/>
              <w:spacing w:before="1"/>
              <w:jc w:val="both"/>
              <w:rPr>
                <w:color w:val="323E4F" w:themeColor="text2" w:themeShade="BF"/>
                <w:sz w:val="18"/>
              </w:rPr>
            </w:pPr>
            <w:r>
              <w:rPr>
                <w:color w:val="323E4F" w:themeColor="text2" w:themeShade="BF"/>
                <w:sz w:val="18"/>
              </w:rPr>
              <w:t>IFC Performance Standards</w:t>
            </w:r>
          </w:p>
          <w:p w14:paraId="04C0C766" w14:textId="77777777" w:rsidR="000D5AB3" w:rsidRDefault="000D5AB3">
            <w:pPr>
              <w:rPr>
                <w:color w:val="323E4F" w:themeColor="text2" w:themeShade="BF"/>
              </w:rPr>
            </w:pPr>
          </w:p>
          <w:p w14:paraId="72AE4DBF" w14:textId="77777777" w:rsidR="000D5AB3" w:rsidRDefault="000D5AB3">
            <w:pPr>
              <w:tabs>
                <w:tab w:val="left" w:pos="1136"/>
              </w:tabs>
              <w:rPr>
                <w:color w:val="323E4F" w:themeColor="text2" w:themeShade="BF"/>
              </w:rPr>
            </w:pPr>
          </w:p>
        </w:tc>
        <w:tc>
          <w:tcPr>
            <w:tcW w:w="3702" w:type="pct"/>
            <w:shd w:val="clear" w:color="auto" w:fill="B1E7FF"/>
          </w:tcPr>
          <w:p w14:paraId="23E99359" w14:textId="77777777" w:rsidR="000D5AB3" w:rsidRDefault="000D5AB3">
            <w:pPr>
              <w:pStyle w:val="TableParagraph"/>
              <w:spacing w:before="58" w:line="266" w:lineRule="auto"/>
              <w:ind w:left="-2" w:right="136"/>
              <w:jc w:val="both"/>
              <w:rPr>
                <w:color w:val="323E4F" w:themeColor="text2" w:themeShade="BF"/>
                <w:sz w:val="18"/>
              </w:rPr>
            </w:pPr>
            <w:r>
              <w:rPr>
                <w:color w:val="323E4F" w:themeColor="text2" w:themeShade="BF"/>
                <w:sz w:val="18"/>
              </w:rPr>
              <w:t>The</w:t>
            </w:r>
            <w:r>
              <w:rPr>
                <w:color w:val="323E4F" w:themeColor="text2" w:themeShade="BF"/>
                <w:spacing w:val="-15"/>
                <w:sz w:val="18"/>
              </w:rPr>
              <w:t xml:space="preserve"> </w:t>
            </w:r>
            <w:r>
              <w:rPr>
                <w:color w:val="323E4F" w:themeColor="text2" w:themeShade="BF"/>
                <w:sz w:val="18"/>
              </w:rPr>
              <w:t>IFC's</w:t>
            </w:r>
            <w:r>
              <w:rPr>
                <w:color w:val="323E4F" w:themeColor="text2" w:themeShade="BF"/>
                <w:spacing w:val="-14"/>
                <w:sz w:val="18"/>
              </w:rPr>
              <w:t xml:space="preserve"> </w:t>
            </w:r>
            <w:r>
              <w:rPr>
                <w:color w:val="323E4F" w:themeColor="text2" w:themeShade="BF"/>
                <w:sz w:val="18"/>
              </w:rPr>
              <w:t>Environmental</w:t>
            </w:r>
            <w:r>
              <w:rPr>
                <w:color w:val="323E4F" w:themeColor="text2" w:themeShade="BF"/>
                <w:spacing w:val="-14"/>
                <w:sz w:val="18"/>
              </w:rPr>
              <w:t xml:space="preserve"> </w:t>
            </w:r>
            <w:r>
              <w:rPr>
                <w:color w:val="323E4F" w:themeColor="text2" w:themeShade="BF"/>
                <w:sz w:val="18"/>
              </w:rPr>
              <w:t>and</w:t>
            </w:r>
            <w:r>
              <w:rPr>
                <w:color w:val="323E4F" w:themeColor="text2" w:themeShade="BF"/>
                <w:spacing w:val="-15"/>
                <w:sz w:val="18"/>
              </w:rPr>
              <w:t xml:space="preserve"> </w:t>
            </w:r>
            <w:r>
              <w:rPr>
                <w:color w:val="323E4F" w:themeColor="text2" w:themeShade="BF"/>
                <w:sz w:val="18"/>
              </w:rPr>
              <w:t>Social</w:t>
            </w:r>
            <w:r>
              <w:rPr>
                <w:color w:val="323E4F" w:themeColor="text2" w:themeShade="BF"/>
                <w:spacing w:val="-13"/>
                <w:sz w:val="18"/>
              </w:rPr>
              <w:t xml:space="preserve"> </w:t>
            </w:r>
            <w:r>
              <w:rPr>
                <w:color w:val="323E4F" w:themeColor="text2" w:themeShade="BF"/>
                <w:sz w:val="18"/>
              </w:rPr>
              <w:t>Performance</w:t>
            </w:r>
            <w:r>
              <w:rPr>
                <w:color w:val="323E4F" w:themeColor="text2" w:themeShade="BF"/>
                <w:spacing w:val="-17"/>
                <w:sz w:val="18"/>
              </w:rPr>
              <w:t xml:space="preserve"> </w:t>
            </w:r>
            <w:r>
              <w:rPr>
                <w:color w:val="323E4F" w:themeColor="text2" w:themeShade="BF"/>
                <w:sz w:val="18"/>
              </w:rPr>
              <w:t>Standards</w:t>
            </w:r>
            <w:r>
              <w:rPr>
                <w:color w:val="323E4F" w:themeColor="text2" w:themeShade="BF"/>
                <w:spacing w:val="-9"/>
                <w:sz w:val="18"/>
              </w:rPr>
              <w:t xml:space="preserve"> </w:t>
            </w:r>
            <w:r>
              <w:rPr>
                <w:color w:val="323E4F" w:themeColor="text2" w:themeShade="BF"/>
                <w:sz w:val="18"/>
              </w:rPr>
              <w:t>(PS)</w:t>
            </w:r>
            <w:r>
              <w:rPr>
                <w:color w:val="323E4F" w:themeColor="text2" w:themeShade="BF"/>
                <w:spacing w:val="-15"/>
                <w:sz w:val="18"/>
              </w:rPr>
              <w:t xml:space="preserve"> </w:t>
            </w:r>
            <w:r>
              <w:rPr>
                <w:color w:val="323E4F" w:themeColor="text2" w:themeShade="BF"/>
                <w:sz w:val="18"/>
              </w:rPr>
              <w:t>define</w:t>
            </w:r>
            <w:r>
              <w:rPr>
                <w:color w:val="323E4F" w:themeColor="text2" w:themeShade="BF"/>
                <w:spacing w:val="-15"/>
                <w:sz w:val="18"/>
              </w:rPr>
              <w:t xml:space="preserve"> </w:t>
            </w:r>
            <w:r>
              <w:rPr>
                <w:color w:val="323E4F" w:themeColor="text2" w:themeShade="BF"/>
                <w:sz w:val="18"/>
              </w:rPr>
              <w:t>IFC clients' responsibilities for managing their environmental and social</w:t>
            </w:r>
            <w:r>
              <w:rPr>
                <w:color w:val="323E4F" w:themeColor="text2" w:themeShade="BF"/>
                <w:spacing w:val="-24"/>
                <w:sz w:val="18"/>
              </w:rPr>
              <w:t xml:space="preserve"> </w:t>
            </w:r>
            <w:r>
              <w:rPr>
                <w:color w:val="323E4F" w:themeColor="text2" w:themeShade="BF"/>
                <w:sz w:val="18"/>
              </w:rPr>
              <w:t>risks.</w:t>
            </w:r>
          </w:p>
          <w:p w14:paraId="52C673A7" w14:textId="77777777" w:rsidR="000D5AB3" w:rsidRDefault="000D5AB3">
            <w:pPr>
              <w:pStyle w:val="TableParagraph"/>
              <w:spacing w:before="7"/>
              <w:ind w:right="136"/>
              <w:jc w:val="both"/>
              <w:rPr>
                <w:rFonts w:ascii="Times New Roman"/>
                <w:color w:val="323E4F" w:themeColor="text2" w:themeShade="BF"/>
                <w:sz w:val="20"/>
              </w:rPr>
            </w:pPr>
          </w:p>
          <w:p w14:paraId="224FC1F5" w14:textId="77777777" w:rsidR="000D5AB3" w:rsidRDefault="000D5AB3">
            <w:pPr>
              <w:pStyle w:val="TableParagraph"/>
              <w:spacing w:line="266" w:lineRule="auto"/>
              <w:ind w:left="-2" w:right="136"/>
              <w:jc w:val="both"/>
              <w:rPr>
                <w:color w:val="323E4F" w:themeColor="text2" w:themeShade="BF"/>
                <w:sz w:val="18"/>
              </w:rPr>
            </w:pPr>
            <w:r>
              <w:rPr>
                <w:color w:val="323E4F" w:themeColor="text2" w:themeShade="BF"/>
                <w:sz w:val="18"/>
              </w:rPr>
              <w:t>Eight Performance Standards establish standards that the client is to meet throughout the life of an investment by IFC:</w:t>
            </w:r>
          </w:p>
          <w:p w14:paraId="68D0AA3F" w14:textId="77777777" w:rsidR="000D5AB3" w:rsidRDefault="000D5AB3">
            <w:pPr>
              <w:pStyle w:val="TableParagraph"/>
              <w:numPr>
                <w:ilvl w:val="0"/>
                <w:numId w:val="18"/>
              </w:numPr>
              <w:tabs>
                <w:tab w:val="left" w:pos="359"/>
              </w:tabs>
              <w:spacing w:before="2" w:line="271" w:lineRule="auto"/>
              <w:ind w:right="136"/>
              <w:jc w:val="both"/>
              <w:rPr>
                <w:color w:val="323E4F" w:themeColor="text2" w:themeShade="BF"/>
                <w:sz w:val="18"/>
              </w:rPr>
            </w:pPr>
            <w:r>
              <w:rPr>
                <w:color w:val="323E4F" w:themeColor="text2" w:themeShade="BF"/>
                <w:sz w:val="18"/>
              </w:rPr>
              <w:t>IFC Performance Standard 1: Assessment and Management of Environmental and Social</w:t>
            </w:r>
            <w:r>
              <w:rPr>
                <w:color w:val="323E4F" w:themeColor="text2" w:themeShade="BF"/>
                <w:spacing w:val="-3"/>
                <w:sz w:val="18"/>
              </w:rPr>
              <w:t xml:space="preserve"> </w:t>
            </w:r>
            <w:r>
              <w:rPr>
                <w:color w:val="323E4F" w:themeColor="text2" w:themeShade="BF"/>
                <w:sz w:val="18"/>
              </w:rPr>
              <w:t>Risks.</w:t>
            </w:r>
          </w:p>
          <w:p w14:paraId="28200F5A" w14:textId="77777777" w:rsidR="000D5AB3" w:rsidRDefault="000D5AB3">
            <w:pPr>
              <w:pStyle w:val="TableParagraph"/>
              <w:numPr>
                <w:ilvl w:val="0"/>
                <w:numId w:val="18"/>
              </w:numPr>
              <w:tabs>
                <w:tab w:val="left" w:pos="359"/>
              </w:tabs>
              <w:spacing w:line="203" w:lineRule="exact"/>
              <w:ind w:right="136"/>
              <w:jc w:val="both"/>
              <w:rPr>
                <w:color w:val="323E4F" w:themeColor="text2" w:themeShade="BF"/>
                <w:sz w:val="18"/>
              </w:rPr>
            </w:pPr>
            <w:r>
              <w:rPr>
                <w:color w:val="323E4F" w:themeColor="text2" w:themeShade="BF"/>
                <w:sz w:val="18"/>
              </w:rPr>
              <w:t>IFC Performance Standard 2: Labour and Working</w:t>
            </w:r>
            <w:r>
              <w:rPr>
                <w:color w:val="323E4F" w:themeColor="text2" w:themeShade="BF"/>
                <w:spacing w:val="-10"/>
                <w:sz w:val="18"/>
              </w:rPr>
              <w:t xml:space="preserve"> </w:t>
            </w:r>
            <w:r>
              <w:rPr>
                <w:color w:val="323E4F" w:themeColor="text2" w:themeShade="BF"/>
                <w:sz w:val="18"/>
              </w:rPr>
              <w:t>Conditions.</w:t>
            </w:r>
          </w:p>
          <w:p w14:paraId="70F9A8B7" w14:textId="77777777" w:rsidR="000D5AB3" w:rsidRDefault="000D5AB3">
            <w:pPr>
              <w:pStyle w:val="TableParagraph"/>
              <w:numPr>
                <w:ilvl w:val="0"/>
                <w:numId w:val="18"/>
              </w:numPr>
              <w:tabs>
                <w:tab w:val="left" w:pos="359"/>
              </w:tabs>
              <w:spacing w:before="28"/>
              <w:ind w:right="136"/>
              <w:jc w:val="both"/>
              <w:rPr>
                <w:color w:val="323E4F" w:themeColor="text2" w:themeShade="BF"/>
                <w:sz w:val="18"/>
              </w:rPr>
            </w:pPr>
            <w:r>
              <w:rPr>
                <w:color w:val="323E4F" w:themeColor="text2" w:themeShade="BF"/>
                <w:sz w:val="18"/>
              </w:rPr>
              <w:t>Performance</w:t>
            </w:r>
            <w:r>
              <w:rPr>
                <w:color w:val="323E4F" w:themeColor="text2" w:themeShade="BF"/>
                <w:spacing w:val="-13"/>
                <w:sz w:val="18"/>
              </w:rPr>
              <w:t xml:space="preserve"> </w:t>
            </w:r>
            <w:r>
              <w:rPr>
                <w:color w:val="323E4F" w:themeColor="text2" w:themeShade="BF"/>
                <w:sz w:val="18"/>
              </w:rPr>
              <w:t>Standard</w:t>
            </w:r>
            <w:r>
              <w:rPr>
                <w:color w:val="323E4F" w:themeColor="text2" w:themeShade="BF"/>
                <w:spacing w:val="-12"/>
                <w:sz w:val="18"/>
              </w:rPr>
              <w:t xml:space="preserve"> </w:t>
            </w:r>
            <w:r>
              <w:rPr>
                <w:color w:val="323E4F" w:themeColor="text2" w:themeShade="BF"/>
                <w:sz w:val="18"/>
              </w:rPr>
              <w:t>3:</w:t>
            </w:r>
            <w:r>
              <w:rPr>
                <w:color w:val="323E4F" w:themeColor="text2" w:themeShade="BF"/>
                <w:spacing w:val="-12"/>
                <w:sz w:val="18"/>
              </w:rPr>
              <w:t xml:space="preserve"> </w:t>
            </w:r>
            <w:r>
              <w:rPr>
                <w:color w:val="323E4F" w:themeColor="text2" w:themeShade="BF"/>
                <w:sz w:val="18"/>
              </w:rPr>
              <w:t>Resource</w:t>
            </w:r>
            <w:r>
              <w:rPr>
                <w:color w:val="323E4F" w:themeColor="text2" w:themeShade="BF"/>
                <w:spacing w:val="-12"/>
                <w:sz w:val="18"/>
              </w:rPr>
              <w:t xml:space="preserve"> </w:t>
            </w:r>
            <w:r>
              <w:rPr>
                <w:color w:val="323E4F" w:themeColor="text2" w:themeShade="BF"/>
                <w:sz w:val="18"/>
              </w:rPr>
              <w:t>Efficiency</w:t>
            </w:r>
            <w:r>
              <w:rPr>
                <w:color w:val="323E4F" w:themeColor="text2" w:themeShade="BF"/>
                <w:spacing w:val="-12"/>
                <w:sz w:val="18"/>
              </w:rPr>
              <w:t xml:space="preserve"> </w:t>
            </w:r>
            <w:r>
              <w:rPr>
                <w:color w:val="323E4F" w:themeColor="text2" w:themeShade="BF"/>
                <w:sz w:val="18"/>
              </w:rPr>
              <w:t>and</w:t>
            </w:r>
            <w:r>
              <w:rPr>
                <w:color w:val="323E4F" w:themeColor="text2" w:themeShade="BF"/>
                <w:spacing w:val="-12"/>
                <w:sz w:val="18"/>
              </w:rPr>
              <w:t xml:space="preserve"> </w:t>
            </w:r>
            <w:r>
              <w:rPr>
                <w:color w:val="323E4F" w:themeColor="text2" w:themeShade="BF"/>
                <w:sz w:val="18"/>
              </w:rPr>
              <w:t>Pollution</w:t>
            </w:r>
            <w:r>
              <w:rPr>
                <w:color w:val="323E4F" w:themeColor="text2" w:themeShade="BF"/>
                <w:spacing w:val="-12"/>
                <w:sz w:val="18"/>
              </w:rPr>
              <w:t xml:space="preserve"> </w:t>
            </w:r>
            <w:r>
              <w:rPr>
                <w:color w:val="323E4F" w:themeColor="text2" w:themeShade="BF"/>
                <w:sz w:val="18"/>
              </w:rPr>
              <w:t>Prevention.</w:t>
            </w:r>
          </w:p>
          <w:p w14:paraId="34CA5716" w14:textId="77777777" w:rsidR="000D5AB3" w:rsidRDefault="000D5AB3">
            <w:pPr>
              <w:pStyle w:val="TableParagraph"/>
              <w:numPr>
                <w:ilvl w:val="0"/>
                <w:numId w:val="18"/>
              </w:numPr>
              <w:tabs>
                <w:tab w:val="left" w:pos="359"/>
              </w:tabs>
              <w:spacing w:before="26"/>
              <w:ind w:right="136"/>
              <w:jc w:val="both"/>
              <w:rPr>
                <w:color w:val="323E4F" w:themeColor="text2" w:themeShade="BF"/>
                <w:sz w:val="18"/>
              </w:rPr>
            </w:pPr>
            <w:r>
              <w:rPr>
                <w:color w:val="323E4F" w:themeColor="text2" w:themeShade="BF"/>
                <w:sz w:val="18"/>
              </w:rPr>
              <w:t>Performance Standard 4: Community Health, Safety and</w:t>
            </w:r>
            <w:r>
              <w:rPr>
                <w:color w:val="323E4F" w:themeColor="text2" w:themeShade="BF"/>
                <w:spacing w:val="-18"/>
                <w:sz w:val="18"/>
              </w:rPr>
              <w:t xml:space="preserve"> </w:t>
            </w:r>
            <w:r>
              <w:rPr>
                <w:color w:val="323E4F" w:themeColor="text2" w:themeShade="BF"/>
                <w:sz w:val="18"/>
              </w:rPr>
              <w:t>Security.</w:t>
            </w:r>
          </w:p>
          <w:p w14:paraId="517BC254" w14:textId="77777777" w:rsidR="000D5AB3" w:rsidRDefault="000D5AB3">
            <w:pPr>
              <w:pStyle w:val="TableParagraph"/>
              <w:numPr>
                <w:ilvl w:val="0"/>
                <w:numId w:val="18"/>
              </w:numPr>
              <w:tabs>
                <w:tab w:val="left" w:pos="359"/>
                <w:tab w:val="left" w:pos="1603"/>
                <w:tab w:val="left" w:pos="2545"/>
                <w:tab w:val="left" w:pos="2910"/>
                <w:tab w:val="left" w:pos="3525"/>
                <w:tab w:val="left" w:pos="4609"/>
                <w:tab w:val="left" w:pos="5119"/>
              </w:tabs>
              <w:spacing w:before="26" w:line="271" w:lineRule="auto"/>
              <w:ind w:right="136"/>
              <w:jc w:val="both"/>
              <w:rPr>
                <w:color w:val="323E4F" w:themeColor="text2" w:themeShade="BF"/>
                <w:sz w:val="18"/>
              </w:rPr>
            </w:pPr>
            <w:r>
              <w:rPr>
                <w:color w:val="323E4F" w:themeColor="text2" w:themeShade="BF"/>
                <w:sz w:val="18"/>
              </w:rPr>
              <w:t>Performance</w:t>
            </w:r>
            <w:r>
              <w:rPr>
                <w:color w:val="323E4F" w:themeColor="text2" w:themeShade="BF"/>
                <w:sz w:val="18"/>
              </w:rPr>
              <w:tab/>
              <w:t>Standard</w:t>
            </w:r>
            <w:r>
              <w:rPr>
                <w:color w:val="323E4F" w:themeColor="text2" w:themeShade="BF"/>
                <w:sz w:val="18"/>
              </w:rPr>
              <w:tab/>
              <w:t>5:</w:t>
            </w:r>
            <w:r>
              <w:rPr>
                <w:color w:val="323E4F" w:themeColor="text2" w:themeShade="BF"/>
                <w:sz w:val="18"/>
              </w:rPr>
              <w:tab/>
              <w:t>Land</w:t>
            </w:r>
            <w:r>
              <w:rPr>
                <w:color w:val="323E4F" w:themeColor="text2" w:themeShade="BF"/>
                <w:sz w:val="18"/>
              </w:rPr>
              <w:tab/>
              <w:t>Acquisition</w:t>
            </w:r>
            <w:r>
              <w:rPr>
                <w:color w:val="323E4F" w:themeColor="text2" w:themeShade="BF"/>
                <w:sz w:val="18"/>
              </w:rPr>
              <w:tab/>
              <w:t>and</w:t>
            </w:r>
            <w:r>
              <w:rPr>
                <w:color w:val="323E4F" w:themeColor="text2" w:themeShade="BF"/>
                <w:sz w:val="18"/>
              </w:rPr>
              <w:tab/>
            </w:r>
            <w:r>
              <w:rPr>
                <w:color w:val="323E4F" w:themeColor="text2" w:themeShade="BF"/>
                <w:spacing w:val="-3"/>
                <w:sz w:val="18"/>
              </w:rPr>
              <w:t xml:space="preserve">Involuntary </w:t>
            </w:r>
            <w:r>
              <w:rPr>
                <w:color w:val="323E4F" w:themeColor="text2" w:themeShade="BF"/>
                <w:sz w:val="18"/>
              </w:rPr>
              <w:t>Resettlement.</w:t>
            </w:r>
          </w:p>
          <w:p w14:paraId="13DAFA78" w14:textId="77777777" w:rsidR="000D5AB3" w:rsidRDefault="000D5AB3">
            <w:pPr>
              <w:pStyle w:val="TableParagraph"/>
              <w:numPr>
                <w:ilvl w:val="0"/>
                <w:numId w:val="18"/>
              </w:numPr>
              <w:tabs>
                <w:tab w:val="left" w:pos="359"/>
              </w:tabs>
              <w:spacing w:line="271" w:lineRule="auto"/>
              <w:ind w:right="136"/>
              <w:jc w:val="both"/>
              <w:rPr>
                <w:color w:val="323E4F" w:themeColor="text2" w:themeShade="BF"/>
                <w:sz w:val="18"/>
              </w:rPr>
            </w:pPr>
            <w:r>
              <w:rPr>
                <w:color w:val="323E4F" w:themeColor="text2" w:themeShade="BF"/>
                <w:sz w:val="18"/>
              </w:rPr>
              <w:t>Performance Standard 6: Biodiversity Conservation and Sustainable Management of Living Natural</w:t>
            </w:r>
            <w:r>
              <w:rPr>
                <w:color w:val="323E4F" w:themeColor="text2" w:themeShade="BF"/>
                <w:spacing w:val="-7"/>
                <w:sz w:val="18"/>
              </w:rPr>
              <w:t xml:space="preserve"> </w:t>
            </w:r>
            <w:r>
              <w:rPr>
                <w:color w:val="323E4F" w:themeColor="text2" w:themeShade="BF"/>
                <w:sz w:val="18"/>
              </w:rPr>
              <w:t>Resources.</w:t>
            </w:r>
          </w:p>
          <w:p w14:paraId="52C77AED" w14:textId="77777777" w:rsidR="000D5AB3" w:rsidRDefault="000D5AB3">
            <w:pPr>
              <w:pStyle w:val="TableParagraph"/>
              <w:numPr>
                <w:ilvl w:val="0"/>
                <w:numId w:val="18"/>
              </w:numPr>
              <w:tabs>
                <w:tab w:val="left" w:pos="359"/>
              </w:tabs>
              <w:spacing w:line="203" w:lineRule="exact"/>
              <w:ind w:right="136"/>
              <w:jc w:val="both"/>
              <w:rPr>
                <w:color w:val="323E4F" w:themeColor="text2" w:themeShade="BF"/>
                <w:sz w:val="18"/>
              </w:rPr>
            </w:pPr>
            <w:r>
              <w:rPr>
                <w:color w:val="323E4F" w:themeColor="text2" w:themeShade="BF"/>
                <w:sz w:val="18"/>
              </w:rPr>
              <w:t>Performance Standard 7: Indigenous</w:t>
            </w:r>
            <w:r>
              <w:rPr>
                <w:color w:val="323E4F" w:themeColor="text2" w:themeShade="BF"/>
                <w:spacing w:val="-2"/>
                <w:sz w:val="18"/>
              </w:rPr>
              <w:t xml:space="preserve"> </w:t>
            </w:r>
            <w:r>
              <w:rPr>
                <w:color w:val="323E4F" w:themeColor="text2" w:themeShade="BF"/>
                <w:sz w:val="18"/>
              </w:rPr>
              <w:t>Peoples.</w:t>
            </w:r>
          </w:p>
          <w:p w14:paraId="72A342F8" w14:textId="0A08B8EA" w:rsidR="000D5AB3" w:rsidRPr="000C5758" w:rsidRDefault="000D5AB3" w:rsidP="000C5758">
            <w:pPr>
              <w:pStyle w:val="TableParagraph"/>
              <w:numPr>
                <w:ilvl w:val="0"/>
                <w:numId w:val="18"/>
              </w:numPr>
              <w:tabs>
                <w:tab w:val="left" w:pos="359"/>
              </w:tabs>
              <w:spacing w:before="22"/>
              <w:ind w:right="136"/>
              <w:jc w:val="both"/>
              <w:rPr>
                <w:color w:val="323E4F" w:themeColor="text2" w:themeShade="BF"/>
                <w:sz w:val="18"/>
              </w:rPr>
            </w:pPr>
            <w:r>
              <w:rPr>
                <w:color w:val="323E4F" w:themeColor="text2" w:themeShade="BF"/>
                <w:sz w:val="18"/>
              </w:rPr>
              <w:t>Performance Standard 8: Cultural</w:t>
            </w:r>
            <w:r>
              <w:rPr>
                <w:color w:val="323E4F" w:themeColor="text2" w:themeShade="BF"/>
                <w:spacing w:val="-3"/>
                <w:sz w:val="18"/>
              </w:rPr>
              <w:t xml:space="preserve"> </w:t>
            </w:r>
            <w:r>
              <w:rPr>
                <w:color w:val="323E4F" w:themeColor="text2" w:themeShade="BF"/>
                <w:sz w:val="18"/>
              </w:rPr>
              <w:t>Heritage.</w:t>
            </w:r>
          </w:p>
        </w:tc>
      </w:tr>
      <w:tr w:rsidR="000D5AB3" w14:paraId="6A5D6580" w14:textId="77777777" w:rsidTr="000C5758">
        <w:trPr>
          <w:trHeight w:val="3312"/>
          <w:tblCellSpacing w:w="8" w:type="dxa"/>
        </w:trPr>
        <w:tc>
          <w:tcPr>
            <w:tcW w:w="1281" w:type="pct"/>
            <w:shd w:val="clear" w:color="auto" w:fill="B1E7FF"/>
          </w:tcPr>
          <w:p w14:paraId="1B495F16" w14:textId="77777777" w:rsidR="000D5AB3" w:rsidRDefault="000D5AB3">
            <w:pPr>
              <w:pStyle w:val="TableParagraph"/>
              <w:spacing w:before="6"/>
              <w:jc w:val="both"/>
              <w:rPr>
                <w:rFonts w:ascii="Times New Roman"/>
                <w:color w:val="323E4F" w:themeColor="text2" w:themeShade="BF"/>
                <w:sz w:val="20"/>
              </w:rPr>
            </w:pPr>
          </w:p>
          <w:p w14:paraId="762036A9" w14:textId="77777777" w:rsidR="000C5758" w:rsidRDefault="000C5758">
            <w:pPr>
              <w:pStyle w:val="TableParagraph"/>
              <w:spacing w:before="6"/>
              <w:jc w:val="both"/>
              <w:rPr>
                <w:rFonts w:ascii="Times New Roman"/>
                <w:color w:val="323E4F" w:themeColor="text2" w:themeShade="BF"/>
                <w:sz w:val="20"/>
              </w:rPr>
            </w:pPr>
          </w:p>
          <w:p w14:paraId="3CE18DD8" w14:textId="77777777" w:rsidR="000C5758" w:rsidRDefault="000C5758">
            <w:pPr>
              <w:pStyle w:val="TableParagraph"/>
              <w:spacing w:before="6"/>
              <w:jc w:val="both"/>
              <w:rPr>
                <w:rFonts w:ascii="Times New Roman"/>
                <w:color w:val="323E4F" w:themeColor="text2" w:themeShade="BF"/>
                <w:sz w:val="28"/>
              </w:rPr>
            </w:pPr>
          </w:p>
          <w:p w14:paraId="68D18696" w14:textId="77777777" w:rsidR="000D5AB3" w:rsidRDefault="000D5AB3">
            <w:pPr>
              <w:pStyle w:val="TableParagraph"/>
              <w:jc w:val="both"/>
              <w:rPr>
                <w:color w:val="323E4F" w:themeColor="text2" w:themeShade="BF"/>
                <w:sz w:val="18"/>
              </w:rPr>
            </w:pPr>
            <w:r>
              <w:rPr>
                <w:color w:val="323E4F" w:themeColor="text2" w:themeShade="BF"/>
                <w:sz w:val="18"/>
              </w:rPr>
              <w:t>World Bank Group Guidelines</w:t>
            </w:r>
          </w:p>
        </w:tc>
        <w:tc>
          <w:tcPr>
            <w:tcW w:w="3702" w:type="pct"/>
            <w:shd w:val="clear" w:color="auto" w:fill="B1E7FF"/>
          </w:tcPr>
          <w:p w14:paraId="49252027" w14:textId="77777777" w:rsidR="000D5AB3" w:rsidRDefault="000D5AB3">
            <w:pPr>
              <w:pStyle w:val="TableParagraph"/>
              <w:numPr>
                <w:ilvl w:val="0"/>
                <w:numId w:val="20"/>
              </w:numPr>
              <w:tabs>
                <w:tab w:val="left" w:pos="359"/>
              </w:tabs>
              <w:spacing w:before="55"/>
              <w:jc w:val="both"/>
              <w:rPr>
                <w:color w:val="323E4F" w:themeColor="text2" w:themeShade="BF"/>
                <w:sz w:val="18"/>
              </w:rPr>
            </w:pPr>
            <w:r>
              <w:rPr>
                <w:color w:val="323E4F" w:themeColor="text2" w:themeShade="BF"/>
                <w:sz w:val="18"/>
              </w:rPr>
              <w:t>Environmental Health and Safety Guidelines</w:t>
            </w:r>
            <w:r>
              <w:rPr>
                <w:color w:val="323E4F" w:themeColor="text2" w:themeShade="BF"/>
                <w:spacing w:val="-1"/>
                <w:sz w:val="18"/>
              </w:rPr>
              <w:t xml:space="preserve"> </w:t>
            </w:r>
            <w:r>
              <w:rPr>
                <w:color w:val="323E4F" w:themeColor="text2" w:themeShade="BF"/>
                <w:sz w:val="18"/>
              </w:rPr>
              <w:t>(2007):</w:t>
            </w:r>
          </w:p>
          <w:p w14:paraId="304F5515" w14:textId="77777777" w:rsidR="000D5AB3" w:rsidRDefault="000D5AB3">
            <w:pPr>
              <w:pStyle w:val="TableParagraph"/>
              <w:numPr>
                <w:ilvl w:val="1"/>
                <w:numId w:val="20"/>
              </w:numPr>
              <w:tabs>
                <w:tab w:val="left" w:pos="816"/>
              </w:tabs>
              <w:spacing w:before="28" w:line="264" w:lineRule="auto"/>
              <w:ind w:left="816" w:right="136" w:hanging="425"/>
              <w:jc w:val="both"/>
              <w:rPr>
                <w:color w:val="323E4F" w:themeColor="text2" w:themeShade="BF"/>
                <w:sz w:val="18"/>
              </w:rPr>
            </w:pPr>
            <w:r>
              <w:rPr>
                <w:color w:val="323E4F" w:themeColor="text2" w:themeShade="BF"/>
                <w:sz w:val="18"/>
              </w:rPr>
              <w:t>Environmental</w:t>
            </w:r>
            <w:r>
              <w:rPr>
                <w:color w:val="323E4F" w:themeColor="text2" w:themeShade="BF"/>
                <w:spacing w:val="-8"/>
                <w:sz w:val="18"/>
              </w:rPr>
              <w:t xml:space="preserve"> </w:t>
            </w:r>
            <w:r>
              <w:rPr>
                <w:color w:val="323E4F" w:themeColor="text2" w:themeShade="BF"/>
                <w:sz w:val="18"/>
              </w:rPr>
              <w:t>(Air</w:t>
            </w:r>
            <w:r>
              <w:rPr>
                <w:color w:val="323E4F" w:themeColor="text2" w:themeShade="BF"/>
                <w:spacing w:val="-7"/>
                <w:sz w:val="18"/>
              </w:rPr>
              <w:t xml:space="preserve"> </w:t>
            </w:r>
            <w:r>
              <w:rPr>
                <w:color w:val="323E4F" w:themeColor="text2" w:themeShade="BF"/>
                <w:sz w:val="18"/>
              </w:rPr>
              <w:t>Emissions</w:t>
            </w:r>
            <w:r>
              <w:rPr>
                <w:color w:val="323E4F" w:themeColor="text2" w:themeShade="BF"/>
                <w:spacing w:val="-12"/>
                <w:sz w:val="18"/>
              </w:rPr>
              <w:t xml:space="preserve"> </w:t>
            </w:r>
            <w:r>
              <w:rPr>
                <w:color w:val="323E4F" w:themeColor="text2" w:themeShade="BF"/>
                <w:sz w:val="18"/>
              </w:rPr>
              <w:t>and</w:t>
            </w:r>
            <w:r>
              <w:rPr>
                <w:color w:val="323E4F" w:themeColor="text2" w:themeShade="BF"/>
                <w:spacing w:val="-7"/>
                <w:sz w:val="18"/>
              </w:rPr>
              <w:t xml:space="preserve"> </w:t>
            </w:r>
            <w:r>
              <w:rPr>
                <w:color w:val="323E4F" w:themeColor="text2" w:themeShade="BF"/>
                <w:sz w:val="18"/>
              </w:rPr>
              <w:t>Ambient</w:t>
            </w:r>
            <w:r>
              <w:rPr>
                <w:color w:val="323E4F" w:themeColor="text2" w:themeShade="BF"/>
                <w:spacing w:val="-10"/>
                <w:sz w:val="18"/>
              </w:rPr>
              <w:t xml:space="preserve"> </w:t>
            </w:r>
            <w:r>
              <w:rPr>
                <w:color w:val="323E4F" w:themeColor="text2" w:themeShade="BF"/>
                <w:sz w:val="18"/>
              </w:rPr>
              <w:t>Air</w:t>
            </w:r>
            <w:r>
              <w:rPr>
                <w:color w:val="323E4F" w:themeColor="text2" w:themeShade="BF"/>
                <w:spacing w:val="-10"/>
                <w:sz w:val="18"/>
              </w:rPr>
              <w:t xml:space="preserve"> </w:t>
            </w:r>
            <w:r>
              <w:rPr>
                <w:color w:val="323E4F" w:themeColor="text2" w:themeShade="BF"/>
                <w:sz w:val="18"/>
              </w:rPr>
              <w:t>Quality;</w:t>
            </w:r>
            <w:r>
              <w:rPr>
                <w:color w:val="323E4F" w:themeColor="text2" w:themeShade="BF"/>
                <w:spacing w:val="-2"/>
                <w:sz w:val="18"/>
              </w:rPr>
              <w:t xml:space="preserve"> </w:t>
            </w:r>
            <w:r>
              <w:rPr>
                <w:color w:val="323E4F" w:themeColor="text2" w:themeShade="BF"/>
                <w:sz w:val="18"/>
              </w:rPr>
              <w:t>Energy Conservation; Wastewater &amp; Ambient Water Quality; Water Conservation; Waste Management; Noise and Contamination Land)</w:t>
            </w:r>
          </w:p>
          <w:p w14:paraId="6E7FC318" w14:textId="77777777" w:rsidR="000D5AB3" w:rsidRDefault="000D5AB3">
            <w:pPr>
              <w:pStyle w:val="TableParagraph"/>
              <w:numPr>
                <w:ilvl w:val="1"/>
                <w:numId w:val="20"/>
              </w:numPr>
              <w:tabs>
                <w:tab w:val="left" w:pos="816"/>
              </w:tabs>
              <w:spacing w:before="7" w:line="264" w:lineRule="auto"/>
              <w:ind w:left="816" w:right="136" w:hanging="425"/>
              <w:jc w:val="both"/>
              <w:rPr>
                <w:color w:val="323E4F" w:themeColor="text2" w:themeShade="BF"/>
                <w:sz w:val="18"/>
              </w:rPr>
            </w:pPr>
            <w:r>
              <w:rPr>
                <w:color w:val="323E4F" w:themeColor="text2" w:themeShade="BF"/>
                <w:sz w:val="18"/>
              </w:rPr>
              <w:t>Occupational Health and Safety (General Facility Design &amp; Operation; Communication &amp; Training; Physical Hazards; Chemical Hazards; Personal Protective Equipment; Special Hazard Environmental and</w:t>
            </w:r>
            <w:r>
              <w:rPr>
                <w:color w:val="323E4F" w:themeColor="text2" w:themeShade="BF"/>
                <w:spacing w:val="-3"/>
                <w:sz w:val="18"/>
              </w:rPr>
              <w:t xml:space="preserve"> </w:t>
            </w:r>
            <w:r>
              <w:rPr>
                <w:color w:val="323E4F" w:themeColor="text2" w:themeShade="BF"/>
                <w:sz w:val="18"/>
              </w:rPr>
              <w:t>Monitoring)</w:t>
            </w:r>
          </w:p>
          <w:p w14:paraId="366C5FF6" w14:textId="77777777" w:rsidR="000D5AB3" w:rsidRDefault="000D5AB3">
            <w:pPr>
              <w:pStyle w:val="TableParagraph"/>
              <w:numPr>
                <w:ilvl w:val="1"/>
                <w:numId w:val="20"/>
              </w:numPr>
              <w:tabs>
                <w:tab w:val="left" w:pos="816"/>
              </w:tabs>
              <w:spacing w:before="1" w:line="264" w:lineRule="auto"/>
              <w:ind w:left="816" w:right="136" w:hanging="425"/>
              <w:jc w:val="both"/>
              <w:rPr>
                <w:color w:val="323E4F" w:themeColor="text2" w:themeShade="BF"/>
                <w:sz w:val="18"/>
              </w:rPr>
            </w:pPr>
            <w:r>
              <w:rPr>
                <w:color w:val="323E4F" w:themeColor="text2" w:themeShade="BF"/>
                <w:sz w:val="18"/>
              </w:rPr>
              <w:t>Community Health &amp; Safety (Water Quality &amp; Availability; Structural Safety of Project Infrastructure; Life &amp; Fire Safety; Traffic Safety; Transport of Hazardous Materials; Disease Prevention and Emergency Preparedness &amp;</w:t>
            </w:r>
            <w:r>
              <w:rPr>
                <w:color w:val="323E4F" w:themeColor="text2" w:themeShade="BF"/>
                <w:spacing w:val="-7"/>
                <w:sz w:val="18"/>
              </w:rPr>
              <w:t xml:space="preserve"> </w:t>
            </w:r>
            <w:r>
              <w:rPr>
                <w:color w:val="323E4F" w:themeColor="text2" w:themeShade="BF"/>
                <w:sz w:val="18"/>
              </w:rPr>
              <w:t>Response)</w:t>
            </w:r>
          </w:p>
          <w:p w14:paraId="76AA3E19" w14:textId="77777777" w:rsidR="000D5AB3" w:rsidRDefault="000D5AB3">
            <w:pPr>
              <w:pStyle w:val="TableParagraph"/>
              <w:numPr>
                <w:ilvl w:val="1"/>
                <w:numId w:val="20"/>
              </w:numPr>
              <w:tabs>
                <w:tab w:val="left" w:pos="816"/>
              </w:tabs>
              <w:spacing w:before="8" w:line="252" w:lineRule="auto"/>
              <w:ind w:left="816" w:right="136" w:hanging="425"/>
              <w:jc w:val="both"/>
              <w:rPr>
                <w:color w:val="323E4F" w:themeColor="text2" w:themeShade="BF"/>
                <w:sz w:val="18"/>
              </w:rPr>
            </w:pPr>
            <w:r>
              <w:rPr>
                <w:color w:val="323E4F" w:themeColor="text2" w:themeShade="BF"/>
                <w:sz w:val="18"/>
              </w:rPr>
              <w:t>Construction &amp; Decommissioning (Environment; Occupational Health &amp; Safety and Community Health &amp;</w:t>
            </w:r>
            <w:r>
              <w:rPr>
                <w:color w:val="323E4F" w:themeColor="text2" w:themeShade="BF"/>
                <w:spacing w:val="-3"/>
                <w:sz w:val="18"/>
              </w:rPr>
              <w:t xml:space="preserve"> </w:t>
            </w:r>
            <w:r>
              <w:rPr>
                <w:color w:val="323E4F" w:themeColor="text2" w:themeShade="BF"/>
                <w:sz w:val="18"/>
              </w:rPr>
              <w:t>Safety)</w:t>
            </w:r>
          </w:p>
          <w:p w14:paraId="7C1D4E33" w14:textId="77777777" w:rsidR="000D5AB3" w:rsidRDefault="000D5AB3">
            <w:pPr>
              <w:pStyle w:val="TableParagraph"/>
              <w:spacing w:before="7"/>
              <w:ind w:right="136"/>
              <w:jc w:val="both"/>
              <w:rPr>
                <w:rFonts w:ascii="Times New Roman"/>
                <w:color w:val="323E4F" w:themeColor="text2" w:themeShade="BF"/>
                <w:sz w:val="21"/>
              </w:rPr>
            </w:pPr>
          </w:p>
          <w:p w14:paraId="0B4DE3F4" w14:textId="77777777" w:rsidR="000D5AB3" w:rsidRDefault="000D5AB3">
            <w:pPr>
              <w:pStyle w:val="TableParagraph"/>
              <w:numPr>
                <w:ilvl w:val="0"/>
                <w:numId w:val="20"/>
              </w:numPr>
              <w:tabs>
                <w:tab w:val="left" w:pos="359"/>
              </w:tabs>
              <w:ind w:right="136"/>
              <w:jc w:val="both"/>
              <w:rPr>
                <w:color w:val="323E4F" w:themeColor="text2" w:themeShade="BF"/>
                <w:sz w:val="18"/>
              </w:rPr>
            </w:pPr>
            <w:r>
              <w:rPr>
                <w:color w:val="323E4F" w:themeColor="text2" w:themeShade="BF"/>
                <w:sz w:val="18"/>
              </w:rPr>
              <w:t>Industry Sector Guidelines:</w:t>
            </w:r>
          </w:p>
          <w:p w14:paraId="462ED0FF" w14:textId="77777777" w:rsidR="000D5AB3" w:rsidRDefault="000D5AB3">
            <w:pPr>
              <w:pStyle w:val="TableParagraph"/>
              <w:spacing w:before="26" w:line="268" w:lineRule="auto"/>
              <w:ind w:left="358" w:right="136"/>
              <w:jc w:val="both"/>
              <w:rPr>
                <w:color w:val="323E4F" w:themeColor="text2" w:themeShade="BF"/>
                <w:sz w:val="18"/>
              </w:rPr>
            </w:pPr>
            <w:r>
              <w:rPr>
                <w:color w:val="323E4F" w:themeColor="text2" w:themeShade="BF"/>
                <w:sz w:val="18"/>
              </w:rPr>
              <w:t>The Environmental, Health, and Safety (EHS) Guidelines are technical Reference documents with general and industry-specific examples of Good International Industry Practice (GIIP), as defined in IFC's PS. Applicable to this project:</w:t>
            </w:r>
          </w:p>
          <w:p w14:paraId="0D1499D0" w14:textId="77777777" w:rsidR="000D5AB3" w:rsidRDefault="000D5AB3">
            <w:pPr>
              <w:pStyle w:val="TableParagraph"/>
              <w:numPr>
                <w:ilvl w:val="1"/>
                <w:numId w:val="20"/>
              </w:numPr>
              <w:tabs>
                <w:tab w:val="left" w:pos="816"/>
              </w:tabs>
              <w:spacing w:before="28" w:line="264" w:lineRule="auto"/>
              <w:ind w:left="816" w:right="136" w:hanging="425"/>
              <w:jc w:val="both"/>
              <w:rPr>
                <w:color w:val="323E4F" w:themeColor="text2" w:themeShade="BF"/>
                <w:sz w:val="18"/>
              </w:rPr>
            </w:pPr>
            <w:r>
              <w:rPr>
                <w:color w:val="323E4F" w:themeColor="text2" w:themeShade="BF"/>
                <w:sz w:val="18"/>
              </w:rPr>
              <w:t>Environmental Health and Safety Guidelines for Water &amp; Sanitation</w:t>
            </w:r>
            <w:r>
              <w:rPr>
                <w:color w:val="323E4F" w:themeColor="text2" w:themeShade="BF"/>
                <w:spacing w:val="-2"/>
                <w:sz w:val="18"/>
              </w:rPr>
              <w:t xml:space="preserve"> </w:t>
            </w:r>
            <w:r>
              <w:rPr>
                <w:color w:val="323E4F" w:themeColor="text2" w:themeShade="BF"/>
                <w:sz w:val="18"/>
              </w:rPr>
              <w:t>(2007)</w:t>
            </w:r>
          </w:p>
        </w:tc>
      </w:tr>
    </w:tbl>
    <w:p w14:paraId="1C0BCE65" w14:textId="77777777" w:rsidR="000D5AB3" w:rsidRDefault="000D5AB3" w:rsidP="000D5AB3">
      <w:pPr>
        <w:spacing w:line="247" w:lineRule="auto"/>
        <w:rPr>
          <w:color w:val="323E4F" w:themeColor="text2" w:themeShade="BF"/>
          <w:sz w:val="18"/>
        </w:rPr>
        <w:sectPr w:rsidR="000D5AB3" w:rsidSect="00F41561">
          <w:pgSz w:w="16840" w:h="11910" w:orient="landscape"/>
          <w:pgMar w:top="1440" w:right="1440" w:bottom="1440" w:left="1440" w:header="691" w:footer="749" w:gutter="0"/>
          <w:cols w:space="720"/>
          <w:docGrid w:linePitch="272"/>
        </w:sectPr>
      </w:pPr>
    </w:p>
    <w:p w14:paraId="09118876" w14:textId="77777777" w:rsidR="000D5AB3" w:rsidRDefault="000D5AB3" w:rsidP="000D5AB3">
      <w:pPr>
        <w:pStyle w:val="Heading1"/>
        <w:numPr>
          <w:ilvl w:val="0"/>
          <w:numId w:val="2"/>
        </w:numPr>
        <w:ind w:hanging="148"/>
        <w:rPr>
          <w:color w:val="323E4F" w:themeColor="text2" w:themeShade="BF"/>
        </w:rPr>
      </w:pPr>
      <w:bookmarkStart w:id="12" w:name="_bookmark7"/>
      <w:bookmarkStart w:id="13" w:name="_Toc127283780"/>
      <w:bookmarkEnd w:id="12"/>
      <w:r>
        <w:rPr>
          <w:color w:val="323E4F" w:themeColor="text2" w:themeShade="BF"/>
        </w:rPr>
        <w:lastRenderedPageBreak/>
        <w:t>TERMS OF REFERENCE</w:t>
      </w:r>
      <w:bookmarkEnd w:id="13"/>
    </w:p>
    <w:p w14:paraId="00ACDB48" w14:textId="77777777" w:rsidR="000D5AB3" w:rsidRDefault="000D5AB3" w:rsidP="000D5AB3">
      <w:pPr>
        <w:pStyle w:val="BodyText"/>
        <w:spacing w:line="268" w:lineRule="auto"/>
        <w:ind w:right="563"/>
        <w:jc w:val="both"/>
        <w:rPr>
          <w:color w:val="323E4F" w:themeColor="text2" w:themeShade="BF"/>
        </w:rPr>
      </w:pPr>
    </w:p>
    <w:p w14:paraId="0265066B" w14:textId="664AFFD1" w:rsidR="000D5AB3" w:rsidRDefault="000D5AB3" w:rsidP="000D5AB3">
      <w:pPr>
        <w:pStyle w:val="BodyText"/>
        <w:spacing w:line="268" w:lineRule="auto"/>
        <w:ind w:left="308" w:right="563"/>
        <w:jc w:val="both"/>
        <w:rPr>
          <w:color w:val="323E4F" w:themeColor="text2" w:themeShade="BF"/>
        </w:rPr>
      </w:pPr>
      <w:r>
        <w:rPr>
          <w:color w:val="323E4F" w:themeColor="text2" w:themeShade="BF"/>
        </w:rPr>
        <w:t xml:space="preserve">It is the objective of the monitoring plan to monitor the impacts of the proposed </w:t>
      </w:r>
      <w:r w:rsidR="00BE7246">
        <w:rPr>
          <w:color w:val="323E4F" w:themeColor="text2" w:themeShade="BF"/>
        </w:rPr>
        <w:t>Umkomaas STP</w:t>
      </w:r>
      <w:r>
        <w:rPr>
          <w:color w:val="323E4F" w:themeColor="text2" w:themeShade="BF"/>
        </w:rPr>
        <w:t xml:space="preserve"> on the receiving environment to ensure that the on-going functioning of ecosystems.</w:t>
      </w:r>
    </w:p>
    <w:p w14:paraId="78B3DF41" w14:textId="77777777" w:rsidR="000D5AB3" w:rsidRDefault="000D5AB3" w:rsidP="000D5AB3">
      <w:pPr>
        <w:pStyle w:val="BodyText"/>
        <w:spacing w:line="268" w:lineRule="auto"/>
        <w:ind w:left="308" w:right="563"/>
        <w:jc w:val="both"/>
        <w:rPr>
          <w:color w:val="323E4F" w:themeColor="text2" w:themeShade="BF"/>
        </w:rPr>
      </w:pPr>
    </w:p>
    <w:p w14:paraId="2788C8A5" w14:textId="4699CA25" w:rsidR="000D5AB3" w:rsidRDefault="000D5AB3" w:rsidP="000D5AB3">
      <w:pPr>
        <w:pStyle w:val="BodyText"/>
        <w:spacing w:line="268" w:lineRule="auto"/>
        <w:ind w:left="284" w:right="565"/>
        <w:jc w:val="both"/>
        <w:rPr>
          <w:b/>
          <w:color w:val="323E4F" w:themeColor="text2" w:themeShade="BF"/>
        </w:rPr>
      </w:pPr>
      <w:r>
        <w:rPr>
          <w:noProof/>
        </w:rPr>
        <w:drawing>
          <wp:anchor distT="0" distB="0" distL="0" distR="0" simplePos="0" relativeHeight="251658240" behindDoc="0" locked="0" layoutInCell="1" allowOverlap="1" wp14:anchorId="1B755968" wp14:editId="142E12F4">
            <wp:simplePos x="0" y="0"/>
            <wp:positionH relativeFrom="page">
              <wp:posOffset>850900</wp:posOffset>
            </wp:positionH>
            <wp:positionV relativeFrom="paragraph">
              <wp:posOffset>393065</wp:posOffset>
            </wp:positionV>
            <wp:extent cx="5924550" cy="4318000"/>
            <wp:effectExtent l="19050" t="19050" r="19050" b="2540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24550" cy="4318000"/>
                    </a:xfrm>
                    <a:prstGeom prst="rect">
                      <a:avLst/>
                    </a:prstGeom>
                    <a:noFill/>
                    <a:ln w="9525">
                      <a:solidFill>
                        <a:schemeClr val="accent5">
                          <a:lumMod val="75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Pr>
          <w:color w:val="323E4F" w:themeColor="text2" w:themeShade="BF"/>
        </w:rPr>
        <w:t>The</w:t>
      </w:r>
      <w:r>
        <w:rPr>
          <w:color w:val="323E4F" w:themeColor="text2" w:themeShade="BF"/>
          <w:spacing w:val="-16"/>
        </w:rPr>
        <w:t xml:space="preserve"> </w:t>
      </w:r>
      <w:r>
        <w:rPr>
          <w:color w:val="323E4F" w:themeColor="text2" w:themeShade="BF"/>
        </w:rPr>
        <w:t>monitoring</w:t>
      </w:r>
      <w:r>
        <w:rPr>
          <w:color w:val="323E4F" w:themeColor="text2" w:themeShade="BF"/>
          <w:spacing w:val="-14"/>
        </w:rPr>
        <w:t xml:space="preserve"> </w:t>
      </w:r>
      <w:r>
        <w:rPr>
          <w:color w:val="323E4F" w:themeColor="text2" w:themeShade="BF"/>
        </w:rPr>
        <w:t>plan</w:t>
      </w:r>
      <w:r>
        <w:rPr>
          <w:color w:val="323E4F" w:themeColor="text2" w:themeShade="BF"/>
          <w:spacing w:val="-14"/>
        </w:rPr>
        <w:t xml:space="preserve"> </w:t>
      </w:r>
      <w:r>
        <w:rPr>
          <w:color w:val="323E4F" w:themeColor="text2" w:themeShade="BF"/>
        </w:rPr>
        <w:t>is</w:t>
      </w:r>
      <w:r>
        <w:rPr>
          <w:color w:val="323E4F" w:themeColor="text2" w:themeShade="BF"/>
          <w:spacing w:val="-14"/>
        </w:rPr>
        <w:t xml:space="preserve"> </w:t>
      </w:r>
      <w:r>
        <w:rPr>
          <w:color w:val="323E4F" w:themeColor="text2" w:themeShade="BF"/>
        </w:rPr>
        <w:t>based</w:t>
      </w:r>
      <w:r>
        <w:rPr>
          <w:color w:val="323E4F" w:themeColor="text2" w:themeShade="BF"/>
          <w:spacing w:val="-15"/>
        </w:rPr>
        <w:t xml:space="preserve"> </w:t>
      </w:r>
      <w:r>
        <w:rPr>
          <w:color w:val="323E4F" w:themeColor="text2" w:themeShade="BF"/>
        </w:rPr>
        <w:t>on</w:t>
      </w:r>
      <w:r>
        <w:rPr>
          <w:color w:val="323E4F" w:themeColor="text2" w:themeShade="BF"/>
          <w:spacing w:val="-15"/>
        </w:rPr>
        <w:t xml:space="preserve"> </w:t>
      </w:r>
      <w:r>
        <w:rPr>
          <w:color w:val="323E4F" w:themeColor="text2" w:themeShade="BF"/>
        </w:rPr>
        <w:t>the</w:t>
      </w:r>
      <w:r>
        <w:rPr>
          <w:color w:val="323E4F" w:themeColor="text2" w:themeShade="BF"/>
          <w:spacing w:val="-15"/>
        </w:rPr>
        <w:t xml:space="preserve"> </w:t>
      </w:r>
      <w:r>
        <w:rPr>
          <w:color w:val="323E4F" w:themeColor="text2" w:themeShade="BF"/>
        </w:rPr>
        <w:t>principles</w:t>
      </w:r>
      <w:r>
        <w:rPr>
          <w:color w:val="323E4F" w:themeColor="text2" w:themeShade="BF"/>
          <w:spacing w:val="-14"/>
        </w:rPr>
        <w:t xml:space="preserve"> </w:t>
      </w:r>
      <w:r>
        <w:rPr>
          <w:color w:val="323E4F" w:themeColor="text2" w:themeShade="BF"/>
        </w:rPr>
        <w:t>of</w:t>
      </w:r>
      <w:r>
        <w:rPr>
          <w:color w:val="323E4F" w:themeColor="text2" w:themeShade="BF"/>
          <w:spacing w:val="-14"/>
        </w:rPr>
        <w:t xml:space="preserve"> </w:t>
      </w:r>
      <w:r>
        <w:rPr>
          <w:color w:val="323E4F" w:themeColor="text2" w:themeShade="BF"/>
        </w:rPr>
        <w:t>a</w:t>
      </w:r>
      <w:r>
        <w:rPr>
          <w:color w:val="323E4F" w:themeColor="text2" w:themeShade="BF"/>
          <w:spacing w:val="-15"/>
        </w:rPr>
        <w:t xml:space="preserve"> </w:t>
      </w:r>
      <w:r>
        <w:rPr>
          <w:color w:val="323E4F" w:themeColor="text2" w:themeShade="BF"/>
        </w:rPr>
        <w:t>monitoring</w:t>
      </w:r>
      <w:r>
        <w:rPr>
          <w:color w:val="323E4F" w:themeColor="text2" w:themeShade="BF"/>
          <w:spacing w:val="-13"/>
        </w:rPr>
        <w:t xml:space="preserve"> </w:t>
      </w:r>
      <w:r>
        <w:rPr>
          <w:color w:val="323E4F" w:themeColor="text2" w:themeShade="BF"/>
        </w:rPr>
        <w:t>network</w:t>
      </w:r>
      <w:r>
        <w:rPr>
          <w:color w:val="323E4F" w:themeColor="text2" w:themeShade="BF"/>
          <w:spacing w:val="-12"/>
        </w:rPr>
        <w:t xml:space="preserve"> </w:t>
      </w:r>
      <w:r>
        <w:rPr>
          <w:color w:val="323E4F" w:themeColor="text2" w:themeShade="BF"/>
        </w:rPr>
        <w:t>design.</w:t>
      </w:r>
      <w:r>
        <w:rPr>
          <w:color w:val="323E4F" w:themeColor="text2" w:themeShade="BF"/>
          <w:spacing w:val="-15"/>
        </w:rPr>
        <w:t xml:space="preserve"> </w:t>
      </w:r>
      <w:r>
        <w:rPr>
          <w:color w:val="323E4F" w:themeColor="text2" w:themeShade="BF"/>
        </w:rPr>
        <w:t>The</w:t>
      </w:r>
      <w:r>
        <w:rPr>
          <w:color w:val="323E4F" w:themeColor="text2" w:themeShade="BF"/>
          <w:spacing w:val="-13"/>
        </w:rPr>
        <w:t xml:space="preserve"> </w:t>
      </w:r>
      <w:r>
        <w:rPr>
          <w:color w:val="323E4F" w:themeColor="text2" w:themeShade="BF"/>
        </w:rPr>
        <w:t>methodological</w:t>
      </w:r>
      <w:r>
        <w:rPr>
          <w:color w:val="323E4F" w:themeColor="text2" w:themeShade="BF"/>
          <w:spacing w:val="-15"/>
        </w:rPr>
        <w:t xml:space="preserve"> </w:t>
      </w:r>
      <w:r>
        <w:rPr>
          <w:color w:val="323E4F" w:themeColor="text2" w:themeShade="BF"/>
        </w:rPr>
        <w:t xml:space="preserve">approach which the monitoring plan follows is represented in </w:t>
      </w:r>
      <w:hyperlink r:id="rId54" w:anchor="_bookmark8" w:history="1">
        <w:r>
          <w:rPr>
            <w:rStyle w:val="Hyperlink"/>
            <w:color w:val="323E4F" w:themeColor="text2" w:themeShade="BF"/>
          </w:rPr>
          <w:t>Figure</w:t>
        </w:r>
        <w:r>
          <w:rPr>
            <w:rStyle w:val="Hyperlink"/>
            <w:color w:val="323E4F" w:themeColor="text2" w:themeShade="BF"/>
            <w:spacing w:val="1"/>
          </w:rPr>
          <w:t xml:space="preserve"> 3-</w:t>
        </w:r>
        <w:r>
          <w:rPr>
            <w:rStyle w:val="Hyperlink"/>
            <w:color w:val="323E4F" w:themeColor="text2" w:themeShade="BF"/>
          </w:rPr>
          <w:t>1</w:t>
        </w:r>
        <w:r>
          <w:rPr>
            <w:rStyle w:val="Hyperlink"/>
            <w:b/>
            <w:color w:val="323E4F" w:themeColor="text2" w:themeShade="BF"/>
          </w:rPr>
          <w:t>.</w:t>
        </w:r>
      </w:hyperlink>
    </w:p>
    <w:p w14:paraId="45862F31" w14:textId="77777777" w:rsidR="000D5AB3" w:rsidRDefault="000D5AB3" w:rsidP="000D5AB3">
      <w:pPr>
        <w:pStyle w:val="Caption"/>
        <w:rPr>
          <w:color w:val="323E4F" w:themeColor="text2" w:themeShade="BF"/>
        </w:rPr>
      </w:pPr>
      <w:bookmarkStart w:id="14" w:name="_bookmark8"/>
      <w:bookmarkStart w:id="15" w:name="_Toc127175375"/>
      <w:bookmarkEnd w:id="14"/>
      <w:r>
        <w:rPr>
          <w:color w:val="323E4F" w:themeColor="text2" w:themeShade="BF"/>
        </w:rPr>
        <w:t xml:space="preserve">Figure </w:t>
      </w:r>
      <w:r>
        <w:fldChar w:fldCharType="begin"/>
      </w:r>
      <w:r>
        <w:rPr>
          <w:color w:val="323E4F" w:themeColor="text2" w:themeShade="BF"/>
        </w:rPr>
        <w:instrText xml:space="preserve"> STYLEREF 1 \s </w:instrText>
      </w:r>
      <w:r>
        <w:fldChar w:fldCharType="separate"/>
      </w:r>
      <w:r>
        <w:rPr>
          <w:noProof/>
          <w:color w:val="323E4F" w:themeColor="text2" w:themeShade="BF"/>
        </w:rPr>
        <w:t>3</w:t>
      </w:r>
      <w:r>
        <w:fldChar w:fldCharType="end"/>
      </w:r>
      <w:r>
        <w:rPr>
          <w:color w:val="323E4F" w:themeColor="text2" w:themeShade="BF"/>
        </w:rPr>
        <w:noBreakHyphen/>
      </w:r>
      <w:r>
        <w:fldChar w:fldCharType="begin"/>
      </w:r>
      <w:r>
        <w:rPr>
          <w:color w:val="323E4F" w:themeColor="text2" w:themeShade="BF"/>
        </w:rPr>
        <w:instrText xml:space="preserve"> SEQ Figure \* ARABIC \s 1 </w:instrText>
      </w:r>
      <w:r>
        <w:fldChar w:fldCharType="separate"/>
      </w:r>
      <w:r>
        <w:rPr>
          <w:noProof/>
          <w:color w:val="323E4F" w:themeColor="text2" w:themeShade="BF"/>
        </w:rPr>
        <w:t>1</w:t>
      </w:r>
      <w:r>
        <w:fldChar w:fldCharType="end"/>
      </w:r>
      <w:r>
        <w:rPr>
          <w:color w:val="323E4F" w:themeColor="text2" w:themeShade="BF"/>
        </w:rPr>
        <w:t>:</w:t>
      </w:r>
      <w:r>
        <w:rPr>
          <w:color w:val="323E4F" w:themeColor="text2" w:themeShade="BF"/>
        </w:rPr>
        <w:tab/>
        <w:t>Monitoring Process</w:t>
      </w:r>
      <w:bookmarkEnd w:id="15"/>
    </w:p>
    <w:p w14:paraId="47CD4F0E" w14:textId="77777777" w:rsidR="000D5AB3" w:rsidRDefault="000D5AB3" w:rsidP="000D5AB3">
      <w:pPr>
        <w:pStyle w:val="BodyText"/>
        <w:spacing w:line="268" w:lineRule="auto"/>
        <w:ind w:left="308" w:right="567"/>
        <w:jc w:val="both"/>
        <w:rPr>
          <w:color w:val="323E4F" w:themeColor="text2" w:themeShade="BF"/>
        </w:rPr>
      </w:pPr>
      <w:proofErr w:type="gramStart"/>
      <w:r>
        <w:rPr>
          <w:color w:val="323E4F" w:themeColor="text2" w:themeShade="BF"/>
        </w:rPr>
        <w:t>A number of</w:t>
      </w:r>
      <w:proofErr w:type="gramEnd"/>
      <w:r>
        <w:rPr>
          <w:color w:val="323E4F" w:themeColor="text2" w:themeShade="BF"/>
        </w:rPr>
        <w:t xml:space="preserve"> environmental features have been identified as part of the Environmental and Social Scoping Study. The requirement of the Environmental and Social Impact Assessment (ESIA) is to establish the pre- development</w:t>
      </w:r>
      <w:r>
        <w:rPr>
          <w:color w:val="323E4F" w:themeColor="text2" w:themeShade="BF"/>
          <w:spacing w:val="-9"/>
        </w:rPr>
        <w:t xml:space="preserve"> </w:t>
      </w:r>
      <w:r>
        <w:rPr>
          <w:color w:val="323E4F" w:themeColor="text2" w:themeShade="BF"/>
        </w:rPr>
        <w:t>condition</w:t>
      </w:r>
      <w:r>
        <w:rPr>
          <w:color w:val="323E4F" w:themeColor="text2" w:themeShade="BF"/>
          <w:spacing w:val="-8"/>
        </w:rPr>
        <w:t xml:space="preserve"> </w:t>
      </w:r>
      <w:r>
        <w:rPr>
          <w:color w:val="323E4F" w:themeColor="text2" w:themeShade="BF"/>
        </w:rPr>
        <w:t>of</w:t>
      </w:r>
      <w:r>
        <w:rPr>
          <w:color w:val="323E4F" w:themeColor="text2" w:themeShade="BF"/>
          <w:spacing w:val="-8"/>
        </w:rPr>
        <w:t xml:space="preserve"> </w:t>
      </w:r>
      <w:r>
        <w:rPr>
          <w:color w:val="323E4F" w:themeColor="text2" w:themeShade="BF"/>
        </w:rPr>
        <w:t>these</w:t>
      </w:r>
      <w:r>
        <w:rPr>
          <w:color w:val="323E4F" w:themeColor="text2" w:themeShade="BF"/>
          <w:spacing w:val="-8"/>
        </w:rPr>
        <w:t xml:space="preserve"> </w:t>
      </w:r>
      <w:r>
        <w:rPr>
          <w:color w:val="323E4F" w:themeColor="text2" w:themeShade="BF"/>
        </w:rPr>
        <w:t>features</w:t>
      </w:r>
      <w:r>
        <w:rPr>
          <w:color w:val="323E4F" w:themeColor="text2" w:themeShade="BF"/>
          <w:spacing w:val="-4"/>
        </w:rPr>
        <w:t xml:space="preserve"> </w:t>
      </w:r>
      <w:r>
        <w:rPr>
          <w:color w:val="323E4F" w:themeColor="text2" w:themeShade="BF"/>
        </w:rPr>
        <w:t>including</w:t>
      </w:r>
      <w:r>
        <w:rPr>
          <w:color w:val="323E4F" w:themeColor="text2" w:themeShade="BF"/>
          <w:spacing w:val="-6"/>
        </w:rPr>
        <w:t xml:space="preserve"> </w:t>
      </w:r>
      <w:r>
        <w:rPr>
          <w:color w:val="323E4F" w:themeColor="text2" w:themeShade="BF"/>
        </w:rPr>
        <w:t>Present Ecological State (PES) and</w:t>
      </w:r>
      <w:r>
        <w:rPr>
          <w:color w:val="323E4F" w:themeColor="text2" w:themeShade="BF"/>
          <w:spacing w:val="-8"/>
        </w:rPr>
        <w:t xml:space="preserve"> </w:t>
      </w:r>
      <w:r>
        <w:rPr>
          <w:color w:val="323E4F" w:themeColor="text2" w:themeShade="BF"/>
        </w:rPr>
        <w:t>Recommended</w:t>
      </w:r>
      <w:r>
        <w:rPr>
          <w:color w:val="323E4F" w:themeColor="text2" w:themeShade="BF"/>
          <w:spacing w:val="-8"/>
        </w:rPr>
        <w:t xml:space="preserve"> </w:t>
      </w:r>
      <w:r>
        <w:rPr>
          <w:color w:val="323E4F" w:themeColor="text2" w:themeShade="BF"/>
        </w:rPr>
        <w:t>Ecological</w:t>
      </w:r>
      <w:r>
        <w:rPr>
          <w:color w:val="323E4F" w:themeColor="text2" w:themeShade="BF"/>
          <w:spacing w:val="-9"/>
        </w:rPr>
        <w:t xml:space="preserve"> </w:t>
      </w:r>
      <w:r>
        <w:rPr>
          <w:color w:val="323E4F" w:themeColor="text2" w:themeShade="BF"/>
        </w:rPr>
        <w:t>Classes (RECs). The monitoring programme will consider risks identified during the impact rating process and assesses the effectiveness of control measures in mitigating these</w:t>
      </w:r>
      <w:r>
        <w:rPr>
          <w:color w:val="323E4F" w:themeColor="text2" w:themeShade="BF"/>
          <w:spacing w:val="-7"/>
        </w:rPr>
        <w:t xml:space="preserve"> </w:t>
      </w:r>
      <w:r>
        <w:rPr>
          <w:color w:val="323E4F" w:themeColor="text2" w:themeShade="BF"/>
        </w:rPr>
        <w:t>risks.</w:t>
      </w:r>
    </w:p>
    <w:p w14:paraId="2A5EA746" w14:textId="77777777" w:rsidR="000D5AB3" w:rsidRDefault="000D5AB3" w:rsidP="000D5AB3">
      <w:pPr>
        <w:pStyle w:val="BodyText"/>
        <w:spacing w:before="6"/>
        <w:jc w:val="both"/>
        <w:rPr>
          <w:color w:val="323E4F" w:themeColor="text2" w:themeShade="BF"/>
          <w:sz w:val="22"/>
        </w:rPr>
      </w:pPr>
    </w:p>
    <w:p w14:paraId="0C440472" w14:textId="77777777" w:rsidR="000D5AB3" w:rsidRDefault="000D5AB3" w:rsidP="000D5AB3">
      <w:pPr>
        <w:pStyle w:val="BodyText"/>
        <w:spacing w:line="268" w:lineRule="auto"/>
        <w:ind w:left="308" w:right="567"/>
        <w:jc w:val="both"/>
        <w:rPr>
          <w:color w:val="323E4F" w:themeColor="text2" w:themeShade="BF"/>
        </w:rPr>
      </w:pPr>
      <w:r>
        <w:rPr>
          <w:color w:val="323E4F" w:themeColor="text2" w:themeShade="BF"/>
        </w:rPr>
        <w:t>The pre-construction, construction and operational phases will require the services of environmental specialists to undertake monitoring to ensure that there are minimal negative impacts to the environment and water resources.</w:t>
      </w:r>
    </w:p>
    <w:p w14:paraId="286B3EFD" w14:textId="77777777" w:rsidR="000D5AB3" w:rsidRDefault="000D5AB3" w:rsidP="000D5AB3">
      <w:pPr>
        <w:pStyle w:val="BodyText"/>
        <w:spacing w:line="268" w:lineRule="auto"/>
        <w:ind w:left="308" w:right="567"/>
        <w:jc w:val="both"/>
        <w:rPr>
          <w:color w:val="323E4F" w:themeColor="text2" w:themeShade="BF"/>
        </w:rPr>
      </w:pPr>
    </w:p>
    <w:p w14:paraId="355C44E1" w14:textId="77777777" w:rsidR="000D5AB3" w:rsidRDefault="000D5AB3" w:rsidP="000D5AB3">
      <w:pPr>
        <w:pStyle w:val="BodyText"/>
        <w:spacing w:line="268" w:lineRule="auto"/>
        <w:ind w:left="308" w:right="567"/>
        <w:jc w:val="both"/>
        <w:rPr>
          <w:color w:val="323E4F" w:themeColor="text2" w:themeShade="BF"/>
        </w:rPr>
      </w:pPr>
      <w:r>
        <w:rPr>
          <w:color w:val="323E4F" w:themeColor="text2" w:themeShade="BF"/>
        </w:rPr>
        <w:t xml:space="preserve">The monitoring programmes for air quality, stormwater management and runoff, noise, odour etc. must be included in the ESIA process including ESMP, once the Service Provider (appointed by the Concessionaire) has conducted the necessary baseline investigations and impact assessment. These programmes will specify the monitoring parameters regulated under compliance requirements, monitoring type and frequency, monitoring locations, methods for sample collection, </w:t>
      </w:r>
      <w:proofErr w:type="gramStart"/>
      <w:r>
        <w:rPr>
          <w:color w:val="323E4F" w:themeColor="text2" w:themeShade="BF"/>
        </w:rPr>
        <w:t>preservation</w:t>
      </w:r>
      <w:proofErr w:type="gramEnd"/>
      <w:r>
        <w:rPr>
          <w:color w:val="323E4F" w:themeColor="text2" w:themeShade="BF"/>
        </w:rPr>
        <w:t xml:space="preserve"> and analysis at SANAS accredited laboratories and reporting requirements.</w:t>
      </w:r>
    </w:p>
    <w:p w14:paraId="6D784F2B" w14:textId="77777777" w:rsidR="000D5AB3" w:rsidRDefault="000D5AB3" w:rsidP="000D5AB3">
      <w:pPr>
        <w:pStyle w:val="BodyText"/>
        <w:spacing w:line="268" w:lineRule="auto"/>
        <w:ind w:left="308" w:right="567"/>
        <w:jc w:val="both"/>
        <w:rPr>
          <w:color w:val="323E4F" w:themeColor="text2" w:themeShade="BF"/>
        </w:rPr>
      </w:pPr>
    </w:p>
    <w:p w14:paraId="3B821577" w14:textId="77777777" w:rsidR="000D5AB3" w:rsidRDefault="000D5AB3" w:rsidP="000D5AB3">
      <w:pPr>
        <w:rPr>
          <w:b/>
          <w:i/>
          <w:iCs/>
          <w:color w:val="323E4F" w:themeColor="text2" w:themeShade="BF"/>
          <w:szCs w:val="18"/>
        </w:rPr>
        <w:sectPr w:rsidR="000D5AB3">
          <w:pgSz w:w="11910" w:h="16840"/>
          <w:pgMar w:top="1920" w:right="750" w:bottom="940" w:left="940" w:header="691" w:footer="288" w:gutter="0"/>
          <w:cols w:space="720"/>
        </w:sectPr>
      </w:pPr>
    </w:p>
    <w:p w14:paraId="744F8D67" w14:textId="77777777" w:rsidR="00EA6A6E" w:rsidRDefault="00EA6A6E" w:rsidP="00EA6A6E">
      <w:pPr>
        <w:pStyle w:val="BodyText"/>
        <w:spacing w:line="268" w:lineRule="auto"/>
        <w:ind w:left="308" w:right="567"/>
        <w:jc w:val="both"/>
        <w:rPr>
          <w:color w:val="323E4F" w:themeColor="text2" w:themeShade="BF"/>
        </w:rPr>
      </w:pPr>
      <w:r>
        <w:rPr>
          <w:color w:val="323E4F" w:themeColor="text2" w:themeShade="BF"/>
        </w:rPr>
        <w:lastRenderedPageBreak/>
        <w:t>The study area and environmental sensitivity is depicted in Figure 3-2 below</w:t>
      </w:r>
      <w:r>
        <w:rPr>
          <w:rStyle w:val="FootnoteReference"/>
          <w:color w:val="323E4F" w:themeColor="text2" w:themeShade="BF"/>
        </w:rPr>
        <w:footnoteReference w:id="1"/>
      </w:r>
      <w:r>
        <w:rPr>
          <w:color w:val="323E4F" w:themeColor="text2" w:themeShade="BF"/>
        </w:rPr>
        <w:t>:</w:t>
      </w:r>
    </w:p>
    <w:p w14:paraId="22D665F0" w14:textId="015BFEA3" w:rsidR="000D5AB3" w:rsidRDefault="000D5AB3" w:rsidP="000D5AB3">
      <w:pPr>
        <w:pStyle w:val="Caption"/>
        <w:rPr>
          <w:color w:val="323E4F" w:themeColor="text2" w:themeShade="BF"/>
        </w:rPr>
      </w:pPr>
      <w:r>
        <w:rPr>
          <w:noProof/>
        </w:rPr>
        <w:drawing>
          <wp:inline distT="0" distB="0" distL="0" distR="0" wp14:anchorId="7FF39856" wp14:editId="1C2638C1">
            <wp:extent cx="6032500" cy="3446145"/>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7"/>
                    <pic:cNvPicPr>
                      <a:picLocks noChangeAspect="1" noChangeArrowheads="1"/>
                    </pic:cNvPicPr>
                  </pic:nvPicPr>
                  <pic:blipFill>
                    <a:blip r:embed="rId55" cstate="print">
                      <a:extLst>
                        <a:ext uri="{28A0092B-C50C-407E-A947-70E740481C1C}">
                          <a14:useLocalDpi xmlns:a14="http://schemas.microsoft.com/office/drawing/2010/main" val="0"/>
                        </a:ext>
                      </a:extLst>
                    </a:blip>
                    <a:srcRect l="1178" t="639" r="1297" b="2263"/>
                    <a:stretch>
                      <a:fillRect/>
                    </a:stretch>
                  </pic:blipFill>
                  <pic:spPr bwMode="auto">
                    <a:xfrm>
                      <a:off x="0" y="0"/>
                      <a:ext cx="6032500" cy="3446145"/>
                    </a:xfrm>
                    <a:prstGeom prst="rect">
                      <a:avLst/>
                    </a:prstGeom>
                    <a:noFill/>
                    <a:ln>
                      <a:noFill/>
                    </a:ln>
                  </pic:spPr>
                </pic:pic>
              </a:graphicData>
            </a:graphic>
          </wp:inline>
        </w:drawing>
      </w:r>
    </w:p>
    <w:p w14:paraId="16116DCC" w14:textId="77777777" w:rsidR="000D5AB3" w:rsidRDefault="000D5AB3" w:rsidP="000D5AB3">
      <w:pPr>
        <w:pStyle w:val="Caption"/>
        <w:rPr>
          <w:color w:val="323E4F" w:themeColor="text2" w:themeShade="BF"/>
        </w:rPr>
      </w:pPr>
      <w:bookmarkStart w:id="16" w:name="_Toc127175376"/>
      <w:r>
        <w:rPr>
          <w:color w:val="323E4F" w:themeColor="text2" w:themeShade="BF"/>
        </w:rPr>
        <w:t xml:space="preserve">Figure </w:t>
      </w:r>
      <w:r>
        <w:fldChar w:fldCharType="begin"/>
      </w:r>
      <w:r>
        <w:rPr>
          <w:color w:val="323E4F" w:themeColor="text2" w:themeShade="BF"/>
        </w:rPr>
        <w:instrText xml:space="preserve"> STYLEREF 1 \s </w:instrText>
      </w:r>
      <w:r>
        <w:fldChar w:fldCharType="separate"/>
      </w:r>
      <w:r>
        <w:rPr>
          <w:noProof/>
          <w:color w:val="323E4F" w:themeColor="text2" w:themeShade="BF"/>
        </w:rPr>
        <w:t>3</w:t>
      </w:r>
      <w:r>
        <w:fldChar w:fldCharType="end"/>
      </w:r>
      <w:r>
        <w:rPr>
          <w:color w:val="323E4F" w:themeColor="text2" w:themeShade="BF"/>
        </w:rPr>
        <w:noBreakHyphen/>
      </w:r>
      <w:r>
        <w:fldChar w:fldCharType="begin"/>
      </w:r>
      <w:r>
        <w:rPr>
          <w:color w:val="323E4F" w:themeColor="text2" w:themeShade="BF"/>
        </w:rPr>
        <w:instrText xml:space="preserve"> SEQ Figure \* ARABIC \s 1 </w:instrText>
      </w:r>
      <w:r>
        <w:fldChar w:fldCharType="separate"/>
      </w:r>
      <w:r>
        <w:rPr>
          <w:noProof/>
          <w:color w:val="323E4F" w:themeColor="text2" w:themeShade="BF"/>
        </w:rPr>
        <w:t>2</w:t>
      </w:r>
      <w:r>
        <w:fldChar w:fldCharType="end"/>
      </w:r>
      <w:r>
        <w:rPr>
          <w:color w:val="323E4F" w:themeColor="text2" w:themeShade="BF"/>
        </w:rPr>
        <w:t>:</w:t>
      </w:r>
      <w:r>
        <w:rPr>
          <w:color w:val="323E4F" w:themeColor="text2" w:themeShade="BF"/>
        </w:rPr>
        <w:tab/>
        <w:t>Study Area</w:t>
      </w:r>
      <w:bookmarkEnd w:id="16"/>
    </w:p>
    <w:p w14:paraId="35ADFB22" w14:textId="77777777" w:rsidR="000D5AB3" w:rsidRDefault="000D5AB3" w:rsidP="000D5AB3">
      <w:pPr>
        <w:pStyle w:val="BodyText"/>
        <w:spacing w:line="268" w:lineRule="auto"/>
        <w:ind w:left="308" w:right="567"/>
        <w:jc w:val="both"/>
        <w:rPr>
          <w:color w:val="323E4F" w:themeColor="text2" w:themeShade="BF"/>
        </w:rPr>
      </w:pPr>
    </w:p>
    <w:p w14:paraId="6E8820E3" w14:textId="77777777" w:rsidR="000D5AB3" w:rsidRDefault="000D5AB3" w:rsidP="000D5AB3">
      <w:pPr>
        <w:rPr>
          <w:color w:val="323E4F" w:themeColor="text2" w:themeShade="BF"/>
        </w:rPr>
        <w:sectPr w:rsidR="000D5AB3">
          <w:pgSz w:w="16840" w:h="11910" w:orient="landscape"/>
          <w:pgMar w:top="940" w:right="1920" w:bottom="750" w:left="940" w:header="691" w:footer="288" w:gutter="0"/>
          <w:cols w:space="720"/>
        </w:sectPr>
      </w:pPr>
    </w:p>
    <w:p w14:paraId="1EAD21F0" w14:textId="77777777" w:rsidR="000D5AB3" w:rsidRDefault="000D5AB3" w:rsidP="000D5AB3">
      <w:pPr>
        <w:pStyle w:val="Heading2"/>
        <w:numPr>
          <w:ilvl w:val="1"/>
          <w:numId w:val="2"/>
        </w:numPr>
        <w:ind w:hanging="292"/>
        <w:rPr>
          <w:color w:val="323E4F" w:themeColor="text2" w:themeShade="BF"/>
        </w:rPr>
      </w:pPr>
      <w:bookmarkStart w:id="17" w:name="_bookmark9"/>
      <w:bookmarkStart w:id="18" w:name="_Toc127283781"/>
      <w:bookmarkEnd w:id="17"/>
      <w:r>
        <w:rPr>
          <w:color w:val="323E4F" w:themeColor="text2" w:themeShade="BF"/>
        </w:rPr>
        <w:lastRenderedPageBreak/>
        <w:t>Water Quality Monitoring Programme and Biomonitoring</w:t>
      </w:r>
      <w:bookmarkEnd w:id="18"/>
    </w:p>
    <w:p w14:paraId="72FBA88F" w14:textId="77777777" w:rsidR="000D5AB3" w:rsidRDefault="000D5AB3" w:rsidP="000D5AB3">
      <w:pPr>
        <w:pStyle w:val="BodyText"/>
        <w:spacing w:before="160" w:line="268" w:lineRule="auto"/>
        <w:ind w:left="308" w:right="562"/>
        <w:jc w:val="both"/>
        <w:rPr>
          <w:color w:val="323E4F" w:themeColor="text2" w:themeShade="BF"/>
        </w:rPr>
      </w:pPr>
      <w:r>
        <w:rPr>
          <w:color w:val="323E4F" w:themeColor="text2" w:themeShade="BF"/>
        </w:rPr>
        <w:t xml:space="preserve">Water quality is a measure of the suitability of water for supporting aquatic life and the extent to which key parameters (temperature, salinity, dissolved oxygen, nutrients and chlorophyll a, faecal </w:t>
      </w:r>
      <w:proofErr w:type="gramStart"/>
      <w:r>
        <w:rPr>
          <w:color w:val="323E4F" w:themeColor="text2" w:themeShade="BF"/>
        </w:rPr>
        <w:t>coliforms</w:t>
      </w:r>
      <w:proofErr w:type="gramEnd"/>
      <w:r>
        <w:rPr>
          <w:color w:val="323E4F" w:themeColor="text2" w:themeShade="BF"/>
        </w:rPr>
        <w:t xml:space="preserve"> and trace metal concentrations) have been altered from their natural state. Water quality parameters can vary widely over short time periods and are principally affected by the origin of the water, physical and biological </w:t>
      </w:r>
      <w:proofErr w:type="gramStart"/>
      <w:r>
        <w:rPr>
          <w:color w:val="323E4F" w:themeColor="text2" w:themeShade="BF"/>
        </w:rPr>
        <w:t>processes</w:t>
      </w:r>
      <w:proofErr w:type="gramEnd"/>
      <w:r>
        <w:rPr>
          <w:color w:val="323E4F" w:themeColor="text2" w:themeShade="BF"/>
          <w:spacing w:val="-17"/>
        </w:rPr>
        <w:t xml:space="preserve"> </w:t>
      </w:r>
      <w:r>
        <w:rPr>
          <w:color w:val="323E4F" w:themeColor="text2" w:themeShade="BF"/>
        </w:rPr>
        <w:t>and</w:t>
      </w:r>
      <w:r>
        <w:rPr>
          <w:color w:val="323E4F" w:themeColor="text2" w:themeShade="BF"/>
          <w:spacing w:val="-15"/>
        </w:rPr>
        <w:t xml:space="preserve"> </w:t>
      </w:r>
      <w:r>
        <w:rPr>
          <w:color w:val="323E4F" w:themeColor="text2" w:themeShade="BF"/>
        </w:rPr>
        <w:t>effluent</w:t>
      </w:r>
      <w:r>
        <w:rPr>
          <w:color w:val="323E4F" w:themeColor="text2" w:themeShade="BF"/>
          <w:spacing w:val="-14"/>
        </w:rPr>
        <w:t xml:space="preserve"> </w:t>
      </w:r>
      <w:r>
        <w:rPr>
          <w:color w:val="323E4F" w:themeColor="text2" w:themeShade="BF"/>
        </w:rPr>
        <w:t>discharge.</w:t>
      </w:r>
      <w:r>
        <w:rPr>
          <w:color w:val="323E4F" w:themeColor="text2" w:themeShade="BF"/>
          <w:spacing w:val="-15"/>
        </w:rPr>
        <w:t xml:space="preserve"> </w:t>
      </w:r>
      <w:r>
        <w:rPr>
          <w:color w:val="323E4F" w:themeColor="text2" w:themeShade="BF"/>
        </w:rPr>
        <w:t>However,</w:t>
      </w:r>
      <w:r>
        <w:rPr>
          <w:color w:val="323E4F" w:themeColor="text2" w:themeShade="BF"/>
          <w:spacing w:val="-16"/>
        </w:rPr>
        <w:t xml:space="preserve"> </w:t>
      </w:r>
      <w:r>
        <w:rPr>
          <w:color w:val="323E4F" w:themeColor="text2" w:themeShade="BF"/>
        </w:rPr>
        <w:t>water</w:t>
      </w:r>
      <w:r>
        <w:rPr>
          <w:color w:val="323E4F" w:themeColor="text2" w:themeShade="BF"/>
          <w:spacing w:val="-14"/>
        </w:rPr>
        <w:t xml:space="preserve"> </w:t>
      </w:r>
      <w:r>
        <w:rPr>
          <w:color w:val="323E4F" w:themeColor="text2" w:themeShade="BF"/>
        </w:rPr>
        <w:t>quality</w:t>
      </w:r>
      <w:r>
        <w:rPr>
          <w:color w:val="323E4F" w:themeColor="text2" w:themeShade="BF"/>
          <w:spacing w:val="-16"/>
        </w:rPr>
        <w:t xml:space="preserve"> </w:t>
      </w:r>
      <w:r>
        <w:rPr>
          <w:color w:val="323E4F" w:themeColor="text2" w:themeShade="BF"/>
        </w:rPr>
        <w:t>parameters</w:t>
      </w:r>
      <w:r>
        <w:rPr>
          <w:color w:val="323E4F" w:themeColor="text2" w:themeShade="BF"/>
          <w:spacing w:val="-15"/>
        </w:rPr>
        <w:t xml:space="preserve"> </w:t>
      </w:r>
      <w:r>
        <w:rPr>
          <w:color w:val="323E4F" w:themeColor="text2" w:themeShade="BF"/>
        </w:rPr>
        <w:t>provide</w:t>
      </w:r>
      <w:r>
        <w:rPr>
          <w:color w:val="323E4F" w:themeColor="text2" w:themeShade="BF"/>
          <w:spacing w:val="-16"/>
        </w:rPr>
        <w:t xml:space="preserve"> </w:t>
      </w:r>
      <w:r>
        <w:rPr>
          <w:color w:val="323E4F" w:themeColor="text2" w:themeShade="BF"/>
        </w:rPr>
        <w:t>only</w:t>
      </w:r>
      <w:r>
        <w:rPr>
          <w:color w:val="323E4F" w:themeColor="text2" w:themeShade="BF"/>
          <w:spacing w:val="-14"/>
        </w:rPr>
        <w:t xml:space="preserve"> </w:t>
      </w:r>
      <w:r>
        <w:rPr>
          <w:color w:val="323E4F" w:themeColor="text2" w:themeShade="BF"/>
        </w:rPr>
        <w:t>an</w:t>
      </w:r>
      <w:r>
        <w:rPr>
          <w:color w:val="323E4F" w:themeColor="text2" w:themeShade="BF"/>
          <w:spacing w:val="-15"/>
        </w:rPr>
        <w:t xml:space="preserve"> </w:t>
      </w:r>
      <w:r>
        <w:rPr>
          <w:color w:val="323E4F" w:themeColor="text2" w:themeShade="BF"/>
        </w:rPr>
        <w:t>immediate</w:t>
      </w:r>
      <w:r>
        <w:rPr>
          <w:color w:val="323E4F" w:themeColor="text2" w:themeShade="BF"/>
          <w:spacing w:val="-18"/>
        </w:rPr>
        <w:t xml:space="preserve"> </w:t>
      </w:r>
      <w:r>
        <w:rPr>
          <w:color w:val="323E4F" w:themeColor="text2" w:themeShade="BF"/>
        </w:rPr>
        <w:t>(very</w:t>
      </w:r>
      <w:r>
        <w:rPr>
          <w:color w:val="323E4F" w:themeColor="text2" w:themeShade="BF"/>
          <w:spacing w:val="-15"/>
        </w:rPr>
        <w:t xml:space="preserve"> </w:t>
      </w:r>
      <w:r>
        <w:rPr>
          <w:color w:val="323E4F" w:themeColor="text2" w:themeShade="BF"/>
        </w:rPr>
        <w:t>short- term, hours to days) perspective on changes in the environment and do not integrate changes over time. The monitoring of abiotic water quality paraments is crucially important to understand the physical and biological processes impacting on or occurring within aquatic resources. When monitoring water quality in response to an outfall, measurement of additional parameters related to the known, or expected contaminants (</w:t>
      </w:r>
      <w:proofErr w:type="gramStart"/>
      <w:r>
        <w:rPr>
          <w:color w:val="323E4F" w:themeColor="text2" w:themeShade="BF"/>
        </w:rPr>
        <w:t>e.g.</w:t>
      </w:r>
      <w:proofErr w:type="gramEnd"/>
      <w:r>
        <w:rPr>
          <w:color w:val="323E4F" w:themeColor="text2" w:themeShade="BF"/>
        </w:rPr>
        <w:t xml:space="preserve"> turbidity, total suspended solids, microbiological indicators, etc.) is informative so as to estimate ecological or human health risks by comparison of measurements with water quality</w:t>
      </w:r>
      <w:r>
        <w:rPr>
          <w:color w:val="323E4F" w:themeColor="text2" w:themeShade="BF"/>
          <w:spacing w:val="-26"/>
        </w:rPr>
        <w:t xml:space="preserve"> </w:t>
      </w:r>
      <w:r>
        <w:rPr>
          <w:color w:val="323E4F" w:themeColor="text2" w:themeShade="BF"/>
        </w:rPr>
        <w:t>guidelines.</w:t>
      </w:r>
    </w:p>
    <w:p w14:paraId="3B7E74E1" w14:textId="77777777" w:rsidR="000D5AB3" w:rsidRDefault="000D5AB3" w:rsidP="000D5AB3">
      <w:pPr>
        <w:pStyle w:val="BodyText"/>
        <w:spacing w:before="7"/>
        <w:jc w:val="both"/>
        <w:rPr>
          <w:color w:val="323E4F" w:themeColor="text2" w:themeShade="BF"/>
          <w:sz w:val="22"/>
        </w:rPr>
      </w:pPr>
    </w:p>
    <w:p w14:paraId="7D56AA2F" w14:textId="77777777" w:rsidR="000D5AB3" w:rsidRDefault="000D5AB3" w:rsidP="000D5AB3">
      <w:pPr>
        <w:pStyle w:val="BodyText"/>
        <w:ind w:left="308"/>
        <w:jc w:val="both"/>
        <w:rPr>
          <w:color w:val="323E4F" w:themeColor="text2" w:themeShade="BF"/>
        </w:rPr>
      </w:pPr>
      <w:r>
        <w:rPr>
          <w:color w:val="323E4F" w:themeColor="text2" w:themeShade="BF"/>
        </w:rPr>
        <w:t>A Water Quality Monitoring Programme will need to be implemented to include:</w:t>
      </w:r>
    </w:p>
    <w:p w14:paraId="00CBD419" w14:textId="77777777" w:rsidR="000D5AB3" w:rsidRDefault="000D5AB3" w:rsidP="000D5AB3">
      <w:pPr>
        <w:pStyle w:val="ListParagraph"/>
        <w:numPr>
          <w:ilvl w:val="2"/>
          <w:numId w:val="22"/>
        </w:numPr>
        <w:tabs>
          <w:tab w:val="left" w:pos="810"/>
        </w:tabs>
        <w:spacing w:before="29" w:line="268" w:lineRule="auto"/>
        <w:ind w:left="720" w:right="568"/>
        <w:jc w:val="both"/>
        <w:rPr>
          <w:i/>
          <w:iCs/>
          <w:color w:val="323E4F" w:themeColor="text2" w:themeShade="BF"/>
          <w:sz w:val="20"/>
        </w:rPr>
      </w:pPr>
      <w:r>
        <w:rPr>
          <w:color w:val="323E4F" w:themeColor="text2" w:themeShade="BF"/>
          <w:sz w:val="20"/>
        </w:rPr>
        <w:t>Monitoring of surface and groundwater resources to ensure the biological and physical integrity is maintained. The monitoring of the STP outputs is addressed in </w:t>
      </w:r>
      <w:r>
        <w:rPr>
          <w:i/>
          <w:iCs/>
          <w:color w:val="323E4F" w:themeColor="text2" w:themeShade="BF"/>
          <w:sz w:val="20"/>
        </w:rPr>
        <w:t>Technical Schedule 4: Metering and Monitoring System</w:t>
      </w:r>
      <w:r>
        <w:rPr>
          <w:color w:val="323E4F" w:themeColor="text2" w:themeShade="BF"/>
          <w:sz w:val="20"/>
        </w:rPr>
        <w:t xml:space="preserve"> and the "environmental" Water Quality Monitoring Programme will not be required to address any of the STP outputs covered by </w:t>
      </w:r>
      <w:r>
        <w:rPr>
          <w:i/>
          <w:iCs/>
          <w:color w:val="323E4F" w:themeColor="text2" w:themeShade="BF"/>
          <w:sz w:val="20"/>
        </w:rPr>
        <w:t>Technical Schedule 4: Metering and Monitoring System</w:t>
      </w:r>
    </w:p>
    <w:p w14:paraId="269482D9" w14:textId="77777777" w:rsidR="000D5AB3" w:rsidRDefault="000D5AB3" w:rsidP="000D5AB3">
      <w:pPr>
        <w:pStyle w:val="ListParagraph"/>
        <w:numPr>
          <w:ilvl w:val="2"/>
          <w:numId w:val="22"/>
        </w:numPr>
        <w:tabs>
          <w:tab w:val="left" w:pos="810"/>
        </w:tabs>
        <w:spacing w:line="268" w:lineRule="auto"/>
        <w:ind w:left="720" w:right="559"/>
        <w:jc w:val="both"/>
        <w:rPr>
          <w:color w:val="323E4F" w:themeColor="text2" w:themeShade="BF"/>
          <w:sz w:val="20"/>
        </w:rPr>
      </w:pPr>
      <w:r>
        <w:rPr>
          <w:color w:val="323E4F" w:themeColor="text2" w:themeShade="BF"/>
          <w:sz w:val="20"/>
        </w:rPr>
        <w:t xml:space="preserve">Biannual bio-monitoring sampling of aquatic environments, as well as assessments </w:t>
      </w:r>
      <w:r>
        <w:rPr>
          <w:color w:val="323E4F" w:themeColor="text2" w:themeShade="BF"/>
          <w:spacing w:val="2"/>
          <w:sz w:val="20"/>
        </w:rPr>
        <w:t>re-</w:t>
      </w:r>
      <w:r>
        <w:rPr>
          <w:color w:val="323E4F" w:themeColor="text2" w:themeShade="BF"/>
          <w:sz w:val="20"/>
        </w:rPr>
        <w:t>establishment of riparian / wetland vegetation in both the respective habitats and buffer</w:t>
      </w:r>
      <w:r>
        <w:rPr>
          <w:color w:val="323E4F" w:themeColor="text2" w:themeShade="BF"/>
          <w:spacing w:val="-16"/>
          <w:sz w:val="20"/>
        </w:rPr>
        <w:t xml:space="preserve"> </w:t>
      </w:r>
      <w:proofErr w:type="gramStart"/>
      <w:r>
        <w:rPr>
          <w:color w:val="323E4F" w:themeColor="text2" w:themeShade="BF"/>
          <w:sz w:val="20"/>
        </w:rPr>
        <w:t>zones;</w:t>
      </w:r>
      <w:proofErr w:type="gramEnd"/>
    </w:p>
    <w:p w14:paraId="2A6C886A" w14:textId="77777777" w:rsidR="000D5AB3" w:rsidRDefault="000D5AB3" w:rsidP="000D5AB3">
      <w:pPr>
        <w:pStyle w:val="ListParagraph"/>
        <w:numPr>
          <w:ilvl w:val="2"/>
          <w:numId w:val="22"/>
        </w:numPr>
        <w:tabs>
          <w:tab w:val="left" w:pos="810"/>
        </w:tabs>
        <w:spacing w:line="268" w:lineRule="auto"/>
        <w:ind w:left="720" w:right="559"/>
        <w:jc w:val="both"/>
        <w:rPr>
          <w:color w:val="323E4F" w:themeColor="text2" w:themeShade="BF"/>
          <w:sz w:val="20"/>
        </w:rPr>
      </w:pPr>
      <w:r>
        <w:rPr>
          <w:color w:val="323E4F" w:themeColor="text2" w:themeShade="BF"/>
          <w:sz w:val="20"/>
        </w:rPr>
        <w:t>Trend analysis to inform thresholds for adaptive management and tracking of NNL/NG and trend in the PES as per IFC PS6 and National requirements.</w:t>
      </w:r>
    </w:p>
    <w:p w14:paraId="20BA17B9" w14:textId="77777777" w:rsidR="000D5AB3" w:rsidRDefault="000D5AB3" w:rsidP="000D5AB3">
      <w:pPr>
        <w:pStyle w:val="Heading3"/>
        <w:numPr>
          <w:ilvl w:val="0"/>
          <w:numId w:val="0"/>
        </w:numPr>
        <w:ind w:left="720"/>
      </w:pPr>
      <w:bookmarkStart w:id="19" w:name="_bookmark10"/>
      <w:bookmarkEnd w:id="19"/>
    </w:p>
    <w:p w14:paraId="1E2CE1CC" w14:textId="77777777" w:rsidR="000D5AB3" w:rsidRDefault="000D5AB3" w:rsidP="000D5AB3">
      <w:pPr>
        <w:pStyle w:val="Heading3"/>
        <w:numPr>
          <w:ilvl w:val="2"/>
          <w:numId w:val="2"/>
        </w:numPr>
        <w:ind w:left="1134" w:hanging="850"/>
        <w:rPr>
          <w:i w:val="0"/>
          <w:iCs/>
        </w:rPr>
      </w:pPr>
      <w:bookmarkStart w:id="20" w:name="_Toc127283782"/>
      <w:r>
        <w:rPr>
          <w:i w:val="0"/>
          <w:iCs/>
        </w:rPr>
        <w:t>Groundwater and Soil Monitoring</w:t>
      </w:r>
      <w:bookmarkEnd w:id="20"/>
    </w:p>
    <w:p w14:paraId="3ADF192D" w14:textId="77777777" w:rsidR="000D5AB3" w:rsidRDefault="000D5AB3" w:rsidP="000D5AB3">
      <w:pPr>
        <w:pStyle w:val="Heading4"/>
        <w:numPr>
          <w:ilvl w:val="3"/>
          <w:numId w:val="2"/>
        </w:numPr>
        <w:ind w:left="1276" w:hanging="992"/>
        <w:rPr>
          <w:b/>
          <w:bCs w:val="0"/>
          <w:i w:val="0"/>
          <w:iCs/>
          <w:color w:val="323E4F" w:themeColor="text2" w:themeShade="BF"/>
        </w:rPr>
      </w:pPr>
      <w:bookmarkStart w:id="21" w:name="_bookmark11"/>
      <w:bookmarkStart w:id="22" w:name="_Toc127283783"/>
      <w:bookmarkEnd w:id="21"/>
      <w:r>
        <w:rPr>
          <w:b/>
          <w:bCs w:val="0"/>
          <w:i w:val="0"/>
          <w:iCs/>
          <w:color w:val="323E4F" w:themeColor="text2" w:themeShade="BF"/>
        </w:rPr>
        <w:t>Phase 1: Pre-Construction Baseline</w:t>
      </w:r>
      <w:bookmarkEnd w:id="22"/>
    </w:p>
    <w:p w14:paraId="1BD5AF2D" w14:textId="77777777" w:rsidR="000D5AB3" w:rsidRDefault="000D5AB3" w:rsidP="000D5AB3">
      <w:pPr>
        <w:pStyle w:val="BodyText"/>
        <w:spacing w:before="116" w:line="268" w:lineRule="auto"/>
        <w:ind w:left="308" w:right="568"/>
        <w:jc w:val="both"/>
        <w:rPr>
          <w:color w:val="323E4F" w:themeColor="text2" w:themeShade="BF"/>
        </w:rPr>
      </w:pPr>
      <w:r>
        <w:rPr>
          <w:color w:val="323E4F" w:themeColor="text2" w:themeShade="BF"/>
        </w:rPr>
        <w:t xml:space="preserve">A pre-construction baseline of all proposed ground water quality constituents for four (4) seasons must be determined </w:t>
      </w:r>
      <w:proofErr w:type="gramStart"/>
      <w:r>
        <w:rPr>
          <w:color w:val="323E4F" w:themeColor="text2" w:themeShade="BF"/>
        </w:rPr>
        <w:t>in order to</w:t>
      </w:r>
      <w:proofErr w:type="gramEnd"/>
      <w:r>
        <w:rPr>
          <w:color w:val="323E4F" w:themeColor="text2" w:themeShade="BF"/>
        </w:rPr>
        <w:t xml:space="preserve"> make a comparison with the construction and the operational phase of the STP to show trends in resource quality. This must include a determination of available boreholes for monitoring.</w:t>
      </w:r>
    </w:p>
    <w:p w14:paraId="6FAE08A4" w14:textId="77777777" w:rsidR="000D5AB3" w:rsidRDefault="000D5AB3" w:rsidP="000D5AB3">
      <w:pPr>
        <w:pStyle w:val="BodyText"/>
        <w:spacing w:before="116" w:line="268" w:lineRule="auto"/>
        <w:ind w:left="308" w:right="568"/>
        <w:jc w:val="both"/>
        <w:rPr>
          <w:color w:val="323E4F" w:themeColor="text2" w:themeShade="BF"/>
        </w:rPr>
      </w:pPr>
      <w:r>
        <w:rPr>
          <w:color w:val="323E4F" w:themeColor="text2" w:themeShade="BF"/>
        </w:rPr>
        <w:t xml:space="preserve">With regards to pre-construction soil quality, the baseline must be informed by, but not limited to the Soil Screening Values (SSV) as contained in the National Norms and Standards (GNR 331 of May 2014). A SANAS approved laboratory must be used for all </w:t>
      </w:r>
      <w:proofErr w:type="gramStart"/>
      <w:r>
        <w:rPr>
          <w:color w:val="323E4F" w:themeColor="text2" w:themeShade="BF"/>
        </w:rPr>
        <w:t>analyses</w:t>
      </w:r>
      <w:proofErr w:type="gramEnd"/>
    </w:p>
    <w:p w14:paraId="028E7DBC" w14:textId="77777777" w:rsidR="000D5AB3" w:rsidRDefault="000D5AB3" w:rsidP="000D5AB3">
      <w:pPr>
        <w:pStyle w:val="Heading4"/>
        <w:numPr>
          <w:ilvl w:val="3"/>
          <w:numId w:val="2"/>
        </w:numPr>
        <w:ind w:left="1276" w:hanging="992"/>
        <w:rPr>
          <w:b/>
          <w:bCs w:val="0"/>
          <w:i w:val="0"/>
          <w:iCs/>
          <w:color w:val="323E4F" w:themeColor="text2" w:themeShade="BF"/>
        </w:rPr>
      </w:pPr>
      <w:bookmarkStart w:id="23" w:name="_Toc127283784"/>
      <w:r>
        <w:rPr>
          <w:b/>
          <w:bCs w:val="0"/>
          <w:i w:val="0"/>
          <w:iCs/>
          <w:color w:val="323E4F" w:themeColor="text2" w:themeShade="BF"/>
        </w:rPr>
        <w:t>Phase 2: Monitoring (During Construction)</w:t>
      </w:r>
      <w:bookmarkEnd w:id="23"/>
    </w:p>
    <w:p w14:paraId="2F7A360B" w14:textId="77777777" w:rsidR="000D5AB3" w:rsidRDefault="000D5AB3" w:rsidP="000D5AB3">
      <w:pPr>
        <w:pStyle w:val="BodyText"/>
        <w:spacing w:before="116" w:line="268" w:lineRule="auto"/>
        <w:ind w:left="308" w:right="568"/>
        <w:jc w:val="both"/>
        <w:rPr>
          <w:color w:val="323E4F" w:themeColor="text2" w:themeShade="BF"/>
        </w:rPr>
      </w:pPr>
      <w:r>
        <w:rPr>
          <w:color w:val="323E4F" w:themeColor="text2" w:themeShade="BF"/>
        </w:rPr>
        <w:t>It is proposed that ground water and soil monitoring focus on active excavation and equipment / heavy machinery parking or housing areas. Regular visual inspections of these areas need to be undertaken. Moreover, placing and monitoring drip trays installed underneath parked construction vehicles will help to determine which vehicles need to be repaired / taken off site to prevent contamination while in service. Sampling upstream and downstream of the site will help to determine if the activity is impacting the surface water quality using a Before-After-Impact-Control (BACI) Approach.</w:t>
      </w:r>
    </w:p>
    <w:p w14:paraId="7E7805EF" w14:textId="77777777" w:rsidR="000D5AB3" w:rsidRDefault="000D5AB3" w:rsidP="000D5AB3">
      <w:pPr>
        <w:pStyle w:val="Heading4"/>
        <w:numPr>
          <w:ilvl w:val="3"/>
          <w:numId w:val="2"/>
        </w:numPr>
        <w:ind w:left="1276" w:hanging="992"/>
        <w:rPr>
          <w:b/>
          <w:bCs w:val="0"/>
          <w:i w:val="0"/>
          <w:iCs/>
          <w:color w:val="323E4F" w:themeColor="text2" w:themeShade="BF"/>
        </w:rPr>
      </w:pPr>
      <w:bookmarkStart w:id="24" w:name="_bookmark12"/>
      <w:bookmarkStart w:id="25" w:name="_Toc127283785"/>
      <w:bookmarkEnd w:id="24"/>
      <w:r>
        <w:rPr>
          <w:b/>
          <w:bCs w:val="0"/>
          <w:i w:val="0"/>
          <w:iCs/>
          <w:color w:val="323E4F" w:themeColor="text2" w:themeShade="BF"/>
        </w:rPr>
        <w:t>Phase 3: Monitoring (During Operations)</w:t>
      </w:r>
      <w:bookmarkEnd w:id="25"/>
    </w:p>
    <w:p w14:paraId="5D888CAC" w14:textId="77777777" w:rsidR="000D5AB3" w:rsidRDefault="000D5AB3" w:rsidP="000D5AB3">
      <w:pPr>
        <w:pStyle w:val="BodyText"/>
        <w:spacing w:before="117" w:line="268" w:lineRule="auto"/>
        <w:ind w:left="308" w:right="570"/>
        <w:jc w:val="both"/>
        <w:rPr>
          <w:color w:val="323E4F" w:themeColor="text2" w:themeShade="BF"/>
        </w:rPr>
      </w:pPr>
      <w:r>
        <w:rPr>
          <w:color w:val="323E4F" w:themeColor="text2" w:themeShade="BF"/>
        </w:rPr>
        <w:t>Borehole</w:t>
      </w:r>
      <w:r>
        <w:rPr>
          <w:color w:val="323E4F" w:themeColor="text2" w:themeShade="BF"/>
          <w:spacing w:val="-9"/>
        </w:rPr>
        <w:t xml:space="preserve"> </w:t>
      </w:r>
      <w:r>
        <w:rPr>
          <w:color w:val="323E4F" w:themeColor="text2" w:themeShade="BF"/>
        </w:rPr>
        <w:t>monitoring</w:t>
      </w:r>
      <w:r>
        <w:rPr>
          <w:color w:val="323E4F" w:themeColor="text2" w:themeShade="BF"/>
          <w:spacing w:val="-8"/>
        </w:rPr>
        <w:t xml:space="preserve"> </w:t>
      </w:r>
      <w:r>
        <w:rPr>
          <w:color w:val="323E4F" w:themeColor="text2" w:themeShade="BF"/>
        </w:rPr>
        <w:t>must</w:t>
      </w:r>
      <w:r>
        <w:rPr>
          <w:color w:val="323E4F" w:themeColor="text2" w:themeShade="BF"/>
          <w:spacing w:val="-8"/>
        </w:rPr>
        <w:t xml:space="preserve"> </w:t>
      </w:r>
      <w:r>
        <w:rPr>
          <w:color w:val="323E4F" w:themeColor="text2" w:themeShade="BF"/>
        </w:rPr>
        <w:t>be</w:t>
      </w:r>
      <w:r>
        <w:rPr>
          <w:color w:val="323E4F" w:themeColor="text2" w:themeShade="BF"/>
          <w:spacing w:val="-8"/>
        </w:rPr>
        <w:t xml:space="preserve"> </w:t>
      </w:r>
      <w:r>
        <w:rPr>
          <w:color w:val="323E4F" w:themeColor="text2" w:themeShade="BF"/>
        </w:rPr>
        <w:t xml:space="preserve">done of which the likely number of samples required as well as standards will be based on the conditions of the Water Use Authorisation and geohydrological </w:t>
      </w:r>
      <w:r>
        <w:rPr>
          <w:color w:val="323E4F" w:themeColor="text2" w:themeShade="BF"/>
        </w:rPr>
        <w:lastRenderedPageBreak/>
        <w:t>specialist recommendations.</w:t>
      </w:r>
      <w:r>
        <w:rPr>
          <w:color w:val="323E4F" w:themeColor="text2" w:themeShade="BF"/>
          <w:spacing w:val="-8"/>
        </w:rPr>
        <w:t xml:space="preserve"> </w:t>
      </w:r>
      <w:r>
        <w:rPr>
          <w:color w:val="323E4F" w:themeColor="text2" w:themeShade="BF"/>
        </w:rPr>
        <w:t>The</w:t>
      </w:r>
      <w:r>
        <w:rPr>
          <w:color w:val="323E4F" w:themeColor="text2" w:themeShade="BF"/>
          <w:spacing w:val="-8"/>
        </w:rPr>
        <w:t xml:space="preserve"> </w:t>
      </w:r>
      <w:r>
        <w:rPr>
          <w:color w:val="323E4F" w:themeColor="text2" w:themeShade="BF"/>
        </w:rPr>
        <w:t>monitoring</w:t>
      </w:r>
      <w:r>
        <w:rPr>
          <w:color w:val="323E4F" w:themeColor="text2" w:themeShade="BF"/>
          <w:spacing w:val="-8"/>
        </w:rPr>
        <w:t xml:space="preserve"> </w:t>
      </w:r>
      <w:r>
        <w:rPr>
          <w:color w:val="323E4F" w:themeColor="text2" w:themeShade="BF"/>
        </w:rPr>
        <w:t>plan</w:t>
      </w:r>
      <w:r>
        <w:rPr>
          <w:color w:val="323E4F" w:themeColor="text2" w:themeShade="BF"/>
          <w:spacing w:val="-8"/>
        </w:rPr>
        <w:t xml:space="preserve"> </w:t>
      </w:r>
      <w:r>
        <w:rPr>
          <w:color w:val="323E4F" w:themeColor="text2" w:themeShade="BF"/>
        </w:rPr>
        <w:t>must also</w:t>
      </w:r>
      <w:r>
        <w:rPr>
          <w:color w:val="323E4F" w:themeColor="text2" w:themeShade="BF"/>
          <w:spacing w:val="-8"/>
        </w:rPr>
        <w:t xml:space="preserve"> </w:t>
      </w:r>
      <w:r>
        <w:rPr>
          <w:color w:val="323E4F" w:themeColor="text2" w:themeShade="BF"/>
        </w:rPr>
        <w:t>identify</w:t>
      </w:r>
      <w:r>
        <w:rPr>
          <w:color w:val="323E4F" w:themeColor="text2" w:themeShade="BF"/>
          <w:spacing w:val="-7"/>
        </w:rPr>
        <w:t xml:space="preserve"> </w:t>
      </w:r>
      <w:r>
        <w:rPr>
          <w:color w:val="323E4F" w:themeColor="text2" w:themeShade="BF"/>
        </w:rPr>
        <w:t>monitoring</w:t>
      </w:r>
      <w:r>
        <w:rPr>
          <w:color w:val="323E4F" w:themeColor="text2" w:themeShade="BF"/>
          <w:spacing w:val="-8"/>
        </w:rPr>
        <w:t xml:space="preserve"> </w:t>
      </w:r>
      <w:r>
        <w:rPr>
          <w:color w:val="323E4F" w:themeColor="text2" w:themeShade="BF"/>
        </w:rPr>
        <w:t>positions.</w:t>
      </w:r>
      <w:r>
        <w:rPr>
          <w:color w:val="323E4F" w:themeColor="text2" w:themeShade="BF"/>
          <w:spacing w:val="-8"/>
        </w:rPr>
        <w:t xml:space="preserve"> </w:t>
      </w:r>
      <w:r>
        <w:rPr>
          <w:color w:val="323E4F" w:themeColor="text2" w:themeShade="BF"/>
        </w:rPr>
        <w:t>Monitoring</w:t>
      </w:r>
      <w:r>
        <w:rPr>
          <w:color w:val="323E4F" w:themeColor="text2" w:themeShade="BF"/>
          <w:spacing w:val="-7"/>
        </w:rPr>
        <w:t xml:space="preserve"> </w:t>
      </w:r>
      <w:r>
        <w:rPr>
          <w:color w:val="323E4F" w:themeColor="text2" w:themeShade="BF"/>
        </w:rPr>
        <w:t>must</w:t>
      </w:r>
      <w:r>
        <w:rPr>
          <w:color w:val="323E4F" w:themeColor="text2" w:themeShade="BF"/>
          <w:spacing w:val="-8"/>
        </w:rPr>
        <w:t xml:space="preserve"> </w:t>
      </w:r>
      <w:r>
        <w:rPr>
          <w:color w:val="323E4F" w:themeColor="text2" w:themeShade="BF"/>
        </w:rPr>
        <w:t xml:space="preserve">be done on the following parameters as a minimum: pH, Conductivity (EC) / Total Dissolved Solids (TDS), Temperature, Dissolved Oxygen, heavy metals, Groundwater Level (if applicable) as well as biological components and other toxicity and chemical parameters </w:t>
      </w:r>
      <w:proofErr w:type="gramStart"/>
      <w:r>
        <w:rPr>
          <w:color w:val="323E4F" w:themeColor="text2" w:themeShade="BF"/>
        </w:rPr>
        <w:t>i.e.</w:t>
      </w:r>
      <w:proofErr w:type="gramEnd"/>
      <w:r>
        <w:rPr>
          <w:color w:val="323E4F" w:themeColor="text2" w:themeShade="BF"/>
        </w:rPr>
        <w:t xml:space="preserve"> E. coli, Faecal coliforms, nitrate, phosphate, ammonia, ammonium, BOD, COD.</w:t>
      </w:r>
    </w:p>
    <w:p w14:paraId="5A897D39" w14:textId="77777777" w:rsidR="000D5AB3" w:rsidRPr="00EA6A6E" w:rsidRDefault="000D5AB3" w:rsidP="00EA6A6E">
      <w:pPr>
        <w:pStyle w:val="Heading3"/>
        <w:numPr>
          <w:ilvl w:val="0"/>
          <w:numId w:val="0"/>
        </w:numPr>
        <w:ind w:left="720"/>
      </w:pPr>
    </w:p>
    <w:p w14:paraId="78CA67BA" w14:textId="77777777" w:rsidR="000D5AB3" w:rsidRDefault="000D5AB3" w:rsidP="000D5AB3">
      <w:pPr>
        <w:pStyle w:val="Heading3"/>
        <w:numPr>
          <w:ilvl w:val="2"/>
          <w:numId w:val="2"/>
        </w:numPr>
        <w:ind w:left="1134" w:hanging="850"/>
        <w:rPr>
          <w:i w:val="0"/>
          <w:iCs/>
        </w:rPr>
      </w:pPr>
      <w:bookmarkStart w:id="26" w:name="_bookmark13"/>
      <w:bookmarkStart w:id="27" w:name="_Toc127283786"/>
      <w:bookmarkEnd w:id="26"/>
      <w:r>
        <w:rPr>
          <w:i w:val="0"/>
          <w:iCs/>
        </w:rPr>
        <w:t>River and Estuarine Monitoring</w:t>
      </w:r>
      <w:bookmarkStart w:id="28" w:name="_bookmark14"/>
      <w:bookmarkEnd w:id="27"/>
      <w:bookmarkEnd w:id="28"/>
    </w:p>
    <w:p w14:paraId="07FA43A8" w14:textId="77777777" w:rsidR="000D5AB3" w:rsidRDefault="000D5AB3" w:rsidP="000D5AB3">
      <w:pPr>
        <w:pStyle w:val="BodyText"/>
        <w:spacing w:line="268" w:lineRule="auto"/>
        <w:ind w:left="308" w:right="566"/>
        <w:jc w:val="both"/>
        <w:rPr>
          <w:color w:val="323E4F" w:themeColor="text2" w:themeShade="BF"/>
        </w:rPr>
      </w:pPr>
    </w:p>
    <w:p w14:paraId="27024BE4" w14:textId="77777777" w:rsidR="000D5AB3" w:rsidRDefault="000D5AB3" w:rsidP="000D5AB3">
      <w:pPr>
        <w:pStyle w:val="BodyText"/>
        <w:spacing w:line="268" w:lineRule="auto"/>
        <w:ind w:left="308" w:right="566"/>
        <w:jc w:val="both"/>
        <w:rPr>
          <w:color w:val="323E4F" w:themeColor="text2" w:themeShade="BF"/>
        </w:rPr>
      </w:pPr>
      <w:r>
        <w:rPr>
          <w:color w:val="323E4F" w:themeColor="text2" w:themeShade="BF"/>
        </w:rPr>
        <w:t>From an aquatic ecosystem perspective, a suitably qualified and experienced specialist (professionally registered with SACNASP in freshwater or ecological science) would need to be appointed to compile a Surface Water Quality and Aquatic Biomonitoring Plan for the operational phase of the STP. The plan should seek to monitor potential long-term impacts that the STP discharge has on receiving aquatic ecosystems (</w:t>
      </w:r>
      <w:proofErr w:type="gramStart"/>
      <w:r>
        <w:rPr>
          <w:color w:val="323E4F" w:themeColor="text2" w:themeShade="BF"/>
        </w:rPr>
        <w:t>i.e.</w:t>
      </w:r>
      <w:proofErr w:type="gramEnd"/>
      <w:r>
        <w:rPr>
          <w:color w:val="323E4F" w:themeColor="text2" w:themeShade="BF"/>
        </w:rPr>
        <w:t xml:space="preserve"> the </w:t>
      </w:r>
      <w:proofErr w:type="spellStart"/>
      <w:r>
        <w:rPr>
          <w:color w:val="323E4F" w:themeColor="text2" w:themeShade="BF"/>
        </w:rPr>
        <w:t>uMkhomazi</w:t>
      </w:r>
      <w:proofErr w:type="spellEnd"/>
      <w:r>
        <w:rPr>
          <w:color w:val="323E4F" w:themeColor="text2" w:themeShade="BF"/>
        </w:rPr>
        <w:t xml:space="preserve"> River and Estuary in this case), reported against RQO’s (refer to Tables 3-3 and 3-4 below) set for the receiving environments and agreed discharge quality and quantities (volumes). The plan should form part of an auditing and compliance programme for the project using a set of agreed performance standards and conditions set out in the Environmental Authorisation (EA) and Water Use Licence (WUL) for the planned development project. Importantly the surface water quality and aquatic biomonitoring plan must report against flow, water quality, habitat and biota scenarios modelled as part of the impact assessment phase of the project (</w:t>
      </w:r>
      <w:proofErr w:type="gramStart"/>
      <w:r>
        <w:rPr>
          <w:color w:val="323E4F" w:themeColor="text2" w:themeShade="BF"/>
        </w:rPr>
        <w:t>i.e.</w:t>
      </w:r>
      <w:proofErr w:type="gramEnd"/>
      <w:r>
        <w:rPr>
          <w:color w:val="323E4F" w:themeColor="text2" w:themeShade="BF"/>
        </w:rPr>
        <w:t xml:space="preserve"> those that show potential improvements in PES from decommissioning of existing plants and flow augmentation to the estuary). This would allow the relevant environmental authorities and other stakeholders to assess to what degree the outcomes of the project align with projected outcomes and impacts assessed at the ESIA phase of the project. If the actual impacts observed during operation do not align with what was modelled during the impact assessment phase, interventions can be actioned in line with adaptive management principles.</w:t>
      </w:r>
      <w:r>
        <w:t xml:space="preserve"> </w:t>
      </w:r>
      <w:r>
        <w:rPr>
          <w:color w:val="323E4F" w:themeColor="text2" w:themeShade="BF"/>
        </w:rPr>
        <w:t>Monitoring plans should define performance thresholds or triggers for adaptive mitigation and management so that they achieve the objectives in terms of IFC PS6.</w:t>
      </w:r>
    </w:p>
    <w:p w14:paraId="1E2624B9" w14:textId="77777777" w:rsidR="000D5AB3" w:rsidRDefault="000D5AB3" w:rsidP="000D5AB3">
      <w:pPr>
        <w:pStyle w:val="BodyText"/>
        <w:spacing w:before="5"/>
        <w:ind w:right="566"/>
        <w:jc w:val="both"/>
        <w:rPr>
          <w:color w:val="323E4F" w:themeColor="text2" w:themeShade="BF"/>
          <w:sz w:val="22"/>
        </w:rPr>
      </w:pPr>
    </w:p>
    <w:p w14:paraId="385B9E35" w14:textId="77777777" w:rsidR="000D5AB3" w:rsidRDefault="000D5AB3" w:rsidP="000D5AB3">
      <w:pPr>
        <w:pStyle w:val="BodyText"/>
        <w:ind w:left="308" w:right="566"/>
        <w:jc w:val="both"/>
        <w:rPr>
          <w:color w:val="323E4F" w:themeColor="text2" w:themeShade="BF"/>
        </w:rPr>
      </w:pPr>
      <w:r>
        <w:rPr>
          <w:color w:val="323E4F" w:themeColor="text2" w:themeShade="BF"/>
        </w:rPr>
        <w:t>The Surface Water Quality and Aquatic Biomonitoring Plan should, at a minimum, contain the following</w:t>
      </w:r>
      <w:r>
        <w:t xml:space="preserve"> </w:t>
      </w:r>
      <w:r>
        <w:rPr>
          <w:color w:val="323E4F" w:themeColor="text2" w:themeShade="BF"/>
        </w:rPr>
        <w:t xml:space="preserve">for pre-construction, </w:t>
      </w:r>
      <w:proofErr w:type="gramStart"/>
      <w:r>
        <w:rPr>
          <w:color w:val="323E4F" w:themeColor="text2" w:themeShade="BF"/>
        </w:rPr>
        <w:t>construction</w:t>
      </w:r>
      <w:proofErr w:type="gramEnd"/>
      <w:r>
        <w:rPr>
          <w:color w:val="323E4F" w:themeColor="text2" w:themeShade="BF"/>
        </w:rPr>
        <w:t xml:space="preserve"> and operational phases:</w:t>
      </w:r>
    </w:p>
    <w:p w14:paraId="2DD1184B" w14:textId="77777777" w:rsidR="000D5AB3" w:rsidRDefault="000D5AB3" w:rsidP="000D5AB3">
      <w:pPr>
        <w:pStyle w:val="ListParagraph"/>
        <w:numPr>
          <w:ilvl w:val="0"/>
          <w:numId w:val="24"/>
        </w:numPr>
        <w:tabs>
          <w:tab w:val="left" w:pos="668"/>
        </w:tabs>
        <w:spacing w:before="29"/>
        <w:ind w:left="720" w:right="566"/>
        <w:jc w:val="both"/>
        <w:rPr>
          <w:color w:val="323E4F" w:themeColor="text2" w:themeShade="BF"/>
          <w:sz w:val="20"/>
        </w:rPr>
      </w:pPr>
      <w:r>
        <w:rPr>
          <w:color w:val="323E4F" w:themeColor="text2" w:themeShade="BF"/>
          <w:sz w:val="20"/>
        </w:rPr>
        <w:t xml:space="preserve">Purpose of monitoring programme </w:t>
      </w:r>
    </w:p>
    <w:p w14:paraId="499DC232" w14:textId="77777777" w:rsidR="000D5AB3" w:rsidRDefault="000D5AB3" w:rsidP="000D5AB3">
      <w:pPr>
        <w:pStyle w:val="ListParagraph"/>
        <w:numPr>
          <w:ilvl w:val="0"/>
          <w:numId w:val="24"/>
        </w:numPr>
        <w:tabs>
          <w:tab w:val="left" w:pos="668"/>
        </w:tabs>
        <w:spacing w:before="29"/>
        <w:ind w:left="720" w:right="566"/>
        <w:jc w:val="both"/>
        <w:rPr>
          <w:color w:val="323E4F" w:themeColor="text2" w:themeShade="BF"/>
          <w:sz w:val="20"/>
        </w:rPr>
      </w:pPr>
      <w:r>
        <w:rPr>
          <w:color w:val="323E4F" w:themeColor="text2" w:themeShade="BF"/>
          <w:sz w:val="20"/>
        </w:rPr>
        <w:t>Aim and Objectives of the monitoring programme.</w:t>
      </w:r>
    </w:p>
    <w:p w14:paraId="442FE6E8" w14:textId="77777777" w:rsidR="000D5AB3" w:rsidRDefault="000D5AB3" w:rsidP="000D5AB3">
      <w:pPr>
        <w:pStyle w:val="ListParagraph"/>
        <w:numPr>
          <w:ilvl w:val="0"/>
          <w:numId w:val="24"/>
        </w:numPr>
        <w:tabs>
          <w:tab w:val="left" w:pos="668"/>
        </w:tabs>
        <w:spacing w:before="29"/>
        <w:ind w:left="720" w:right="566"/>
        <w:jc w:val="both"/>
        <w:rPr>
          <w:color w:val="323E4F" w:themeColor="text2" w:themeShade="BF"/>
          <w:sz w:val="20"/>
        </w:rPr>
      </w:pPr>
      <w:r>
        <w:rPr>
          <w:color w:val="323E4F" w:themeColor="text2" w:themeShade="BF"/>
          <w:sz w:val="20"/>
        </w:rPr>
        <w:t>Key risk and development impacts informing the monitoring plan.</w:t>
      </w:r>
    </w:p>
    <w:p w14:paraId="7CBA3DF3" w14:textId="77777777" w:rsidR="000D5AB3" w:rsidRDefault="000D5AB3" w:rsidP="000D5AB3">
      <w:pPr>
        <w:pStyle w:val="ListParagraph"/>
        <w:numPr>
          <w:ilvl w:val="0"/>
          <w:numId w:val="24"/>
        </w:numPr>
        <w:tabs>
          <w:tab w:val="left" w:pos="668"/>
        </w:tabs>
        <w:spacing w:before="29"/>
        <w:ind w:left="720" w:right="566"/>
        <w:jc w:val="both"/>
        <w:rPr>
          <w:color w:val="323E4F" w:themeColor="text2" w:themeShade="BF"/>
          <w:sz w:val="20"/>
        </w:rPr>
      </w:pPr>
      <w:r>
        <w:rPr>
          <w:color w:val="323E4F" w:themeColor="text2" w:themeShade="BF"/>
          <w:sz w:val="20"/>
        </w:rPr>
        <w:t>Potential water quality threats and pollution pathways to be monitored.</w:t>
      </w:r>
    </w:p>
    <w:p w14:paraId="0FE79428" w14:textId="77777777" w:rsidR="000D5AB3" w:rsidRDefault="000D5AB3" w:rsidP="000D5AB3">
      <w:pPr>
        <w:pStyle w:val="ListParagraph"/>
        <w:numPr>
          <w:ilvl w:val="0"/>
          <w:numId w:val="24"/>
        </w:numPr>
        <w:tabs>
          <w:tab w:val="left" w:pos="668"/>
        </w:tabs>
        <w:spacing w:before="29"/>
        <w:ind w:left="720" w:right="566"/>
        <w:jc w:val="both"/>
        <w:rPr>
          <w:color w:val="323E4F" w:themeColor="text2" w:themeShade="BF"/>
          <w:sz w:val="20"/>
        </w:rPr>
      </w:pPr>
      <w:r>
        <w:rPr>
          <w:color w:val="323E4F" w:themeColor="text2" w:themeShade="BF"/>
          <w:sz w:val="20"/>
        </w:rPr>
        <w:t>Roles and responsibilities for monitoring</w:t>
      </w:r>
    </w:p>
    <w:p w14:paraId="422B8631" w14:textId="77777777" w:rsidR="000D5AB3" w:rsidRDefault="000D5AB3" w:rsidP="000D5AB3">
      <w:pPr>
        <w:pStyle w:val="ListParagraph"/>
        <w:numPr>
          <w:ilvl w:val="0"/>
          <w:numId w:val="24"/>
        </w:numPr>
        <w:tabs>
          <w:tab w:val="left" w:pos="668"/>
        </w:tabs>
        <w:spacing w:before="29"/>
        <w:ind w:left="720" w:right="566"/>
        <w:jc w:val="both"/>
        <w:rPr>
          <w:color w:val="323E4F" w:themeColor="text2" w:themeShade="BF"/>
          <w:sz w:val="20"/>
        </w:rPr>
      </w:pPr>
      <w:r>
        <w:rPr>
          <w:color w:val="323E4F" w:themeColor="text2" w:themeShade="BF"/>
          <w:sz w:val="20"/>
        </w:rPr>
        <w:t>Confirmation of funding for monitoring</w:t>
      </w:r>
    </w:p>
    <w:p w14:paraId="1AC7E077" w14:textId="77777777" w:rsidR="000D5AB3" w:rsidRDefault="000D5AB3" w:rsidP="000D5AB3">
      <w:pPr>
        <w:pStyle w:val="ListParagraph"/>
        <w:numPr>
          <w:ilvl w:val="0"/>
          <w:numId w:val="24"/>
        </w:numPr>
        <w:tabs>
          <w:tab w:val="left" w:pos="668"/>
        </w:tabs>
        <w:spacing w:before="29"/>
        <w:ind w:left="720" w:right="566"/>
        <w:jc w:val="both"/>
        <w:rPr>
          <w:color w:val="323E4F" w:themeColor="text2" w:themeShade="BF"/>
          <w:sz w:val="20"/>
        </w:rPr>
      </w:pPr>
      <w:r>
        <w:rPr>
          <w:color w:val="323E4F" w:themeColor="text2" w:themeShade="BF"/>
          <w:sz w:val="20"/>
        </w:rPr>
        <w:t>Monitoring site selection and rationale</w:t>
      </w:r>
    </w:p>
    <w:p w14:paraId="00FB06D5" w14:textId="77777777" w:rsidR="000D5AB3" w:rsidRDefault="000D5AB3" w:rsidP="000D5AB3">
      <w:pPr>
        <w:pStyle w:val="ListParagraph"/>
        <w:numPr>
          <w:ilvl w:val="0"/>
          <w:numId w:val="24"/>
        </w:numPr>
        <w:tabs>
          <w:tab w:val="left" w:pos="668"/>
        </w:tabs>
        <w:spacing w:before="29"/>
        <w:ind w:left="720" w:right="566"/>
        <w:jc w:val="both"/>
        <w:rPr>
          <w:color w:val="323E4F" w:themeColor="text2" w:themeShade="BF"/>
          <w:sz w:val="20"/>
        </w:rPr>
      </w:pPr>
      <w:r>
        <w:rPr>
          <w:color w:val="323E4F" w:themeColor="text2" w:themeShade="BF"/>
          <w:sz w:val="20"/>
        </w:rPr>
        <w:t xml:space="preserve">Monitoring variables, </w:t>
      </w:r>
      <w:proofErr w:type="gramStart"/>
      <w:r>
        <w:rPr>
          <w:color w:val="323E4F" w:themeColor="text2" w:themeShade="BF"/>
          <w:sz w:val="20"/>
        </w:rPr>
        <w:t>methods</w:t>
      </w:r>
      <w:proofErr w:type="gramEnd"/>
      <w:r>
        <w:rPr>
          <w:color w:val="323E4F" w:themeColor="text2" w:themeShade="BF"/>
          <w:sz w:val="20"/>
        </w:rPr>
        <w:t xml:space="preserve"> and techniques (aligned with water quality and biological indictors set out in the RQO’s)</w:t>
      </w:r>
    </w:p>
    <w:p w14:paraId="3941C570" w14:textId="77777777" w:rsidR="000D5AB3" w:rsidRDefault="000D5AB3" w:rsidP="000D5AB3">
      <w:pPr>
        <w:pStyle w:val="ListParagraph"/>
        <w:numPr>
          <w:ilvl w:val="0"/>
          <w:numId w:val="24"/>
        </w:numPr>
        <w:tabs>
          <w:tab w:val="left" w:pos="668"/>
        </w:tabs>
        <w:spacing w:before="29"/>
        <w:ind w:left="720" w:right="566"/>
        <w:jc w:val="both"/>
        <w:rPr>
          <w:color w:val="323E4F" w:themeColor="text2" w:themeShade="BF"/>
          <w:sz w:val="20"/>
        </w:rPr>
      </w:pPr>
      <w:r>
        <w:rPr>
          <w:color w:val="323E4F" w:themeColor="text2" w:themeShade="BF"/>
          <w:sz w:val="20"/>
        </w:rPr>
        <w:t>Reporting requirements</w:t>
      </w:r>
    </w:p>
    <w:p w14:paraId="2B402C09" w14:textId="77777777" w:rsidR="000D5AB3" w:rsidRDefault="000D5AB3" w:rsidP="000D5AB3">
      <w:pPr>
        <w:pStyle w:val="ListParagraph"/>
        <w:numPr>
          <w:ilvl w:val="0"/>
          <w:numId w:val="24"/>
        </w:numPr>
        <w:tabs>
          <w:tab w:val="left" w:pos="668"/>
        </w:tabs>
        <w:spacing w:before="29"/>
        <w:ind w:left="720" w:right="566"/>
        <w:jc w:val="both"/>
        <w:rPr>
          <w:color w:val="323E4F" w:themeColor="text2" w:themeShade="BF"/>
          <w:sz w:val="20"/>
        </w:rPr>
      </w:pPr>
      <w:r>
        <w:rPr>
          <w:color w:val="323E4F" w:themeColor="text2" w:themeShade="BF"/>
          <w:sz w:val="20"/>
        </w:rPr>
        <w:t>Trend analysis of abiotic and biotic results showing thresholds for the PES, REC (National RQO values) and the tracking of NNL/NG as per international requirements (IFC PS6).</w:t>
      </w:r>
    </w:p>
    <w:p w14:paraId="57E62C1C" w14:textId="77777777" w:rsidR="000D5AB3" w:rsidRDefault="000D5AB3" w:rsidP="000D5AB3">
      <w:pPr>
        <w:pStyle w:val="ListParagraph"/>
        <w:numPr>
          <w:ilvl w:val="0"/>
          <w:numId w:val="24"/>
        </w:numPr>
        <w:tabs>
          <w:tab w:val="left" w:pos="668"/>
        </w:tabs>
        <w:spacing w:before="29"/>
        <w:ind w:left="720" w:right="566"/>
        <w:jc w:val="both"/>
        <w:rPr>
          <w:color w:val="323E4F" w:themeColor="text2" w:themeShade="BF"/>
          <w:sz w:val="20"/>
        </w:rPr>
      </w:pPr>
      <w:r>
        <w:rPr>
          <w:color w:val="323E4F" w:themeColor="text2" w:themeShade="BF"/>
          <w:sz w:val="20"/>
        </w:rPr>
        <w:t>Use of monitoring results to inform impact management.</w:t>
      </w:r>
    </w:p>
    <w:p w14:paraId="34371C05" w14:textId="77777777" w:rsidR="000D5AB3" w:rsidRDefault="000D5AB3" w:rsidP="000D5AB3">
      <w:pPr>
        <w:pStyle w:val="ListParagraph"/>
        <w:numPr>
          <w:ilvl w:val="0"/>
          <w:numId w:val="24"/>
        </w:numPr>
        <w:tabs>
          <w:tab w:val="left" w:pos="668"/>
        </w:tabs>
        <w:spacing w:before="29"/>
        <w:ind w:left="720" w:right="566"/>
        <w:jc w:val="both"/>
        <w:rPr>
          <w:color w:val="323E4F" w:themeColor="text2" w:themeShade="BF"/>
          <w:sz w:val="20"/>
        </w:rPr>
      </w:pPr>
      <w:r>
        <w:rPr>
          <w:color w:val="323E4F" w:themeColor="text2" w:themeShade="BF"/>
          <w:sz w:val="20"/>
        </w:rPr>
        <w:t>Review of the monitoring plan &amp; adaptive management cycle.</w:t>
      </w:r>
    </w:p>
    <w:p w14:paraId="413AAA3B" w14:textId="77777777" w:rsidR="000D5AB3" w:rsidRDefault="000D5AB3" w:rsidP="000D5AB3">
      <w:pPr>
        <w:pStyle w:val="Heading4"/>
        <w:numPr>
          <w:ilvl w:val="3"/>
          <w:numId w:val="2"/>
        </w:numPr>
        <w:ind w:left="1276" w:hanging="992"/>
        <w:rPr>
          <w:b/>
          <w:bCs w:val="0"/>
          <w:i w:val="0"/>
          <w:iCs/>
          <w:color w:val="323E4F" w:themeColor="text2" w:themeShade="BF"/>
        </w:rPr>
      </w:pPr>
      <w:bookmarkStart w:id="29" w:name="_Toc127283787"/>
      <w:r>
        <w:rPr>
          <w:b/>
          <w:bCs w:val="0"/>
          <w:i w:val="0"/>
          <w:iCs/>
          <w:color w:val="323E4F" w:themeColor="text2" w:themeShade="BF"/>
        </w:rPr>
        <w:t>Phase 1: Pre-Construction Baseline</w:t>
      </w:r>
      <w:bookmarkEnd w:id="29"/>
    </w:p>
    <w:p w14:paraId="02A17F0A" w14:textId="77777777" w:rsidR="000D5AB3" w:rsidRDefault="000D5AB3" w:rsidP="000D5AB3">
      <w:pPr>
        <w:pStyle w:val="BodyText"/>
        <w:spacing w:before="117" w:line="268" w:lineRule="auto"/>
        <w:ind w:left="308" w:right="566"/>
        <w:jc w:val="both"/>
        <w:rPr>
          <w:color w:val="323E4F" w:themeColor="text2" w:themeShade="BF"/>
        </w:rPr>
      </w:pPr>
      <w:r>
        <w:rPr>
          <w:color w:val="323E4F" w:themeColor="text2" w:themeShade="BF"/>
        </w:rPr>
        <w:t xml:space="preserve">Pre-construction baseline monitoring includes the collection of baseline data prior to any construction activities occurring. Prior to any baseline pre-construction monitoring occurring, the extent of freshwater and estuarine environments would need to be delineated (by contributing </w:t>
      </w:r>
      <w:r>
        <w:rPr>
          <w:color w:val="323E4F" w:themeColor="text2" w:themeShade="BF"/>
        </w:rPr>
        <w:lastRenderedPageBreak/>
        <w:t xml:space="preserve">specialists) in relation to planned development activities and wastewater discharges. </w:t>
      </w:r>
    </w:p>
    <w:p w14:paraId="089361CD" w14:textId="77777777" w:rsidR="000D5AB3" w:rsidRDefault="000D5AB3" w:rsidP="000D5AB3">
      <w:pPr>
        <w:pStyle w:val="BodyText"/>
        <w:spacing w:before="117" w:line="268" w:lineRule="auto"/>
        <w:ind w:left="308" w:right="566"/>
        <w:jc w:val="both"/>
        <w:rPr>
          <w:color w:val="323E4F" w:themeColor="text2" w:themeShade="BF"/>
        </w:rPr>
      </w:pPr>
      <w:r>
        <w:rPr>
          <w:color w:val="323E4F" w:themeColor="text2" w:themeShade="BF"/>
        </w:rPr>
        <w:t>The above would need to be done as part of the detailed baseline and impact assessment phase of the project (</w:t>
      </w:r>
      <w:proofErr w:type="gramStart"/>
      <w:r>
        <w:rPr>
          <w:color w:val="323E4F" w:themeColor="text2" w:themeShade="BF"/>
        </w:rPr>
        <w:t>i.e.</w:t>
      </w:r>
      <w:proofErr w:type="gramEnd"/>
      <w:r>
        <w:rPr>
          <w:color w:val="323E4F" w:themeColor="text2" w:themeShade="BF"/>
        </w:rPr>
        <w:t xml:space="preserve"> the ESIA Phase). This would then inform what type of monitoring is required and at what locations. This is important as the NBA Estuarine Functional Zone Map (SANBI, 2018) suggests that that estuary conditions may extend within 45m of the possible wastewater discharge point into the river. It is however the understandings that the existing SAPPI weir has notably modified the salinity profile of the estuary, with predominantly freshwater conditions upstream of the weir.</w:t>
      </w:r>
    </w:p>
    <w:p w14:paraId="191BADAD" w14:textId="77777777" w:rsidR="000D5AB3" w:rsidRDefault="000D5AB3" w:rsidP="000D5AB3">
      <w:pPr>
        <w:pStyle w:val="BodyText"/>
        <w:spacing w:before="117" w:line="268" w:lineRule="auto"/>
        <w:ind w:left="308" w:right="566"/>
        <w:jc w:val="both"/>
        <w:rPr>
          <w:color w:val="323E4F" w:themeColor="text2" w:themeShade="BF"/>
        </w:rPr>
      </w:pPr>
      <w:r>
        <w:rPr>
          <w:color w:val="323E4F" w:themeColor="text2" w:themeShade="BF"/>
        </w:rPr>
        <w:t xml:space="preserve">If no discharges are planned to the freshwater environment, the recommendations from estuarine and/or marine specialists would need to be adopted/ considered when developing the </w:t>
      </w:r>
      <w:proofErr w:type="spellStart"/>
      <w:r>
        <w:rPr>
          <w:color w:val="323E4F" w:themeColor="text2" w:themeShade="BF"/>
        </w:rPr>
        <w:t>ToR</w:t>
      </w:r>
      <w:proofErr w:type="spellEnd"/>
      <w:r>
        <w:rPr>
          <w:color w:val="323E4F" w:themeColor="text2" w:themeShade="BF"/>
        </w:rPr>
        <w:t xml:space="preserve"> for the development of a detailed a monitoring plan.</w:t>
      </w:r>
    </w:p>
    <w:p w14:paraId="55E272CB" w14:textId="77777777" w:rsidR="000D5AB3" w:rsidRDefault="000D5AB3" w:rsidP="000D5AB3">
      <w:pPr>
        <w:pStyle w:val="BodyText"/>
        <w:spacing w:before="117" w:line="268" w:lineRule="auto"/>
        <w:ind w:left="308" w:right="566"/>
        <w:jc w:val="both"/>
        <w:rPr>
          <w:color w:val="323E4F" w:themeColor="text2" w:themeShade="BF"/>
        </w:rPr>
      </w:pPr>
      <w:r>
        <w:rPr>
          <w:color w:val="323E4F" w:themeColor="text2" w:themeShade="BF"/>
        </w:rPr>
        <w:t xml:space="preserve">If freshwater discharges are planned, baseline monitoring should be undertaken with the aim of collecting sound biophysical, </w:t>
      </w:r>
      <w:proofErr w:type="spellStart"/>
      <w:r>
        <w:rPr>
          <w:color w:val="323E4F" w:themeColor="text2" w:themeShade="BF"/>
        </w:rPr>
        <w:t>physico</w:t>
      </w:r>
      <w:proofErr w:type="spellEnd"/>
      <w:r>
        <w:rPr>
          <w:color w:val="323E4F" w:themeColor="text2" w:themeShade="BF"/>
        </w:rPr>
        <w:t>-</w:t>
      </w:r>
      <w:proofErr w:type="gramStart"/>
      <w:r>
        <w:rPr>
          <w:color w:val="323E4F" w:themeColor="text2" w:themeShade="BF"/>
        </w:rPr>
        <w:t>chemical</w:t>
      </w:r>
      <w:proofErr w:type="gramEnd"/>
      <w:r>
        <w:rPr>
          <w:color w:val="323E4F" w:themeColor="text2" w:themeShade="BF"/>
        </w:rPr>
        <w:t xml:space="preserve"> and biological data prior to any construction occurring. This data should serve two purposes: i) It should inform the assessment of impacts, which are based on the risks posed by the STP in relation to the current state and sensitivity of aquatic receptors. ii) the data should form a foundation for longer-term, operation phase monitoring. As such, the approach to baseline monitoring should align with the operation phase monitoring programme to allow for comparison. In this regard, the reader is referred to the operation phase monitoring recommendations. These recommendations should be implemented during the pre-construction phase. The monitoring programme should also align with available RQO’s (DWS, 2015) for the </w:t>
      </w:r>
      <w:proofErr w:type="spellStart"/>
      <w:r>
        <w:rPr>
          <w:color w:val="323E4F" w:themeColor="text2" w:themeShade="BF"/>
        </w:rPr>
        <w:t>uMkhomazi</w:t>
      </w:r>
      <w:proofErr w:type="spellEnd"/>
      <w:r>
        <w:rPr>
          <w:color w:val="323E4F" w:themeColor="text2" w:themeShade="BF"/>
        </w:rPr>
        <w:t xml:space="preserve"> river reach.</w:t>
      </w:r>
    </w:p>
    <w:p w14:paraId="6B5AC619" w14:textId="77777777" w:rsidR="000D5AB3" w:rsidRDefault="000D5AB3" w:rsidP="000D5AB3">
      <w:pPr>
        <w:pStyle w:val="Heading4"/>
        <w:numPr>
          <w:ilvl w:val="3"/>
          <w:numId w:val="2"/>
        </w:numPr>
        <w:ind w:left="1276" w:hanging="992"/>
        <w:rPr>
          <w:b/>
          <w:bCs w:val="0"/>
          <w:i w:val="0"/>
          <w:iCs/>
          <w:color w:val="323E4F" w:themeColor="text2" w:themeShade="BF"/>
        </w:rPr>
      </w:pPr>
      <w:bookmarkStart w:id="30" w:name="_Toc127283788"/>
      <w:r>
        <w:rPr>
          <w:b/>
          <w:bCs w:val="0"/>
          <w:i w:val="0"/>
          <w:iCs/>
          <w:color w:val="323E4F" w:themeColor="text2" w:themeShade="BF"/>
        </w:rPr>
        <w:t>Phase 2: Monitoring (During Construction)</w:t>
      </w:r>
      <w:bookmarkEnd w:id="30"/>
    </w:p>
    <w:p w14:paraId="146EA844" w14:textId="77777777" w:rsidR="000D5AB3" w:rsidRDefault="000D5AB3" w:rsidP="000D5AB3">
      <w:pPr>
        <w:pStyle w:val="BodyText"/>
        <w:spacing w:before="116" w:line="268" w:lineRule="auto"/>
        <w:ind w:left="308" w:right="566"/>
        <w:jc w:val="both"/>
        <w:rPr>
          <w:color w:val="323E4F" w:themeColor="text2" w:themeShade="BF"/>
        </w:rPr>
      </w:pPr>
      <w:r>
        <w:rPr>
          <w:color w:val="323E4F" w:themeColor="text2" w:themeShade="BF"/>
        </w:rPr>
        <w:t>Firstly, construction phase monitoring assumes no wastewater discharge. Monitoring to focus on construction phase risks and impacts. This is to be informed by the condition and sensitivity of aquatic receptors, potential pollution pathways and the nature and intensity of expected impacts. This will largely be informed by detailed baseline studies and the impact assessment process. Key impacts during the construction phase are however likely to be linked with physical disturbance of vegetation and soils for infrastructure development and pipeline installation across or near aquatic habitats. Such disturbances will likely result in exposed soils washing into watercourses and resulting in increased water turbidity and sedimentation of aquatic habitat. The proliferation of invasive alien plants is also likely to occur during the construction phase linked with physical disturbance within or near aquatic habitats. Accidental spill of hydrocarbons (from fuels) and other harmful construction substances may also occur during construction, but the likelihood and intensity of these impacts will likely be low. Based on the above considerations, a basic construction phase monitoring would be sufficient, this may include:</w:t>
      </w:r>
    </w:p>
    <w:p w14:paraId="743A03DA"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 xml:space="preserve">ECO to monitor the implementation of construction phase mitigation measures set out in the </w:t>
      </w:r>
      <w:proofErr w:type="spellStart"/>
      <w:r>
        <w:rPr>
          <w:color w:val="323E4F" w:themeColor="text2" w:themeShade="BF"/>
          <w:sz w:val="20"/>
        </w:rPr>
        <w:t>EMPr</w:t>
      </w:r>
      <w:proofErr w:type="spellEnd"/>
      <w:r>
        <w:rPr>
          <w:color w:val="323E4F" w:themeColor="text2" w:themeShade="BF"/>
          <w:sz w:val="20"/>
        </w:rPr>
        <w:t xml:space="preserve"> for the project.</w:t>
      </w:r>
    </w:p>
    <w:p w14:paraId="70B2C983"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Visual biophysical monitoring and fixed-point photography at selected sites recording issues such as rill and gully erosion, sedimentation of freshwater habitat, unstable soils, alien pants, unnecessary physical disturbance of aquatic habitat, visually identifiable water pollution (sheen, oil, grease, turbidity, foam, clarity etc).</w:t>
      </w:r>
    </w:p>
    <w:p w14:paraId="15E9A898"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 xml:space="preserve">Basic monthly water quality monitoring within perennial rivers, including basic indicator </w:t>
      </w:r>
      <w:proofErr w:type="spellStart"/>
      <w:r>
        <w:rPr>
          <w:color w:val="323E4F" w:themeColor="text2" w:themeShade="BF"/>
          <w:sz w:val="20"/>
        </w:rPr>
        <w:t>determinands</w:t>
      </w:r>
      <w:proofErr w:type="spellEnd"/>
      <w:r>
        <w:rPr>
          <w:color w:val="323E4F" w:themeColor="text2" w:themeShade="BF"/>
          <w:sz w:val="20"/>
        </w:rPr>
        <w:t xml:space="preserve"> relevant to the risks and potential impacts outlined in the detailed impact assessment report.</w:t>
      </w:r>
    </w:p>
    <w:p w14:paraId="3FF58864" w14:textId="77777777" w:rsidR="000D5AB3" w:rsidRDefault="000D5AB3" w:rsidP="000D5AB3">
      <w:pPr>
        <w:adjustRightInd w:val="0"/>
        <w:spacing w:line="360" w:lineRule="auto"/>
        <w:ind w:right="566"/>
        <w:jc w:val="both"/>
        <w:rPr>
          <w:rFonts w:ascii="Century Gothic" w:hAnsi="Century Gothic" w:cs="Calibri"/>
          <w:color w:val="000000"/>
          <w:sz w:val="18"/>
          <w:u w:val="single"/>
        </w:rPr>
      </w:pPr>
    </w:p>
    <w:p w14:paraId="497E2E82" w14:textId="77777777" w:rsidR="000D5AB3" w:rsidRDefault="000D5AB3" w:rsidP="000D5AB3">
      <w:pPr>
        <w:pStyle w:val="BodyText"/>
        <w:spacing w:line="268" w:lineRule="auto"/>
        <w:ind w:left="308" w:right="566"/>
        <w:jc w:val="both"/>
        <w:rPr>
          <w:color w:val="323E4F" w:themeColor="text2" w:themeShade="BF"/>
        </w:rPr>
      </w:pPr>
      <w:r>
        <w:rPr>
          <w:color w:val="323E4F" w:themeColor="text2" w:themeShade="BF"/>
        </w:rPr>
        <w:t xml:space="preserve">Importantly, the broad monitoring recommendations outline above will need to be updated/ refined during the detailed assessment phase, informed by the specialists undertaking the baseline and impact assessments. </w:t>
      </w:r>
    </w:p>
    <w:p w14:paraId="08CB0453" w14:textId="77777777" w:rsidR="000D5AB3" w:rsidRDefault="000D5AB3" w:rsidP="000D5AB3">
      <w:pPr>
        <w:pStyle w:val="Heading4"/>
        <w:numPr>
          <w:ilvl w:val="3"/>
          <w:numId w:val="2"/>
        </w:numPr>
        <w:ind w:left="1276" w:hanging="992"/>
        <w:rPr>
          <w:b/>
          <w:bCs w:val="0"/>
          <w:i w:val="0"/>
          <w:iCs/>
          <w:color w:val="323E4F" w:themeColor="text2" w:themeShade="BF"/>
        </w:rPr>
      </w:pPr>
      <w:bookmarkStart w:id="31" w:name="_Toc127283789"/>
      <w:r>
        <w:rPr>
          <w:b/>
          <w:bCs w:val="0"/>
          <w:i w:val="0"/>
          <w:iCs/>
          <w:color w:val="323E4F" w:themeColor="text2" w:themeShade="BF"/>
        </w:rPr>
        <w:lastRenderedPageBreak/>
        <w:t>Phase 3: Monitoring (During Operations)</w:t>
      </w:r>
      <w:bookmarkEnd w:id="31"/>
    </w:p>
    <w:p w14:paraId="6F71A87C" w14:textId="77777777" w:rsidR="000D5AB3" w:rsidRDefault="000D5AB3" w:rsidP="000D5AB3">
      <w:pPr>
        <w:pStyle w:val="BodyText"/>
        <w:spacing w:line="268" w:lineRule="auto"/>
        <w:ind w:right="566"/>
        <w:jc w:val="both"/>
        <w:rPr>
          <w:color w:val="323E4F" w:themeColor="text2" w:themeShade="BF"/>
        </w:rPr>
      </w:pPr>
    </w:p>
    <w:p w14:paraId="7659900F" w14:textId="77777777" w:rsidR="000D5AB3" w:rsidRDefault="000D5AB3" w:rsidP="000D5AB3">
      <w:pPr>
        <w:pStyle w:val="BodyText"/>
        <w:ind w:left="308" w:right="566"/>
        <w:jc w:val="both"/>
        <w:rPr>
          <w:color w:val="323E4F" w:themeColor="text2" w:themeShade="BF"/>
        </w:rPr>
      </w:pPr>
      <w:r>
        <w:rPr>
          <w:color w:val="323E4F" w:themeColor="text2" w:themeShade="BF"/>
        </w:rPr>
        <w:t>This section outlines the freshwater and estuarine monitoring requirements during the operational phase:</w:t>
      </w:r>
    </w:p>
    <w:p w14:paraId="64F888C2" w14:textId="77777777" w:rsidR="000D5AB3" w:rsidRDefault="000D5AB3" w:rsidP="000D5AB3">
      <w:pPr>
        <w:pStyle w:val="BodyText"/>
        <w:ind w:left="308" w:right="566"/>
        <w:jc w:val="both"/>
        <w:rPr>
          <w:i/>
          <w:iCs/>
          <w:color w:val="323E4F" w:themeColor="text2" w:themeShade="BF"/>
        </w:rPr>
      </w:pPr>
    </w:p>
    <w:p w14:paraId="2DA35750" w14:textId="77777777" w:rsidR="000D5AB3" w:rsidRDefault="000D5AB3" w:rsidP="000D5AB3">
      <w:pPr>
        <w:pStyle w:val="ListParagraph"/>
        <w:numPr>
          <w:ilvl w:val="0"/>
          <w:numId w:val="24"/>
        </w:numPr>
        <w:tabs>
          <w:tab w:val="left" w:pos="709"/>
        </w:tabs>
        <w:spacing w:before="29"/>
        <w:ind w:left="720" w:right="566"/>
        <w:jc w:val="both"/>
        <w:rPr>
          <w:i/>
          <w:iCs/>
          <w:color w:val="323E4F" w:themeColor="text2" w:themeShade="BF"/>
        </w:rPr>
      </w:pPr>
      <w:r>
        <w:rPr>
          <w:color w:val="323E4F" w:themeColor="text2" w:themeShade="BF"/>
          <w:sz w:val="20"/>
        </w:rPr>
        <w:t>Monitoring sites</w:t>
      </w:r>
    </w:p>
    <w:p w14:paraId="6E5973EC" w14:textId="77777777" w:rsidR="000D5AB3" w:rsidRDefault="000D5AB3" w:rsidP="000D5AB3">
      <w:pPr>
        <w:pStyle w:val="BodyText"/>
        <w:ind w:left="709" w:right="566"/>
        <w:jc w:val="both"/>
        <w:rPr>
          <w:color w:val="323E4F" w:themeColor="text2" w:themeShade="BF"/>
        </w:rPr>
      </w:pPr>
      <w:r>
        <w:rPr>
          <w:color w:val="323E4F" w:themeColor="text2" w:themeShade="BF"/>
        </w:rPr>
        <w:t xml:space="preserve">Monitoring to take place at freshwater river sites/ river reaches upstream and downstream of any future wastewater discharges and at multiple (at least five) sites in the </w:t>
      </w:r>
      <w:proofErr w:type="spellStart"/>
      <w:r>
        <w:rPr>
          <w:color w:val="323E4F" w:themeColor="text2" w:themeShade="BF"/>
        </w:rPr>
        <w:t>uMkhomazi</w:t>
      </w:r>
      <w:proofErr w:type="spellEnd"/>
      <w:r>
        <w:rPr>
          <w:color w:val="323E4F" w:themeColor="text2" w:themeShade="BF"/>
        </w:rPr>
        <w:t xml:space="preserve"> estuary. </w:t>
      </w:r>
    </w:p>
    <w:p w14:paraId="78C11918" w14:textId="77777777" w:rsidR="000D5AB3" w:rsidRDefault="000D5AB3" w:rsidP="000D5AB3">
      <w:pPr>
        <w:pStyle w:val="BodyText"/>
        <w:ind w:left="709" w:right="566"/>
        <w:jc w:val="both"/>
        <w:rPr>
          <w:color w:val="323E4F" w:themeColor="text2" w:themeShade="BF"/>
        </w:rPr>
      </w:pPr>
    </w:p>
    <w:p w14:paraId="22ECB15F"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Flow monitoring</w:t>
      </w:r>
    </w:p>
    <w:p w14:paraId="6D5D4288" w14:textId="77777777" w:rsidR="000D5AB3" w:rsidRDefault="000D5AB3" w:rsidP="000D5AB3">
      <w:pPr>
        <w:pStyle w:val="BodyText"/>
        <w:ind w:left="709" w:right="566"/>
        <w:jc w:val="both"/>
        <w:rPr>
          <w:color w:val="323E4F" w:themeColor="text2" w:themeShade="BF"/>
        </w:rPr>
      </w:pPr>
      <w:r>
        <w:rPr>
          <w:color w:val="323E4F" w:themeColor="text2" w:themeShade="BF"/>
        </w:rPr>
        <w:t xml:space="preserve">As previously mentioned, the hydrological model for the </w:t>
      </w:r>
      <w:proofErr w:type="spellStart"/>
      <w:r>
        <w:rPr>
          <w:color w:val="323E4F" w:themeColor="text2" w:themeShade="BF"/>
        </w:rPr>
        <w:t>uMkomazi</w:t>
      </w:r>
      <w:proofErr w:type="spellEnd"/>
      <w:r>
        <w:rPr>
          <w:color w:val="323E4F" w:themeColor="text2" w:themeShade="BF"/>
        </w:rPr>
        <w:t xml:space="preserve"> should be updated as part of baseline phase of the project. This should clearly show the likely implications of future dams and schemes (most notably Smithfield and </w:t>
      </w:r>
      <w:proofErr w:type="spellStart"/>
      <w:r>
        <w:rPr>
          <w:color w:val="323E4F" w:themeColor="text2" w:themeShade="BF"/>
        </w:rPr>
        <w:t>Impendle</w:t>
      </w:r>
      <w:proofErr w:type="spellEnd"/>
      <w:r>
        <w:rPr>
          <w:color w:val="323E4F" w:themeColor="text2" w:themeShade="BF"/>
        </w:rPr>
        <w:t xml:space="preserve">) on flow, </w:t>
      </w:r>
      <w:proofErr w:type="gramStart"/>
      <w:r>
        <w:rPr>
          <w:color w:val="323E4F" w:themeColor="text2" w:themeShade="BF"/>
        </w:rPr>
        <w:t>habitat</w:t>
      </w:r>
      <w:proofErr w:type="gramEnd"/>
      <w:r>
        <w:rPr>
          <w:color w:val="323E4F" w:themeColor="text2" w:themeShade="BF"/>
        </w:rPr>
        <w:t xml:space="preserve"> and biota in relation to any STP discharges. Monitoring of flow rates in the river / estuary is considered critical to assessing the status of the system.  Flow rates provide data to inform operational management, including information critical to construction or decommissioning of infrastructure within or adjacent to the channel, as well as to determine both required downstream flow, and the compliance with such flow requirements. As such, it is considered fundamental that the flow rate of water entering the head of the estuary be assess through the deployment of a permanent flow gauge at the head of the estuary.  </w:t>
      </w:r>
    </w:p>
    <w:p w14:paraId="2DCE3E03" w14:textId="77777777" w:rsidR="000D5AB3" w:rsidRDefault="000D5AB3" w:rsidP="000D5AB3">
      <w:pPr>
        <w:pStyle w:val="BodyText"/>
        <w:ind w:right="566"/>
        <w:jc w:val="both"/>
        <w:rPr>
          <w:color w:val="323E4F" w:themeColor="text2" w:themeShade="BF"/>
        </w:rPr>
      </w:pPr>
    </w:p>
    <w:p w14:paraId="5C2DD46D"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 xml:space="preserve">Water quality monitoring </w:t>
      </w:r>
    </w:p>
    <w:p w14:paraId="653B438B" w14:textId="77777777" w:rsidR="000D5AB3" w:rsidRDefault="000D5AB3" w:rsidP="000D5AB3">
      <w:pPr>
        <w:pStyle w:val="BodyText"/>
        <w:ind w:left="709" w:right="566"/>
        <w:jc w:val="both"/>
        <w:rPr>
          <w:color w:val="323E4F" w:themeColor="text2" w:themeShade="BF"/>
        </w:rPr>
      </w:pPr>
      <w:r>
        <w:rPr>
          <w:color w:val="323E4F" w:themeColor="text2" w:themeShade="BF"/>
        </w:rPr>
        <w:t xml:space="preserve">Water quality </w:t>
      </w:r>
      <w:proofErr w:type="spellStart"/>
      <w:r>
        <w:rPr>
          <w:color w:val="323E4F" w:themeColor="text2" w:themeShade="BF"/>
        </w:rPr>
        <w:t>determinands</w:t>
      </w:r>
      <w:proofErr w:type="spellEnd"/>
      <w:r>
        <w:rPr>
          <w:color w:val="323E4F" w:themeColor="text2" w:themeShade="BF"/>
        </w:rPr>
        <w:t xml:space="preserve"> should be determined by the risks posed by the development, relevant/ available RQOs, input from DWS as part of the licensing, and data required for the interpretation of biomonitoring results. This should include, but may not be limited to:</w:t>
      </w:r>
    </w:p>
    <w:p w14:paraId="2D9B258E" w14:textId="77777777" w:rsidR="000D5AB3" w:rsidRDefault="000D5AB3" w:rsidP="000D5AB3">
      <w:pPr>
        <w:pStyle w:val="BodyText"/>
        <w:jc w:val="both"/>
        <w:rPr>
          <w:color w:val="323E4F" w:themeColor="text2" w:themeShade="BF"/>
          <w:sz w:val="22"/>
        </w:rPr>
      </w:pPr>
    </w:p>
    <w:p w14:paraId="33FC8E4E" w14:textId="77777777" w:rsidR="000D5AB3" w:rsidRDefault="000D5AB3" w:rsidP="000D5AB3">
      <w:pPr>
        <w:pStyle w:val="Caption"/>
        <w:rPr>
          <w:color w:val="323E4F" w:themeColor="text2" w:themeShade="BF"/>
        </w:rPr>
      </w:pPr>
      <w:bookmarkStart w:id="32" w:name="_Toc127273882"/>
      <w:r>
        <w:rPr>
          <w:color w:val="323E4F" w:themeColor="text2" w:themeShade="BF"/>
        </w:rPr>
        <w:t xml:space="preserve">Table </w:t>
      </w:r>
      <w:r>
        <w:fldChar w:fldCharType="begin"/>
      </w:r>
      <w:r>
        <w:rPr>
          <w:color w:val="323E4F" w:themeColor="text2" w:themeShade="BF"/>
        </w:rPr>
        <w:instrText xml:space="preserve"> STYLEREF 1 \s </w:instrText>
      </w:r>
      <w:r>
        <w:fldChar w:fldCharType="separate"/>
      </w:r>
      <w:r>
        <w:rPr>
          <w:noProof/>
          <w:color w:val="323E4F" w:themeColor="text2" w:themeShade="BF"/>
        </w:rPr>
        <w:t>3</w:t>
      </w:r>
      <w:r>
        <w:fldChar w:fldCharType="end"/>
      </w:r>
      <w:r>
        <w:rPr>
          <w:color w:val="323E4F" w:themeColor="text2" w:themeShade="BF"/>
        </w:rPr>
        <w:noBreakHyphen/>
      </w:r>
      <w:r>
        <w:fldChar w:fldCharType="begin"/>
      </w:r>
      <w:r>
        <w:rPr>
          <w:color w:val="323E4F" w:themeColor="text2" w:themeShade="BF"/>
        </w:rPr>
        <w:instrText xml:space="preserve"> SEQ Table \* ARABIC \s 1 </w:instrText>
      </w:r>
      <w:r>
        <w:fldChar w:fldCharType="separate"/>
      </w:r>
      <w:r>
        <w:rPr>
          <w:noProof/>
          <w:color w:val="323E4F" w:themeColor="text2" w:themeShade="BF"/>
        </w:rPr>
        <w:t>1</w:t>
      </w:r>
      <w:r>
        <w:fldChar w:fldCharType="end"/>
      </w:r>
      <w:r>
        <w:rPr>
          <w:color w:val="323E4F" w:themeColor="text2" w:themeShade="BF"/>
        </w:rPr>
        <w:t>:</w:t>
      </w:r>
      <w:r>
        <w:rPr>
          <w:color w:val="323E4F" w:themeColor="text2" w:themeShade="BF"/>
        </w:rPr>
        <w:tab/>
        <w:t>Freshwater Monitoring Requirements</w:t>
      </w:r>
      <w:bookmarkEnd w:id="32"/>
    </w:p>
    <w:tbl>
      <w:tblPr>
        <w:tblW w:w="4548" w:type="pct"/>
        <w:tblCellSpacing w:w="9" w:type="dxa"/>
        <w:tblInd w:w="360" w:type="dxa"/>
        <w:tblCellMar>
          <w:left w:w="0" w:type="dxa"/>
          <w:right w:w="0" w:type="dxa"/>
        </w:tblCellMar>
        <w:tblLook w:val="01E0" w:firstRow="1" w:lastRow="1" w:firstColumn="1" w:lastColumn="1" w:noHBand="0" w:noVBand="0"/>
      </w:tblPr>
      <w:tblGrid>
        <w:gridCol w:w="4353"/>
        <w:gridCol w:w="4161"/>
      </w:tblGrid>
      <w:tr w:rsidR="000D5AB3" w14:paraId="42F304BA" w14:textId="77777777" w:rsidTr="000D5AB3">
        <w:trPr>
          <w:trHeight w:val="332"/>
          <w:tblHeader/>
          <w:tblCellSpacing w:w="9" w:type="dxa"/>
        </w:trPr>
        <w:tc>
          <w:tcPr>
            <w:tcW w:w="2542" w:type="pct"/>
            <w:shd w:val="clear" w:color="auto" w:fill="00567D"/>
            <w:hideMark/>
          </w:tcPr>
          <w:p w14:paraId="7AEC1861" w14:textId="77777777" w:rsidR="000D5AB3" w:rsidRDefault="000D5AB3">
            <w:pPr>
              <w:pStyle w:val="TableParagraph"/>
              <w:spacing w:before="56"/>
              <w:jc w:val="both"/>
              <w:rPr>
                <w:b/>
                <w:color w:val="FFFFFF" w:themeColor="background1"/>
                <w:sz w:val="18"/>
              </w:rPr>
            </w:pPr>
            <w:r>
              <w:rPr>
                <w:b/>
                <w:color w:val="FFFFFF" w:themeColor="background1"/>
                <w:sz w:val="18"/>
              </w:rPr>
              <w:t>Parameters</w:t>
            </w:r>
          </w:p>
        </w:tc>
        <w:tc>
          <w:tcPr>
            <w:tcW w:w="2429" w:type="pct"/>
            <w:shd w:val="clear" w:color="auto" w:fill="00567D"/>
            <w:hideMark/>
          </w:tcPr>
          <w:p w14:paraId="4E703D78" w14:textId="77777777" w:rsidR="000D5AB3" w:rsidRDefault="000D5AB3">
            <w:pPr>
              <w:pStyle w:val="TableParagraph"/>
              <w:spacing w:before="56"/>
              <w:ind w:left="-1"/>
              <w:jc w:val="both"/>
              <w:rPr>
                <w:b/>
                <w:color w:val="FFFFFF" w:themeColor="background1"/>
                <w:sz w:val="18"/>
              </w:rPr>
            </w:pPr>
            <w:r>
              <w:rPr>
                <w:b/>
                <w:color w:val="FFFFFF" w:themeColor="background1"/>
                <w:sz w:val="18"/>
              </w:rPr>
              <w:t>Monitoring</w:t>
            </w:r>
          </w:p>
        </w:tc>
      </w:tr>
      <w:tr w:rsidR="000D5AB3" w14:paraId="19C3648D" w14:textId="77777777" w:rsidTr="000C5758">
        <w:trPr>
          <w:trHeight w:val="2448"/>
          <w:tblCellSpacing w:w="9" w:type="dxa"/>
        </w:trPr>
        <w:tc>
          <w:tcPr>
            <w:tcW w:w="2542" w:type="pct"/>
            <w:shd w:val="clear" w:color="auto" w:fill="B1E7FF"/>
          </w:tcPr>
          <w:p w14:paraId="00092F23" w14:textId="77777777" w:rsidR="000D5AB3" w:rsidRDefault="000D5AB3">
            <w:pPr>
              <w:tabs>
                <w:tab w:val="left" w:pos="1276"/>
              </w:tabs>
              <w:spacing w:before="29"/>
              <w:ind w:right="130"/>
              <w:jc w:val="both"/>
              <w:rPr>
                <w:color w:val="323E4F" w:themeColor="text2" w:themeShade="BF"/>
                <w:sz w:val="18"/>
                <w:szCs w:val="18"/>
              </w:rPr>
            </w:pPr>
            <w:r>
              <w:rPr>
                <w:i/>
                <w:iCs/>
                <w:color w:val="323E4F" w:themeColor="text2" w:themeShade="BF"/>
                <w:sz w:val="18"/>
                <w:szCs w:val="18"/>
              </w:rPr>
              <w:t xml:space="preserve">In situ </w:t>
            </w:r>
            <w:r>
              <w:rPr>
                <w:color w:val="323E4F" w:themeColor="text2" w:themeShade="BF"/>
                <w:sz w:val="18"/>
                <w:szCs w:val="18"/>
              </w:rPr>
              <w:t xml:space="preserve">monitoring </w:t>
            </w:r>
            <w:r>
              <w:rPr>
                <w:i/>
                <w:iCs/>
                <w:color w:val="323E4F" w:themeColor="text2" w:themeShade="BF"/>
                <w:sz w:val="18"/>
                <w:szCs w:val="18"/>
              </w:rPr>
              <w:t>via</w:t>
            </w:r>
            <w:r>
              <w:rPr>
                <w:color w:val="323E4F" w:themeColor="text2" w:themeShade="BF"/>
                <w:sz w:val="18"/>
                <w:szCs w:val="18"/>
              </w:rPr>
              <w:t xml:space="preserve"> handheld meter or established monitoring station.</w:t>
            </w:r>
          </w:p>
          <w:p w14:paraId="7B6203D7"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Dissolved Oxygen (% and mg/l)</w:t>
            </w:r>
          </w:p>
          <w:p w14:paraId="7A3A3CCC"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Temperature</w:t>
            </w:r>
          </w:p>
          <w:p w14:paraId="273B691A"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Conductivity and/or TDS</w:t>
            </w:r>
          </w:p>
          <w:p w14:paraId="2D3BE230"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Salinity</w:t>
            </w:r>
          </w:p>
          <w:p w14:paraId="6D6119CF"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pH</w:t>
            </w:r>
          </w:p>
          <w:p w14:paraId="41281A40"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Turbidity</w:t>
            </w:r>
          </w:p>
          <w:p w14:paraId="3A83F36D" w14:textId="77777777" w:rsidR="000D5AB3" w:rsidRDefault="000D5AB3">
            <w:pPr>
              <w:tabs>
                <w:tab w:val="left" w:pos="1276"/>
              </w:tabs>
              <w:spacing w:before="29"/>
              <w:ind w:right="130"/>
              <w:jc w:val="both"/>
              <w:rPr>
                <w:i/>
                <w:iCs/>
                <w:color w:val="323E4F" w:themeColor="text2" w:themeShade="BF"/>
                <w:sz w:val="18"/>
                <w:szCs w:val="18"/>
              </w:rPr>
            </w:pPr>
            <w:r>
              <w:rPr>
                <w:i/>
                <w:iCs/>
                <w:color w:val="323E4F" w:themeColor="text2" w:themeShade="BF"/>
                <w:sz w:val="18"/>
                <w:szCs w:val="18"/>
              </w:rPr>
              <w:t xml:space="preserve">The above parameters must be considered as a </w:t>
            </w:r>
            <w:proofErr w:type="gramStart"/>
            <w:r>
              <w:rPr>
                <w:i/>
                <w:iCs/>
                <w:color w:val="323E4F" w:themeColor="text2" w:themeShade="BF"/>
                <w:sz w:val="18"/>
                <w:szCs w:val="18"/>
              </w:rPr>
              <w:t>minimum</w:t>
            </w:r>
            <w:proofErr w:type="gramEnd"/>
          </w:p>
          <w:p w14:paraId="731E5ED5" w14:textId="77777777" w:rsidR="000D5AB3" w:rsidRDefault="000D5AB3">
            <w:pPr>
              <w:pStyle w:val="ListParagraph"/>
              <w:tabs>
                <w:tab w:val="left" w:pos="668"/>
              </w:tabs>
              <w:spacing w:before="29"/>
              <w:ind w:left="471" w:right="130" w:firstLine="0"/>
              <w:jc w:val="both"/>
              <w:rPr>
                <w:color w:val="323E4F" w:themeColor="text2" w:themeShade="BF"/>
                <w:sz w:val="18"/>
                <w:szCs w:val="18"/>
              </w:rPr>
            </w:pPr>
          </w:p>
          <w:p w14:paraId="6F290118" w14:textId="77777777" w:rsidR="000D5AB3" w:rsidRDefault="000D5AB3">
            <w:pPr>
              <w:tabs>
                <w:tab w:val="left" w:pos="1276"/>
              </w:tabs>
              <w:spacing w:before="29"/>
              <w:ind w:right="130"/>
              <w:jc w:val="both"/>
              <w:rPr>
                <w:color w:val="323E4F" w:themeColor="text2" w:themeShade="BF"/>
                <w:sz w:val="18"/>
                <w:szCs w:val="18"/>
              </w:rPr>
            </w:pPr>
            <w:r>
              <w:rPr>
                <w:color w:val="323E4F" w:themeColor="text2" w:themeShade="BF"/>
                <w:sz w:val="18"/>
                <w:szCs w:val="18"/>
              </w:rPr>
              <w:t>Minimum determinants sampled</w:t>
            </w:r>
            <w:r>
              <w:rPr>
                <w:i/>
                <w:iCs/>
                <w:color w:val="323E4F" w:themeColor="text2" w:themeShade="BF"/>
                <w:sz w:val="18"/>
                <w:szCs w:val="18"/>
              </w:rPr>
              <w:t xml:space="preserve"> via</w:t>
            </w:r>
            <w:r>
              <w:rPr>
                <w:color w:val="323E4F" w:themeColor="text2" w:themeShade="BF"/>
                <w:sz w:val="18"/>
                <w:szCs w:val="18"/>
              </w:rPr>
              <w:t xml:space="preserve"> grab samples and submitted to a SANAS accredited laboratory. </w:t>
            </w:r>
          </w:p>
          <w:p w14:paraId="131BEF55"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Ammonia</w:t>
            </w:r>
          </w:p>
          <w:p w14:paraId="31B93BDD"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Total inorganic nitrogen (TIN)</w:t>
            </w:r>
          </w:p>
          <w:p w14:paraId="2A3A58AA"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Nitrite</w:t>
            </w:r>
          </w:p>
          <w:p w14:paraId="1B684142"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Nitrate</w:t>
            </w:r>
          </w:p>
          <w:p w14:paraId="099C501B"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Orthophosphate</w:t>
            </w:r>
          </w:p>
          <w:p w14:paraId="4CB9C817"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Total Suspended Solids and/ or Turbidity</w:t>
            </w:r>
          </w:p>
          <w:p w14:paraId="0E3E019C"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Chlorophyl a</w:t>
            </w:r>
          </w:p>
          <w:p w14:paraId="7BD07CAF"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Microbiological indicators such as E. coli and/ or other appropriate bacteria (</w:t>
            </w:r>
            <w:proofErr w:type="spellStart"/>
            <w:r>
              <w:rPr>
                <w:color w:val="323E4F" w:themeColor="text2" w:themeShade="BF"/>
                <w:sz w:val="18"/>
                <w:szCs w:val="18"/>
              </w:rPr>
              <w:t>ie</w:t>
            </w:r>
            <w:proofErr w:type="spellEnd"/>
            <w:r>
              <w:rPr>
                <w:color w:val="323E4F" w:themeColor="text2" w:themeShade="BF"/>
                <w:sz w:val="18"/>
                <w:szCs w:val="18"/>
              </w:rPr>
              <w:t>. Enterococci sp.)</w:t>
            </w:r>
          </w:p>
          <w:p w14:paraId="084C3C90" w14:textId="77777777" w:rsidR="000D5AB3" w:rsidRDefault="000D5AB3">
            <w:pPr>
              <w:tabs>
                <w:tab w:val="left" w:pos="668"/>
              </w:tabs>
              <w:spacing w:before="29"/>
              <w:ind w:right="130"/>
              <w:jc w:val="both"/>
              <w:rPr>
                <w:color w:val="323E4F" w:themeColor="text2" w:themeShade="BF"/>
                <w:sz w:val="18"/>
                <w:szCs w:val="18"/>
              </w:rPr>
            </w:pPr>
          </w:p>
          <w:p w14:paraId="6FBC24DF" w14:textId="77777777" w:rsidR="000D5AB3" w:rsidRDefault="000D5AB3">
            <w:pPr>
              <w:tabs>
                <w:tab w:val="left" w:pos="668"/>
              </w:tabs>
              <w:spacing w:before="29"/>
              <w:ind w:right="130"/>
              <w:jc w:val="both"/>
              <w:rPr>
                <w:color w:val="323E4F" w:themeColor="text2" w:themeShade="BF"/>
                <w:sz w:val="18"/>
                <w:szCs w:val="18"/>
              </w:rPr>
            </w:pPr>
            <w:r>
              <w:rPr>
                <w:color w:val="323E4F" w:themeColor="text2" w:themeShade="BF"/>
                <w:sz w:val="18"/>
                <w:szCs w:val="18"/>
              </w:rPr>
              <w:lastRenderedPageBreak/>
              <w:t>Additional determinants that may be considered through input form the specialists undertaking the baseline studies and in consultation with DWS have been listed below:</w:t>
            </w:r>
          </w:p>
          <w:p w14:paraId="1FDF6092"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 xml:space="preserve">Chlorine </w:t>
            </w:r>
          </w:p>
          <w:p w14:paraId="578887B2"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 xml:space="preserve">Fluoride </w:t>
            </w:r>
          </w:p>
          <w:p w14:paraId="2BCA9C85"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Chemical Oxygen Demand (COD)</w:t>
            </w:r>
          </w:p>
          <w:p w14:paraId="16E36087"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Biological Oxygen Demand (BOD)</w:t>
            </w:r>
          </w:p>
          <w:p w14:paraId="2BFAD617"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 xml:space="preserve">Soap, </w:t>
            </w:r>
            <w:proofErr w:type="gramStart"/>
            <w:r>
              <w:rPr>
                <w:color w:val="323E4F" w:themeColor="text2" w:themeShade="BF"/>
                <w:sz w:val="18"/>
                <w:szCs w:val="18"/>
              </w:rPr>
              <w:t>oil</w:t>
            </w:r>
            <w:proofErr w:type="gramEnd"/>
            <w:r>
              <w:rPr>
                <w:color w:val="323E4F" w:themeColor="text2" w:themeShade="BF"/>
                <w:sz w:val="18"/>
                <w:szCs w:val="18"/>
              </w:rPr>
              <w:t xml:space="preserve"> or grease </w:t>
            </w:r>
          </w:p>
          <w:p w14:paraId="50F3E8ED"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A suite of trace metals (Cd, Cu, Pb, Ni, Zn, Hg)</w:t>
            </w:r>
          </w:p>
        </w:tc>
        <w:tc>
          <w:tcPr>
            <w:tcW w:w="2429" w:type="pct"/>
            <w:shd w:val="clear" w:color="auto" w:fill="B1E7FF"/>
          </w:tcPr>
          <w:p w14:paraId="383BAB42" w14:textId="77777777" w:rsidR="000D5AB3" w:rsidRDefault="000D5AB3">
            <w:pPr>
              <w:pStyle w:val="BodyText"/>
              <w:spacing w:before="160" w:line="268" w:lineRule="auto"/>
              <w:ind w:left="125" w:right="142"/>
              <w:jc w:val="both"/>
              <w:rPr>
                <w:color w:val="323E4F" w:themeColor="text2" w:themeShade="BF"/>
                <w:sz w:val="18"/>
                <w:szCs w:val="18"/>
              </w:rPr>
            </w:pPr>
            <w:r>
              <w:rPr>
                <w:color w:val="323E4F" w:themeColor="text2" w:themeShade="BF"/>
                <w:sz w:val="18"/>
                <w:szCs w:val="18"/>
              </w:rPr>
              <w:lastRenderedPageBreak/>
              <w:t>Water quality to be monitored monthly and fed into a detailed biannual monitoring reports for trend analysis along with biannual biomonitoring findings. Monthly water quality monitoring results to be captured in a brief memo-type report and distributed accordingly monthly. If routine monthly water quality monitoring identifies impacts linked with the STP operation or associated reticulation infrastructure, additional ‘reactive’ sampling and investigation should be implemented to trace the source of contamination. Thereafter, management measures must be implemented to address the source of pollution. This type of reactive sampling and adaptive management must be incorporated in the long-term monitoring plan so that it informs corrective action.</w:t>
            </w:r>
          </w:p>
          <w:p w14:paraId="6425D0AD" w14:textId="77777777" w:rsidR="000D5AB3" w:rsidRDefault="000D5AB3">
            <w:pPr>
              <w:pStyle w:val="TableParagraph"/>
              <w:spacing w:line="268" w:lineRule="auto"/>
              <w:ind w:left="-1" w:right="173"/>
              <w:jc w:val="both"/>
              <w:rPr>
                <w:color w:val="323E4F" w:themeColor="text2" w:themeShade="BF"/>
                <w:sz w:val="18"/>
                <w:szCs w:val="18"/>
              </w:rPr>
            </w:pPr>
          </w:p>
        </w:tc>
      </w:tr>
      <w:tr w:rsidR="000D5AB3" w14:paraId="35F23A14" w14:textId="77777777" w:rsidTr="000D5AB3">
        <w:trPr>
          <w:trHeight w:val="1055"/>
          <w:tblCellSpacing w:w="9" w:type="dxa"/>
        </w:trPr>
        <w:tc>
          <w:tcPr>
            <w:tcW w:w="2542" w:type="pct"/>
            <w:shd w:val="clear" w:color="auto" w:fill="B1E7FF"/>
            <w:hideMark/>
          </w:tcPr>
          <w:p w14:paraId="77F537AE" w14:textId="77777777" w:rsidR="000D5AB3" w:rsidRDefault="000D5AB3">
            <w:pPr>
              <w:tabs>
                <w:tab w:val="left" w:pos="668"/>
              </w:tabs>
              <w:spacing w:before="29"/>
              <w:ind w:right="130"/>
              <w:jc w:val="both"/>
              <w:rPr>
                <w:color w:val="323E4F" w:themeColor="text2" w:themeShade="BF"/>
                <w:sz w:val="18"/>
                <w:szCs w:val="18"/>
              </w:rPr>
            </w:pPr>
            <w:r>
              <w:rPr>
                <w:color w:val="323E4F" w:themeColor="text2" w:themeShade="BF"/>
                <w:sz w:val="18"/>
                <w:szCs w:val="18"/>
              </w:rPr>
              <w:t>Biomonitoring</w:t>
            </w:r>
          </w:p>
          <w:p w14:paraId="156612D6"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Diatoms (reporting on SPI score, organic pollution levels, salinity levels and diatom valve deformities indicative of metal toxicity).</w:t>
            </w:r>
          </w:p>
          <w:p w14:paraId="07ED62B4"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Riparian vegetation using the Vegetation Response Assessment Index (VEGRAI).</w:t>
            </w:r>
          </w:p>
          <w:p w14:paraId="38F04764"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Aquatic macroinvertebrate composition and abundance including the use of the Macroinvertebrate Response Assessment Index (MRAI) for river sites.  Sampling methods to be determined by the appointed specialist (may include a combination of grab, core, hand net and/or dredge samples).</w:t>
            </w:r>
          </w:p>
          <w:p w14:paraId="74EFA369"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Fish composition and abundance including the use of the Fish Response Assessment Index (FRAI) for river sites. Sampling methods to be determined by the appointed specialist (may include a combination of electrofishing, seine netting and gill netting).</w:t>
            </w:r>
          </w:p>
          <w:p w14:paraId="285CFC6A"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Avifauna composition and abundance (estuary only).</w:t>
            </w:r>
          </w:p>
          <w:p w14:paraId="124C3F5C"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Assessment of Instream and riparian habitat condition using the Index of Habitat Integrity (IHI).</w:t>
            </w:r>
          </w:p>
          <w:p w14:paraId="12275F87" w14:textId="77777777" w:rsidR="000D5AB3" w:rsidRDefault="000D5AB3">
            <w:pPr>
              <w:pStyle w:val="ListParagraph"/>
              <w:numPr>
                <w:ilvl w:val="1"/>
                <w:numId w:val="24"/>
              </w:numPr>
              <w:tabs>
                <w:tab w:val="left" w:pos="668"/>
              </w:tabs>
              <w:spacing w:before="29"/>
              <w:ind w:left="471" w:right="130"/>
              <w:jc w:val="both"/>
              <w:rPr>
                <w:color w:val="323E4F" w:themeColor="text2" w:themeShade="BF"/>
                <w:sz w:val="18"/>
                <w:szCs w:val="18"/>
              </w:rPr>
            </w:pPr>
            <w:r>
              <w:rPr>
                <w:color w:val="323E4F" w:themeColor="text2" w:themeShade="BF"/>
                <w:sz w:val="18"/>
                <w:szCs w:val="18"/>
              </w:rPr>
              <w:t xml:space="preserve">The above assessments should be used to determine the </w:t>
            </w:r>
            <w:proofErr w:type="spellStart"/>
            <w:r>
              <w:rPr>
                <w:color w:val="323E4F" w:themeColor="text2" w:themeShade="BF"/>
                <w:sz w:val="18"/>
                <w:szCs w:val="18"/>
              </w:rPr>
              <w:t>EcoStatus</w:t>
            </w:r>
            <w:proofErr w:type="spellEnd"/>
            <w:r>
              <w:rPr>
                <w:color w:val="323E4F" w:themeColor="text2" w:themeShade="BF"/>
                <w:sz w:val="18"/>
                <w:szCs w:val="18"/>
              </w:rPr>
              <w:t xml:space="preserve"> according to Kleynhans &amp; Louw (2008) for the relevant river/estuary reaches/sampling sites and compared against documented RQO’s (DWS, 2015) for each indicator and pre-construction conditions.</w:t>
            </w:r>
          </w:p>
        </w:tc>
        <w:tc>
          <w:tcPr>
            <w:tcW w:w="2429" w:type="pct"/>
            <w:shd w:val="clear" w:color="auto" w:fill="B1E7FF"/>
          </w:tcPr>
          <w:p w14:paraId="0B886CE0" w14:textId="77777777" w:rsidR="000D5AB3" w:rsidRDefault="000D5AB3">
            <w:pPr>
              <w:pStyle w:val="BodyText"/>
              <w:spacing w:before="160" w:line="268" w:lineRule="auto"/>
              <w:ind w:left="125" w:right="142"/>
              <w:jc w:val="both"/>
              <w:rPr>
                <w:color w:val="323E4F" w:themeColor="text2" w:themeShade="BF"/>
                <w:sz w:val="18"/>
                <w:szCs w:val="18"/>
              </w:rPr>
            </w:pPr>
            <w:r>
              <w:rPr>
                <w:color w:val="323E4F" w:themeColor="text2" w:themeShade="BF"/>
                <w:sz w:val="18"/>
                <w:szCs w:val="18"/>
              </w:rPr>
              <w:t>Biomonitoring to be undertaken biannually (every six months), including representative ‘wet’ and ‘dry’ season monitoring. Biomonitoring findings/data, along with the monthly water quality findings, should be included in a detailed biannual monitoring report. In line with adaptive management principles, the monitoring programme can be reviewed annually and updated with motivation from specialists for any changes.</w:t>
            </w:r>
          </w:p>
          <w:p w14:paraId="0BC59503" w14:textId="77777777" w:rsidR="000D5AB3" w:rsidRDefault="000D5AB3">
            <w:pPr>
              <w:pStyle w:val="TableParagraph"/>
              <w:spacing w:line="268" w:lineRule="auto"/>
              <w:ind w:left="-1" w:right="173"/>
              <w:jc w:val="both"/>
              <w:rPr>
                <w:color w:val="323E4F" w:themeColor="text2" w:themeShade="BF"/>
                <w:sz w:val="18"/>
                <w:szCs w:val="18"/>
              </w:rPr>
            </w:pPr>
          </w:p>
        </w:tc>
      </w:tr>
    </w:tbl>
    <w:p w14:paraId="28AAEEA1" w14:textId="77777777" w:rsidR="000D5AB3" w:rsidRDefault="000D5AB3" w:rsidP="000D5AB3">
      <w:pPr>
        <w:pStyle w:val="BodyText"/>
        <w:ind w:right="566"/>
        <w:jc w:val="both"/>
        <w:rPr>
          <w:i/>
          <w:iCs/>
          <w:color w:val="323E4F" w:themeColor="text2" w:themeShade="BF"/>
        </w:rPr>
      </w:pPr>
    </w:p>
    <w:p w14:paraId="40915667"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Mouth state</w:t>
      </w:r>
    </w:p>
    <w:p w14:paraId="22AC84F0" w14:textId="77777777" w:rsidR="000D5AB3" w:rsidRDefault="000D5AB3" w:rsidP="000D5AB3">
      <w:pPr>
        <w:pStyle w:val="BodyText"/>
        <w:ind w:left="709" w:right="581"/>
        <w:jc w:val="both"/>
        <w:rPr>
          <w:color w:val="323E4F" w:themeColor="text2" w:themeShade="BF"/>
        </w:rPr>
      </w:pPr>
      <w:r>
        <w:rPr>
          <w:color w:val="323E4F" w:themeColor="text2" w:themeShade="BF"/>
        </w:rPr>
        <w:t xml:space="preserve">It is the interaction between riverine and marine processes that affect the form, </w:t>
      </w:r>
      <w:proofErr w:type="gramStart"/>
      <w:r>
        <w:rPr>
          <w:color w:val="323E4F" w:themeColor="text2" w:themeShade="BF"/>
        </w:rPr>
        <w:t>function</w:t>
      </w:r>
      <w:proofErr w:type="gramEnd"/>
      <w:r>
        <w:rPr>
          <w:color w:val="323E4F" w:themeColor="text2" w:themeShade="BF"/>
        </w:rPr>
        <w:t xml:space="preserve"> and development of an estuary. The mouth state refers to the condition of the estuary entrance to the sea.  This directly impacts the volume of water that can enter the system during a tidal cycle, which can in turn impact water quality in the system. By collecting data on the state of the mouth on a daily basis (open, closed, semi-closed/overtopping, e.g. through the use of a permanently mounted video camera</w:t>
      </w:r>
      <w:proofErr w:type="gramStart"/>
      <w:r>
        <w:rPr>
          <w:color w:val="323E4F" w:themeColor="text2" w:themeShade="BF"/>
        </w:rPr>
        <w:t>),,</w:t>
      </w:r>
      <w:proofErr w:type="gramEnd"/>
      <w:r>
        <w:rPr>
          <w:color w:val="323E4F" w:themeColor="text2" w:themeShade="BF"/>
        </w:rPr>
        <w:t xml:space="preserve"> the physical/chemical water quality data collected can be placed into the context of the estuary state at that point in time. Mouth state should be used to determine patterns of hydrodynamic flow (</w:t>
      </w:r>
      <w:proofErr w:type="gramStart"/>
      <w:r>
        <w:rPr>
          <w:color w:val="323E4F" w:themeColor="text2" w:themeShade="BF"/>
        </w:rPr>
        <w:t>i.e.</w:t>
      </w:r>
      <w:proofErr w:type="gramEnd"/>
      <w:r>
        <w:rPr>
          <w:color w:val="323E4F" w:themeColor="text2" w:themeShade="BF"/>
        </w:rPr>
        <w:t xml:space="preserve"> water movement) that may influence both sediment and water quality.</w:t>
      </w:r>
    </w:p>
    <w:p w14:paraId="4F74A4A8" w14:textId="77777777" w:rsidR="000D5AB3" w:rsidRDefault="000D5AB3" w:rsidP="000D5AB3">
      <w:pPr>
        <w:tabs>
          <w:tab w:val="left" w:pos="709"/>
        </w:tabs>
        <w:spacing w:before="29"/>
        <w:ind w:right="566"/>
        <w:jc w:val="both"/>
        <w:rPr>
          <w:color w:val="323E4F" w:themeColor="text2" w:themeShade="BF"/>
        </w:rPr>
      </w:pPr>
    </w:p>
    <w:p w14:paraId="48DDA715"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 xml:space="preserve">Standards and quality objectives for monitoring - Water quality and biomonitoring results for sites downstream of the wastewater discharges should be compared against data from the </w:t>
      </w:r>
      <w:r>
        <w:rPr>
          <w:color w:val="323E4F" w:themeColor="text2" w:themeShade="BF"/>
          <w:sz w:val="20"/>
        </w:rPr>
        <w:lastRenderedPageBreak/>
        <w:t>respective upstream/ control sites and historic data. In addition, data for all sites should be presented/ assessed against:</w:t>
      </w:r>
    </w:p>
    <w:p w14:paraId="7A5FB99A"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The permitted water quality limits set out by DWS in the WUL issued for the STP.</w:t>
      </w:r>
    </w:p>
    <w:p w14:paraId="45603524"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 xml:space="preserve">The most relevant South African Target Water Quality Ranges (TWQR) for aquatic ecosystems, recreational </w:t>
      </w:r>
      <w:proofErr w:type="gramStart"/>
      <w:r>
        <w:rPr>
          <w:color w:val="323E4F" w:themeColor="text2" w:themeShade="BF"/>
          <w:sz w:val="20"/>
        </w:rPr>
        <w:t>contact</w:t>
      </w:r>
      <w:proofErr w:type="gramEnd"/>
      <w:r>
        <w:rPr>
          <w:color w:val="323E4F" w:themeColor="text2" w:themeShade="BF"/>
          <w:sz w:val="20"/>
        </w:rPr>
        <w:t xml:space="preserve"> and domestic use. </w:t>
      </w:r>
    </w:p>
    <w:p w14:paraId="16E38B02"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The most relevant and up to date RQO’s for the applicable river reach and estuary site, including Recommended Ecological Categories (REC) for abiotic and biotic components of the river/estuary. Available RQO’s (DWS, 2015) at the time of this report have been summarised below.</w:t>
      </w:r>
    </w:p>
    <w:p w14:paraId="325898E7"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 xml:space="preserve">Over time, water quality thresholds of potential concern (TPC) should be developed by contributing specialists based on an understanding of the spatial and temporal trends in water quality and associated biological responses (biomonitoring results). </w:t>
      </w:r>
    </w:p>
    <w:p w14:paraId="0BEEB335" w14:textId="77777777" w:rsidR="000D5AB3" w:rsidRDefault="000D5AB3" w:rsidP="000D5AB3">
      <w:pPr>
        <w:pStyle w:val="BodyText"/>
        <w:ind w:left="308" w:right="566"/>
        <w:jc w:val="both"/>
        <w:rPr>
          <w:color w:val="323E4F" w:themeColor="text2" w:themeShade="BF"/>
        </w:rPr>
      </w:pPr>
    </w:p>
    <w:p w14:paraId="5F5DB133" w14:textId="77777777" w:rsidR="000D5AB3" w:rsidRDefault="000D5AB3" w:rsidP="000D5AB3">
      <w:pPr>
        <w:pStyle w:val="ListParagraph"/>
        <w:numPr>
          <w:ilvl w:val="0"/>
          <w:numId w:val="24"/>
        </w:numPr>
        <w:tabs>
          <w:tab w:val="left" w:pos="851"/>
        </w:tabs>
        <w:spacing w:before="29"/>
        <w:ind w:left="720" w:right="581"/>
        <w:jc w:val="both"/>
        <w:rPr>
          <w:color w:val="323E4F" w:themeColor="text2" w:themeShade="BF"/>
          <w:sz w:val="20"/>
        </w:rPr>
      </w:pPr>
      <w:bookmarkStart w:id="33" w:name="_Toc65495092"/>
      <w:r>
        <w:rPr>
          <w:color w:val="323E4F" w:themeColor="text2" w:themeShade="BF"/>
          <w:sz w:val="20"/>
        </w:rPr>
        <w:t>DSW (2015) Classification of Water Resources &amp; Determination of the Comprehensive Reserve &amp; Resource Quality Objectives</w:t>
      </w:r>
      <w:bookmarkEnd w:id="33"/>
      <w:r>
        <w:rPr>
          <w:color w:val="323E4F" w:themeColor="text2" w:themeShade="BF"/>
          <w:sz w:val="20"/>
        </w:rPr>
        <w:t>.</w:t>
      </w:r>
    </w:p>
    <w:p w14:paraId="2863CD2B" w14:textId="77777777" w:rsidR="000D5AB3" w:rsidRDefault="000D5AB3" w:rsidP="000D5AB3">
      <w:pPr>
        <w:pStyle w:val="BodyText"/>
        <w:ind w:left="709" w:right="566"/>
        <w:jc w:val="both"/>
        <w:rPr>
          <w:color w:val="323E4F" w:themeColor="text2" w:themeShade="BF"/>
        </w:rPr>
      </w:pPr>
    </w:p>
    <w:p w14:paraId="17C2A3B8" w14:textId="77777777" w:rsidR="000D5AB3" w:rsidRDefault="000D5AB3" w:rsidP="000D5AB3">
      <w:pPr>
        <w:pStyle w:val="BodyText"/>
        <w:ind w:left="709" w:right="566"/>
        <w:jc w:val="both"/>
        <w:rPr>
          <w:color w:val="323E4F" w:themeColor="text2" w:themeShade="BF"/>
        </w:rPr>
      </w:pPr>
      <w:r>
        <w:rPr>
          <w:color w:val="323E4F" w:themeColor="text2" w:themeShade="BF"/>
        </w:rPr>
        <w:t xml:space="preserve">According to the Classification of Water Resources and Determination of the Comprehensive Reserve and Resource Quality Objectives in the </w:t>
      </w:r>
      <w:proofErr w:type="spellStart"/>
      <w:r>
        <w:rPr>
          <w:color w:val="323E4F" w:themeColor="text2" w:themeShade="BF"/>
        </w:rPr>
        <w:t>Mvoti</w:t>
      </w:r>
      <w:proofErr w:type="spellEnd"/>
      <w:r>
        <w:rPr>
          <w:color w:val="323E4F" w:themeColor="text2" w:themeShade="BF"/>
        </w:rPr>
        <w:t xml:space="preserve"> </w:t>
      </w:r>
      <w:proofErr w:type="gramStart"/>
      <w:r>
        <w:rPr>
          <w:color w:val="323E4F" w:themeColor="text2" w:themeShade="BF"/>
        </w:rPr>
        <w:t>To</w:t>
      </w:r>
      <w:proofErr w:type="gramEnd"/>
      <w:r>
        <w:rPr>
          <w:color w:val="323E4F" w:themeColor="text2" w:themeShade="BF"/>
        </w:rPr>
        <w:t xml:space="preserve"> </w:t>
      </w:r>
      <w:proofErr w:type="spellStart"/>
      <w:r>
        <w:rPr>
          <w:color w:val="323E4F" w:themeColor="text2" w:themeShade="BF"/>
        </w:rPr>
        <w:t>Umzimkulu</w:t>
      </w:r>
      <w:proofErr w:type="spellEnd"/>
      <w:r>
        <w:rPr>
          <w:color w:val="323E4F" w:themeColor="text2" w:themeShade="BF"/>
        </w:rPr>
        <w:t xml:space="preserve"> Water Management Area (DWS, 2015), information on the </w:t>
      </w:r>
      <w:proofErr w:type="spellStart"/>
      <w:r>
        <w:rPr>
          <w:color w:val="323E4F" w:themeColor="text2" w:themeShade="BF"/>
        </w:rPr>
        <w:t>uMkomazi</w:t>
      </w:r>
      <w:proofErr w:type="spellEnd"/>
      <w:r>
        <w:rPr>
          <w:color w:val="323E4F" w:themeColor="text2" w:themeShade="BF"/>
        </w:rPr>
        <w:t xml:space="preserve"> River reach upstream of the STP location is summarized as follows (see also Table 11):</w:t>
      </w:r>
    </w:p>
    <w:p w14:paraId="210F8D0F"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 xml:space="preserve">Moderate EIS: Highest scoring metrics contributing to the moderate EIS rating were unique instream biota, (potential) presence of species intolerant to flow, diversity of habitat types and features and (potential) presence of rare and endangered riparian species. </w:t>
      </w:r>
    </w:p>
    <w:p w14:paraId="6CA3294D"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‘C’ PES (fair): Overgrazing, trampling and alien invasive vegetation impacting the riparian zone has resulted in substrate exposure and increased erosion. The structural changes in vegetation impact on longitudinal and lateral connectivity.</w:t>
      </w:r>
    </w:p>
    <w:p w14:paraId="4A74594C"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‘C’ REC</w:t>
      </w:r>
      <w:r>
        <w:rPr>
          <w:color w:val="323E4F" w:themeColor="text2" w:themeShade="BF"/>
          <w:sz w:val="20"/>
        </w:rPr>
        <w:footnoteReference w:id="2"/>
      </w:r>
      <w:r>
        <w:rPr>
          <w:color w:val="323E4F" w:themeColor="text2" w:themeShade="BF"/>
          <w:sz w:val="20"/>
        </w:rPr>
        <w:t xml:space="preserve"> (fair): Given the Moderate EIS rating, REC was set to maintain the current state (PES).  Due to non-flow related impacts on riparian vegetation, the EWR was set for the instream EC of a ‘B’. </w:t>
      </w:r>
    </w:p>
    <w:p w14:paraId="6C9288DB"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AEC</w:t>
      </w:r>
      <w:r>
        <w:rPr>
          <w:color w:val="323E4F" w:themeColor="text2" w:themeShade="BF"/>
          <w:sz w:val="20"/>
        </w:rPr>
        <w:footnoteReference w:id="3"/>
      </w:r>
      <w:r>
        <w:rPr>
          <w:color w:val="323E4F" w:themeColor="text2" w:themeShade="BF"/>
          <w:sz w:val="20"/>
        </w:rPr>
        <w:t xml:space="preserve"> down: ‘D’ (poor): The scenario is based on the impacts of a possible upstream dam which will result in:  Decreased base flows and large floods, more islands, fewer secondary </w:t>
      </w:r>
      <w:proofErr w:type="gramStart"/>
      <w:r>
        <w:rPr>
          <w:color w:val="323E4F" w:themeColor="text2" w:themeShade="BF"/>
          <w:sz w:val="20"/>
        </w:rPr>
        <w:t>channels</w:t>
      </w:r>
      <w:proofErr w:type="gramEnd"/>
      <w:r>
        <w:rPr>
          <w:color w:val="323E4F" w:themeColor="text2" w:themeShade="BF"/>
          <w:sz w:val="20"/>
        </w:rPr>
        <w:t xml:space="preserve"> and less quality instream habitats, including increased woody vegetation on islands, loss of non-woody vegetation (out shaded by the increased woody vegetation) and increased marginal vegetation encroachment.</w:t>
      </w:r>
    </w:p>
    <w:p w14:paraId="4C992801" w14:textId="77777777" w:rsidR="000D5AB3" w:rsidRDefault="000D5AB3" w:rsidP="000D5AB3">
      <w:pPr>
        <w:adjustRightInd w:val="0"/>
        <w:spacing w:line="360" w:lineRule="auto"/>
        <w:ind w:right="566"/>
        <w:jc w:val="both"/>
        <w:rPr>
          <w:rFonts w:ascii="Century Gothic" w:hAnsi="Century Gothic"/>
          <w:color w:val="auto"/>
          <w:sz w:val="18"/>
          <w:szCs w:val="18"/>
        </w:rPr>
      </w:pPr>
    </w:p>
    <w:p w14:paraId="2AA07E50" w14:textId="77777777" w:rsidR="000D5AB3" w:rsidRDefault="000D5AB3" w:rsidP="000D5AB3">
      <w:pPr>
        <w:pStyle w:val="Caption"/>
        <w:ind w:right="566"/>
        <w:jc w:val="both"/>
        <w:rPr>
          <w:color w:val="323E4F" w:themeColor="text2" w:themeShade="BF"/>
        </w:rPr>
      </w:pPr>
      <w:bookmarkStart w:id="34" w:name="_Toc127273883"/>
      <w:r>
        <w:rPr>
          <w:color w:val="323E4F" w:themeColor="text2" w:themeShade="BF"/>
        </w:rPr>
        <w:t xml:space="preserve">Table </w:t>
      </w:r>
      <w:r>
        <w:fldChar w:fldCharType="begin"/>
      </w:r>
      <w:r>
        <w:rPr>
          <w:color w:val="323E4F" w:themeColor="text2" w:themeShade="BF"/>
        </w:rPr>
        <w:instrText xml:space="preserve"> STYLEREF 1 \s </w:instrText>
      </w:r>
      <w:r>
        <w:fldChar w:fldCharType="separate"/>
      </w:r>
      <w:r>
        <w:rPr>
          <w:noProof/>
          <w:color w:val="323E4F" w:themeColor="text2" w:themeShade="BF"/>
        </w:rPr>
        <w:t>3</w:t>
      </w:r>
      <w:r>
        <w:fldChar w:fldCharType="end"/>
      </w:r>
      <w:r>
        <w:rPr>
          <w:color w:val="323E4F" w:themeColor="text2" w:themeShade="BF"/>
        </w:rPr>
        <w:noBreakHyphen/>
      </w:r>
      <w:r>
        <w:fldChar w:fldCharType="begin"/>
      </w:r>
      <w:r>
        <w:rPr>
          <w:color w:val="323E4F" w:themeColor="text2" w:themeShade="BF"/>
        </w:rPr>
        <w:instrText xml:space="preserve"> SEQ Table \* ARABIC \s 1 </w:instrText>
      </w:r>
      <w:r>
        <w:fldChar w:fldCharType="separate"/>
      </w:r>
      <w:r>
        <w:rPr>
          <w:noProof/>
          <w:color w:val="323E4F" w:themeColor="text2" w:themeShade="BF"/>
        </w:rPr>
        <w:t>2</w:t>
      </w:r>
      <w:r>
        <w:fldChar w:fldCharType="end"/>
      </w:r>
      <w:r>
        <w:rPr>
          <w:color w:val="323E4F" w:themeColor="text2" w:themeShade="BF"/>
        </w:rPr>
        <w:t>:</w:t>
      </w:r>
      <w:r>
        <w:rPr>
          <w:color w:val="323E4F" w:themeColor="text2" w:themeShade="BF"/>
        </w:rPr>
        <w:tab/>
        <w:t xml:space="preserve">Summary of Eco-Classification results for lower </w:t>
      </w:r>
      <w:proofErr w:type="spellStart"/>
      <w:r>
        <w:rPr>
          <w:color w:val="323E4F" w:themeColor="text2" w:themeShade="BF"/>
        </w:rPr>
        <w:t>uMkomazi</w:t>
      </w:r>
      <w:proofErr w:type="spellEnd"/>
      <w:r>
        <w:rPr>
          <w:color w:val="323E4F" w:themeColor="text2" w:themeShade="BF"/>
        </w:rPr>
        <w:t xml:space="preserve"> River reach (DWS,2015)</w:t>
      </w:r>
      <w:bookmarkEnd w:id="34"/>
    </w:p>
    <w:tbl>
      <w:tblPr>
        <w:tblStyle w:val="TableGrid"/>
        <w:tblW w:w="4581" w:type="pct"/>
        <w:tblInd w:w="279" w:type="dxa"/>
        <w:tblLook w:val="04A0" w:firstRow="1" w:lastRow="0" w:firstColumn="1" w:lastColumn="0" w:noHBand="0" w:noVBand="1"/>
      </w:tblPr>
      <w:tblGrid>
        <w:gridCol w:w="2899"/>
        <w:gridCol w:w="3087"/>
        <w:gridCol w:w="2580"/>
      </w:tblGrid>
      <w:tr w:rsidR="000D5AB3" w14:paraId="19C16072" w14:textId="77777777" w:rsidTr="000D5AB3">
        <w:trPr>
          <w:trHeight w:val="121"/>
          <w:tblHeader/>
        </w:trPr>
        <w:tc>
          <w:tcPr>
            <w:tcW w:w="1692"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6A1A95A2" w14:textId="77777777" w:rsidR="000D5AB3" w:rsidRDefault="000D5AB3">
            <w:pPr>
              <w:pStyle w:val="BodyText"/>
              <w:spacing w:before="40" w:after="40"/>
              <w:ind w:right="176"/>
              <w:jc w:val="both"/>
              <w:rPr>
                <w:rFonts w:ascii="Arial Narrow" w:hAnsi="Arial Narrow" w:cstheme="minorHAnsi"/>
                <w:b/>
                <w:bCs/>
                <w:color w:val="FFFFFF" w:themeColor="background1"/>
              </w:rPr>
            </w:pPr>
            <w:r>
              <w:rPr>
                <w:rFonts w:ascii="Arial Narrow" w:hAnsi="Arial Narrow" w:cstheme="minorHAnsi"/>
                <w:b/>
                <w:bCs/>
                <w:color w:val="FFFFFF" w:themeColor="background1"/>
              </w:rPr>
              <w:t>Component</w:t>
            </w:r>
          </w:p>
        </w:tc>
        <w:tc>
          <w:tcPr>
            <w:tcW w:w="1802"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18EB4823" w14:textId="77777777" w:rsidR="000D5AB3" w:rsidRDefault="000D5AB3">
            <w:pPr>
              <w:pStyle w:val="BodyText"/>
              <w:spacing w:before="40" w:after="40"/>
              <w:ind w:right="176"/>
              <w:jc w:val="center"/>
              <w:rPr>
                <w:rFonts w:ascii="Arial Narrow" w:hAnsi="Arial Narrow" w:cstheme="minorHAnsi"/>
                <w:b/>
                <w:bCs/>
                <w:color w:val="FFFFFF" w:themeColor="background1"/>
              </w:rPr>
            </w:pPr>
            <w:r>
              <w:rPr>
                <w:rFonts w:ascii="Arial Narrow" w:hAnsi="Arial Narrow" w:cstheme="minorHAnsi"/>
                <w:b/>
                <w:bCs/>
                <w:color w:val="FFFFFF" w:themeColor="background1"/>
              </w:rPr>
              <w:t>PES &amp; REC</w:t>
            </w:r>
          </w:p>
        </w:tc>
        <w:tc>
          <w:tcPr>
            <w:tcW w:w="1507"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153B29DB" w14:textId="77777777" w:rsidR="000D5AB3" w:rsidRDefault="000D5AB3">
            <w:pPr>
              <w:pStyle w:val="BodyText"/>
              <w:spacing w:before="40" w:after="40"/>
              <w:ind w:right="176"/>
              <w:jc w:val="center"/>
              <w:rPr>
                <w:rFonts w:ascii="Arial Narrow" w:hAnsi="Arial Narrow" w:cstheme="minorHAnsi"/>
                <w:b/>
                <w:bCs/>
                <w:color w:val="FFFFFF" w:themeColor="background1"/>
              </w:rPr>
            </w:pPr>
            <w:r>
              <w:rPr>
                <w:rFonts w:ascii="Arial Narrow" w:hAnsi="Arial Narrow" w:cstheme="minorHAnsi"/>
                <w:b/>
                <w:bCs/>
                <w:color w:val="FFFFFF" w:themeColor="background1"/>
              </w:rPr>
              <w:t>AEC (scenario based on possible upstream dam)</w:t>
            </w:r>
          </w:p>
        </w:tc>
      </w:tr>
      <w:tr w:rsidR="000D5AB3" w14:paraId="4619CFD1" w14:textId="77777777" w:rsidTr="000D5AB3">
        <w:trPr>
          <w:trHeight w:val="286"/>
        </w:trPr>
        <w:tc>
          <w:tcPr>
            <w:tcW w:w="1692" w:type="pct"/>
            <w:tcBorders>
              <w:top w:val="single" w:sz="4" w:space="0" w:color="auto"/>
              <w:left w:val="single" w:sz="4" w:space="0" w:color="auto"/>
              <w:bottom w:val="single" w:sz="4" w:space="0" w:color="auto"/>
              <w:right w:val="single" w:sz="4" w:space="0" w:color="auto"/>
            </w:tcBorders>
            <w:vAlign w:val="center"/>
            <w:hideMark/>
          </w:tcPr>
          <w:p w14:paraId="2A9DBD7F" w14:textId="77777777" w:rsidR="000D5AB3" w:rsidRDefault="000D5AB3">
            <w:pPr>
              <w:pStyle w:val="BodyText"/>
              <w:spacing w:before="40" w:after="40"/>
              <w:ind w:right="176"/>
              <w:jc w:val="both"/>
              <w:rPr>
                <w:color w:val="323E4F" w:themeColor="text2" w:themeShade="BF"/>
                <w:sz w:val="18"/>
                <w:szCs w:val="18"/>
              </w:rPr>
            </w:pPr>
            <w:r>
              <w:rPr>
                <w:color w:val="323E4F" w:themeColor="text2" w:themeShade="BF"/>
                <w:sz w:val="18"/>
                <w:szCs w:val="18"/>
              </w:rPr>
              <w:t>IHI Hydrology</w:t>
            </w:r>
          </w:p>
        </w:tc>
        <w:tc>
          <w:tcPr>
            <w:tcW w:w="1802"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07B80F1" w14:textId="77777777" w:rsidR="000D5AB3" w:rsidRDefault="000D5AB3">
            <w:pPr>
              <w:pStyle w:val="BodyText"/>
              <w:spacing w:before="40" w:after="40"/>
              <w:ind w:right="176"/>
              <w:jc w:val="center"/>
              <w:rPr>
                <w:color w:val="323E4F" w:themeColor="text2" w:themeShade="BF"/>
                <w:sz w:val="18"/>
                <w:szCs w:val="18"/>
              </w:rPr>
            </w:pPr>
            <w:r>
              <w:rPr>
                <w:color w:val="323E4F" w:themeColor="text2" w:themeShade="BF"/>
                <w:sz w:val="18"/>
                <w:szCs w:val="18"/>
              </w:rPr>
              <w:t>A/B</w:t>
            </w:r>
          </w:p>
        </w:tc>
        <w:tc>
          <w:tcPr>
            <w:tcW w:w="1507" w:type="pct"/>
            <w:tcBorders>
              <w:top w:val="single" w:sz="4" w:space="0" w:color="auto"/>
              <w:left w:val="single" w:sz="4" w:space="0" w:color="auto"/>
              <w:bottom w:val="single" w:sz="4" w:space="0" w:color="auto"/>
              <w:right w:val="single" w:sz="4" w:space="0" w:color="auto"/>
            </w:tcBorders>
            <w:vAlign w:val="center"/>
          </w:tcPr>
          <w:p w14:paraId="1D0E3BD3" w14:textId="77777777" w:rsidR="000D5AB3" w:rsidRDefault="000D5AB3">
            <w:pPr>
              <w:pStyle w:val="BodyText"/>
              <w:spacing w:before="40" w:after="40"/>
              <w:ind w:right="176"/>
              <w:jc w:val="center"/>
              <w:rPr>
                <w:rFonts w:ascii="Arial Narrow" w:hAnsi="Arial Narrow" w:cstheme="minorHAnsi"/>
                <w:color w:val="323E4F" w:themeColor="text2" w:themeShade="BF"/>
              </w:rPr>
            </w:pPr>
          </w:p>
        </w:tc>
      </w:tr>
      <w:tr w:rsidR="000D5AB3" w14:paraId="1AF30825" w14:textId="77777777" w:rsidTr="000D5AB3">
        <w:trPr>
          <w:trHeight w:val="277"/>
        </w:trPr>
        <w:tc>
          <w:tcPr>
            <w:tcW w:w="1692" w:type="pct"/>
            <w:tcBorders>
              <w:top w:val="single" w:sz="4" w:space="0" w:color="auto"/>
              <w:left w:val="single" w:sz="4" w:space="0" w:color="auto"/>
              <w:bottom w:val="single" w:sz="4" w:space="0" w:color="auto"/>
              <w:right w:val="single" w:sz="4" w:space="0" w:color="auto"/>
            </w:tcBorders>
            <w:vAlign w:val="center"/>
            <w:hideMark/>
          </w:tcPr>
          <w:p w14:paraId="674652D0" w14:textId="77777777" w:rsidR="000D5AB3" w:rsidRDefault="000D5AB3">
            <w:pPr>
              <w:pStyle w:val="BodyText"/>
              <w:spacing w:before="40" w:after="40"/>
              <w:ind w:right="176"/>
              <w:jc w:val="both"/>
              <w:rPr>
                <w:color w:val="323E4F" w:themeColor="text2" w:themeShade="BF"/>
                <w:sz w:val="18"/>
                <w:szCs w:val="18"/>
              </w:rPr>
            </w:pPr>
            <w:proofErr w:type="spellStart"/>
            <w:r>
              <w:rPr>
                <w:color w:val="323E4F" w:themeColor="text2" w:themeShade="BF"/>
                <w:sz w:val="18"/>
                <w:szCs w:val="18"/>
              </w:rPr>
              <w:t>Physico</w:t>
            </w:r>
            <w:proofErr w:type="spellEnd"/>
            <w:r>
              <w:rPr>
                <w:color w:val="323E4F" w:themeColor="text2" w:themeShade="BF"/>
                <w:sz w:val="18"/>
                <w:szCs w:val="18"/>
              </w:rPr>
              <w:t xml:space="preserve"> chemical</w:t>
            </w:r>
          </w:p>
        </w:tc>
        <w:tc>
          <w:tcPr>
            <w:tcW w:w="1802"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FE3DB78" w14:textId="77777777" w:rsidR="000D5AB3" w:rsidRDefault="000D5AB3">
            <w:pPr>
              <w:pStyle w:val="BodyText"/>
              <w:spacing w:before="40" w:after="40"/>
              <w:ind w:right="176"/>
              <w:jc w:val="center"/>
              <w:rPr>
                <w:color w:val="323E4F" w:themeColor="text2" w:themeShade="BF"/>
                <w:sz w:val="18"/>
                <w:szCs w:val="18"/>
              </w:rPr>
            </w:pPr>
            <w:r>
              <w:rPr>
                <w:color w:val="323E4F" w:themeColor="text2" w:themeShade="BF"/>
                <w:sz w:val="18"/>
                <w:szCs w:val="18"/>
              </w:rPr>
              <w:t>A/B</w:t>
            </w:r>
          </w:p>
        </w:tc>
        <w:tc>
          <w:tcPr>
            <w:tcW w:w="1507"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33673F45" w14:textId="77777777" w:rsidR="000D5AB3" w:rsidRDefault="000D5AB3">
            <w:pPr>
              <w:pStyle w:val="BodyText"/>
              <w:spacing w:before="40" w:after="40"/>
              <w:ind w:right="176"/>
              <w:jc w:val="center"/>
              <w:rPr>
                <w:rFonts w:ascii="Arial Narrow" w:hAnsi="Arial Narrow" w:cstheme="minorHAnsi"/>
                <w:color w:val="323E4F" w:themeColor="text2" w:themeShade="BF"/>
              </w:rPr>
            </w:pPr>
            <w:r>
              <w:rPr>
                <w:rFonts w:ascii="Arial Narrow" w:hAnsi="Arial Narrow" w:cstheme="minorHAnsi"/>
                <w:color w:val="323E4F" w:themeColor="text2" w:themeShade="BF"/>
              </w:rPr>
              <w:t>B</w:t>
            </w:r>
          </w:p>
        </w:tc>
      </w:tr>
      <w:tr w:rsidR="000D5AB3" w14:paraId="0E25D22D" w14:textId="77777777" w:rsidTr="000D5AB3">
        <w:trPr>
          <w:trHeight w:val="277"/>
        </w:trPr>
        <w:tc>
          <w:tcPr>
            <w:tcW w:w="1692" w:type="pct"/>
            <w:tcBorders>
              <w:top w:val="single" w:sz="4" w:space="0" w:color="auto"/>
              <w:left w:val="single" w:sz="4" w:space="0" w:color="auto"/>
              <w:bottom w:val="single" w:sz="4" w:space="0" w:color="auto"/>
              <w:right w:val="single" w:sz="4" w:space="0" w:color="auto"/>
            </w:tcBorders>
            <w:vAlign w:val="center"/>
            <w:hideMark/>
          </w:tcPr>
          <w:p w14:paraId="788C3141" w14:textId="77777777" w:rsidR="000D5AB3" w:rsidRDefault="000D5AB3">
            <w:pPr>
              <w:pStyle w:val="BodyText"/>
              <w:spacing w:before="40" w:after="40"/>
              <w:ind w:right="176"/>
              <w:jc w:val="both"/>
              <w:rPr>
                <w:color w:val="323E4F" w:themeColor="text2" w:themeShade="BF"/>
                <w:sz w:val="18"/>
                <w:szCs w:val="18"/>
              </w:rPr>
            </w:pPr>
            <w:r>
              <w:rPr>
                <w:color w:val="323E4F" w:themeColor="text2" w:themeShade="BF"/>
                <w:sz w:val="18"/>
                <w:szCs w:val="18"/>
              </w:rPr>
              <w:t>Geomorphology</w:t>
            </w:r>
          </w:p>
        </w:tc>
        <w:tc>
          <w:tcPr>
            <w:tcW w:w="1802"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354A8532" w14:textId="77777777" w:rsidR="000D5AB3" w:rsidRDefault="000D5AB3">
            <w:pPr>
              <w:pStyle w:val="BodyText"/>
              <w:spacing w:before="40" w:after="40"/>
              <w:ind w:right="176"/>
              <w:jc w:val="center"/>
              <w:rPr>
                <w:color w:val="323E4F" w:themeColor="text2" w:themeShade="BF"/>
                <w:sz w:val="18"/>
                <w:szCs w:val="18"/>
              </w:rPr>
            </w:pPr>
            <w:r>
              <w:rPr>
                <w:color w:val="323E4F" w:themeColor="text2" w:themeShade="BF"/>
                <w:sz w:val="18"/>
                <w:szCs w:val="18"/>
              </w:rPr>
              <w:t>B</w:t>
            </w:r>
          </w:p>
        </w:tc>
        <w:tc>
          <w:tcPr>
            <w:tcW w:w="1507" w:type="pct"/>
            <w:tcBorders>
              <w:top w:val="single" w:sz="4" w:space="0" w:color="auto"/>
              <w:left w:val="single" w:sz="4" w:space="0" w:color="auto"/>
              <w:bottom w:val="single" w:sz="4" w:space="0" w:color="auto"/>
              <w:right w:val="single" w:sz="4" w:space="0" w:color="auto"/>
            </w:tcBorders>
            <w:shd w:val="clear" w:color="auto" w:fill="00CC99"/>
            <w:vAlign w:val="center"/>
            <w:hideMark/>
          </w:tcPr>
          <w:p w14:paraId="06E4AF4D" w14:textId="77777777" w:rsidR="000D5AB3" w:rsidRDefault="000D5AB3">
            <w:pPr>
              <w:pStyle w:val="BodyText"/>
              <w:spacing w:before="40" w:after="40"/>
              <w:ind w:right="176"/>
              <w:jc w:val="center"/>
              <w:rPr>
                <w:rFonts w:ascii="Arial Narrow" w:hAnsi="Arial Narrow" w:cstheme="minorHAnsi"/>
                <w:color w:val="323E4F" w:themeColor="text2" w:themeShade="BF"/>
              </w:rPr>
            </w:pPr>
            <w:r>
              <w:rPr>
                <w:rFonts w:ascii="Arial Narrow" w:hAnsi="Arial Narrow" w:cstheme="minorHAnsi"/>
                <w:color w:val="323E4F" w:themeColor="text2" w:themeShade="BF"/>
              </w:rPr>
              <w:t>B/C</w:t>
            </w:r>
          </w:p>
        </w:tc>
      </w:tr>
      <w:tr w:rsidR="000D5AB3" w14:paraId="0C651B13" w14:textId="77777777" w:rsidTr="000D5AB3">
        <w:trPr>
          <w:trHeight w:val="277"/>
        </w:trPr>
        <w:tc>
          <w:tcPr>
            <w:tcW w:w="1692" w:type="pct"/>
            <w:tcBorders>
              <w:top w:val="single" w:sz="4" w:space="0" w:color="auto"/>
              <w:left w:val="single" w:sz="4" w:space="0" w:color="auto"/>
              <w:bottom w:val="single" w:sz="4" w:space="0" w:color="auto"/>
              <w:right w:val="single" w:sz="4" w:space="0" w:color="auto"/>
            </w:tcBorders>
            <w:vAlign w:val="center"/>
            <w:hideMark/>
          </w:tcPr>
          <w:p w14:paraId="5BFCBA79" w14:textId="77777777" w:rsidR="000D5AB3" w:rsidRDefault="000D5AB3">
            <w:pPr>
              <w:pStyle w:val="BodyText"/>
              <w:spacing w:before="40" w:after="40"/>
              <w:ind w:right="176"/>
              <w:jc w:val="both"/>
              <w:rPr>
                <w:color w:val="323E4F" w:themeColor="text2" w:themeShade="BF"/>
                <w:sz w:val="18"/>
                <w:szCs w:val="18"/>
              </w:rPr>
            </w:pPr>
            <w:r>
              <w:rPr>
                <w:color w:val="323E4F" w:themeColor="text2" w:themeShade="BF"/>
                <w:sz w:val="18"/>
                <w:szCs w:val="18"/>
              </w:rPr>
              <w:t xml:space="preserve">Fish </w:t>
            </w:r>
          </w:p>
        </w:tc>
        <w:tc>
          <w:tcPr>
            <w:tcW w:w="1802"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098AA1A8" w14:textId="77777777" w:rsidR="000D5AB3" w:rsidRDefault="000D5AB3">
            <w:pPr>
              <w:pStyle w:val="BodyText"/>
              <w:spacing w:before="40" w:after="40"/>
              <w:ind w:right="176"/>
              <w:jc w:val="center"/>
              <w:rPr>
                <w:color w:val="323E4F" w:themeColor="text2" w:themeShade="BF"/>
                <w:sz w:val="18"/>
                <w:szCs w:val="18"/>
              </w:rPr>
            </w:pPr>
            <w:r>
              <w:rPr>
                <w:color w:val="323E4F" w:themeColor="text2" w:themeShade="BF"/>
                <w:sz w:val="18"/>
                <w:szCs w:val="18"/>
              </w:rPr>
              <w:t>B</w:t>
            </w:r>
          </w:p>
        </w:tc>
        <w:tc>
          <w:tcPr>
            <w:tcW w:w="1507" w:type="pct"/>
            <w:tcBorders>
              <w:top w:val="single" w:sz="4" w:space="0" w:color="auto"/>
              <w:left w:val="single" w:sz="4" w:space="0" w:color="auto"/>
              <w:bottom w:val="single" w:sz="4" w:space="0" w:color="auto"/>
              <w:right w:val="single" w:sz="4" w:space="0" w:color="auto"/>
            </w:tcBorders>
            <w:shd w:val="clear" w:color="auto" w:fill="92D050"/>
            <w:vAlign w:val="center"/>
            <w:hideMark/>
          </w:tcPr>
          <w:p w14:paraId="26685A83" w14:textId="77777777" w:rsidR="000D5AB3" w:rsidRDefault="000D5AB3">
            <w:pPr>
              <w:pStyle w:val="BodyText"/>
              <w:spacing w:before="40" w:after="40"/>
              <w:ind w:right="176"/>
              <w:jc w:val="center"/>
              <w:rPr>
                <w:rFonts w:ascii="Arial Narrow" w:hAnsi="Arial Narrow" w:cstheme="minorHAnsi"/>
                <w:color w:val="323E4F" w:themeColor="text2" w:themeShade="BF"/>
              </w:rPr>
            </w:pPr>
            <w:r>
              <w:rPr>
                <w:rFonts w:ascii="Arial Narrow" w:hAnsi="Arial Narrow" w:cstheme="minorHAnsi"/>
                <w:color w:val="323E4F" w:themeColor="text2" w:themeShade="BF"/>
              </w:rPr>
              <w:t>C</w:t>
            </w:r>
          </w:p>
        </w:tc>
      </w:tr>
      <w:tr w:rsidR="000D5AB3" w14:paraId="51078A19" w14:textId="77777777" w:rsidTr="000D5AB3">
        <w:trPr>
          <w:trHeight w:val="286"/>
        </w:trPr>
        <w:tc>
          <w:tcPr>
            <w:tcW w:w="1692" w:type="pct"/>
            <w:tcBorders>
              <w:top w:val="single" w:sz="4" w:space="0" w:color="auto"/>
              <w:left w:val="single" w:sz="4" w:space="0" w:color="auto"/>
              <w:bottom w:val="single" w:sz="4" w:space="0" w:color="auto"/>
              <w:right w:val="single" w:sz="4" w:space="0" w:color="auto"/>
            </w:tcBorders>
            <w:vAlign w:val="center"/>
            <w:hideMark/>
          </w:tcPr>
          <w:p w14:paraId="1DCC6652" w14:textId="77777777" w:rsidR="000D5AB3" w:rsidRDefault="000D5AB3">
            <w:pPr>
              <w:pStyle w:val="BodyText"/>
              <w:spacing w:before="40" w:after="40"/>
              <w:ind w:right="176"/>
              <w:jc w:val="both"/>
              <w:rPr>
                <w:color w:val="323E4F" w:themeColor="text2" w:themeShade="BF"/>
                <w:sz w:val="18"/>
                <w:szCs w:val="18"/>
              </w:rPr>
            </w:pPr>
            <w:r>
              <w:rPr>
                <w:color w:val="323E4F" w:themeColor="text2" w:themeShade="BF"/>
                <w:sz w:val="18"/>
                <w:szCs w:val="18"/>
              </w:rPr>
              <w:t>Invertebrates</w:t>
            </w:r>
          </w:p>
        </w:tc>
        <w:tc>
          <w:tcPr>
            <w:tcW w:w="1802"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457E1707" w14:textId="77777777" w:rsidR="000D5AB3" w:rsidRDefault="000D5AB3">
            <w:pPr>
              <w:pStyle w:val="BodyText"/>
              <w:spacing w:before="40" w:after="40"/>
              <w:ind w:right="176"/>
              <w:jc w:val="center"/>
              <w:rPr>
                <w:color w:val="323E4F" w:themeColor="text2" w:themeShade="BF"/>
                <w:sz w:val="18"/>
                <w:szCs w:val="18"/>
              </w:rPr>
            </w:pPr>
            <w:r>
              <w:rPr>
                <w:color w:val="323E4F" w:themeColor="text2" w:themeShade="BF"/>
                <w:sz w:val="18"/>
                <w:szCs w:val="18"/>
              </w:rPr>
              <w:t>B</w:t>
            </w:r>
          </w:p>
        </w:tc>
        <w:tc>
          <w:tcPr>
            <w:tcW w:w="1507" w:type="pct"/>
            <w:tcBorders>
              <w:top w:val="single" w:sz="4" w:space="0" w:color="auto"/>
              <w:left w:val="single" w:sz="4" w:space="0" w:color="auto"/>
              <w:bottom w:val="single" w:sz="4" w:space="0" w:color="auto"/>
              <w:right w:val="single" w:sz="4" w:space="0" w:color="auto"/>
            </w:tcBorders>
            <w:shd w:val="clear" w:color="auto" w:fill="92D050"/>
            <w:vAlign w:val="center"/>
            <w:hideMark/>
          </w:tcPr>
          <w:p w14:paraId="11464D13" w14:textId="77777777" w:rsidR="000D5AB3" w:rsidRDefault="000D5AB3">
            <w:pPr>
              <w:pStyle w:val="BodyText"/>
              <w:spacing w:before="40" w:after="40"/>
              <w:ind w:right="176"/>
              <w:jc w:val="center"/>
              <w:rPr>
                <w:rFonts w:ascii="Arial Narrow" w:hAnsi="Arial Narrow" w:cstheme="minorHAnsi"/>
                <w:color w:val="323E4F" w:themeColor="text2" w:themeShade="BF"/>
              </w:rPr>
            </w:pPr>
            <w:r>
              <w:rPr>
                <w:rFonts w:ascii="Arial Narrow" w:hAnsi="Arial Narrow" w:cstheme="minorHAnsi"/>
                <w:color w:val="323E4F" w:themeColor="text2" w:themeShade="BF"/>
              </w:rPr>
              <w:t>C</w:t>
            </w:r>
          </w:p>
        </w:tc>
      </w:tr>
      <w:tr w:rsidR="000D5AB3" w14:paraId="64573A22" w14:textId="77777777" w:rsidTr="000D5AB3">
        <w:trPr>
          <w:trHeight w:val="277"/>
        </w:trPr>
        <w:tc>
          <w:tcPr>
            <w:tcW w:w="1692" w:type="pct"/>
            <w:tcBorders>
              <w:top w:val="single" w:sz="4" w:space="0" w:color="auto"/>
              <w:left w:val="single" w:sz="4" w:space="0" w:color="auto"/>
              <w:bottom w:val="single" w:sz="4" w:space="0" w:color="auto"/>
              <w:right w:val="single" w:sz="4" w:space="0" w:color="auto"/>
            </w:tcBorders>
            <w:vAlign w:val="center"/>
            <w:hideMark/>
          </w:tcPr>
          <w:p w14:paraId="2949C3C4" w14:textId="77777777" w:rsidR="000D5AB3" w:rsidRDefault="000D5AB3">
            <w:pPr>
              <w:pStyle w:val="BodyText"/>
              <w:spacing w:before="40" w:after="40"/>
              <w:ind w:right="176"/>
              <w:jc w:val="both"/>
              <w:rPr>
                <w:color w:val="323E4F" w:themeColor="text2" w:themeShade="BF"/>
                <w:sz w:val="18"/>
                <w:szCs w:val="18"/>
              </w:rPr>
            </w:pPr>
            <w:r>
              <w:rPr>
                <w:color w:val="323E4F" w:themeColor="text2" w:themeShade="BF"/>
                <w:sz w:val="18"/>
                <w:szCs w:val="18"/>
              </w:rPr>
              <w:t>Instream</w:t>
            </w:r>
          </w:p>
        </w:tc>
        <w:tc>
          <w:tcPr>
            <w:tcW w:w="1802"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0DE7F226" w14:textId="77777777" w:rsidR="000D5AB3" w:rsidRDefault="000D5AB3">
            <w:pPr>
              <w:pStyle w:val="BodyText"/>
              <w:spacing w:before="40" w:after="40"/>
              <w:ind w:right="176"/>
              <w:jc w:val="center"/>
              <w:rPr>
                <w:color w:val="323E4F" w:themeColor="text2" w:themeShade="BF"/>
                <w:sz w:val="18"/>
                <w:szCs w:val="18"/>
              </w:rPr>
            </w:pPr>
            <w:r>
              <w:rPr>
                <w:color w:val="323E4F" w:themeColor="text2" w:themeShade="BF"/>
                <w:sz w:val="18"/>
                <w:szCs w:val="18"/>
              </w:rPr>
              <w:t>B</w:t>
            </w:r>
          </w:p>
        </w:tc>
        <w:tc>
          <w:tcPr>
            <w:tcW w:w="1507" w:type="pct"/>
            <w:tcBorders>
              <w:top w:val="single" w:sz="4" w:space="0" w:color="auto"/>
              <w:left w:val="single" w:sz="4" w:space="0" w:color="auto"/>
              <w:bottom w:val="single" w:sz="4" w:space="0" w:color="auto"/>
              <w:right w:val="single" w:sz="4" w:space="0" w:color="auto"/>
            </w:tcBorders>
            <w:shd w:val="clear" w:color="auto" w:fill="92D050"/>
            <w:vAlign w:val="center"/>
            <w:hideMark/>
          </w:tcPr>
          <w:p w14:paraId="16415B46" w14:textId="77777777" w:rsidR="000D5AB3" w:rsidRDefault="000D5AB3">
            <w:pPr>
              <w:pStyle w:val="BodyText"/>
              <w:spacing w:before="40" w:after="40"/>
              <w:ind w:right="176"/>
              <w:jc w:val="center"/>
              <w:rPr>
                <w:rFonts w:ascii="Arial Narrow" w:hAnsi="Arial Narrow" w:cstheme="minorHAnsi"/>
                <w:color w:val="323E4F" w:themeColor="text2" w:themeShade="BF"/>
              </w:rPr>
            </w:pPr>
            <w:r>
              <w:rPr>
                <w:rFonts w:ascii="Arial Narrow" w:hAnsi="Arial Narrow" w:cstheme="minorHAnsi"/>
                <w:color w:val="323E4F" w:themeColor="text2" w:themeShade="BF"/>
              </w:rPr>
              <w:t>C</w:t>
            </w:r>
          </w:p>
        </w:tc>
      </w:tr>
      <w:tr w:rsidR="000D5AB3" w14:paraId="58E51731" w14:textId="77777777" w:rsidTr="000D5AB3">
        <w:trPr>
          <w:trHeight w:val="277"/>
        </w:trPr>
        <w:tc>
          <w:tcPr>
            <w:tcW w:w="1692" w:type="pct"/>
            <w:tcBorders>
              <w:top w:val="single" w:sz="4" w:space="0" w:color="auto"/>
              <w:left w:val="single" w:sz="4" w:space="0" w:color="auto"/>
              <w:bottom w:val="single" w:sz="4" w:space="0" w:color="auto"/>
              <w:right w:val="single" w:sz="4" w:space="0" w:color="auto"/>
            </w:tcBorders>
            <w:vAlign w:val="center"/>
            <w:hideMark/>
          </w:tcPr>
          <w:p w14:paraId="015E22EA" w14:textId="77777777" w:rsidR="000D5AB3" w:rsidRDefault="000D5AB3">
            <w:pPr>
              <w:pStyle w:val="BodyText"/>
              <w:spacing w:before="40" w:after="40"/>
              <w:ind w:right="176"/>
              <w:jc w:val="both"/>
              <w:rPr>
                <w:color w:val="323E4F" w:themeColor="text2" w:themeShade="BF"/>
                <w:sz w:val="18"/>
                <w:szCs w:val="18"/>
              </w:rPr>
            </w:pPr>
            <w:r>
              <w:rPr>
                <w:color w:val="323E4F" w:themeColor="text2" w:themeShade="BF"/>
                <w:sz w:val="18"/>
                <w:szCs w:val="18"/>
              </w:rPr>
              <w:t>Riparian vegetation</w:t>
            </w:r>
          </w:p>
        </w:tc>
        <w:tc>
          <w:tcPr>
            <w:tcW w:w="1802"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136E2874" w14:textId="77777777" w:rsidR="000D5AB3" w:rsidRDefault="000D5AB3">
            <w:pPr>
              <w:pStyle w:val="BodyText"/>
              <w:spacing w:before="40" w:after="40"/>
              <w:ind w:right="176"/>
              <w:jc w:val="center"/>
              <w:rPr>
                <w:color w:val="323E4F" w:themeColor="text2" w:themeShade="BF"/>
                <w:sz w:val="18"/>
                <w:szCs w:val="18"/>
              </w:rPr>
            </w:pPr>
            <w:r>
              <w:rPr>
                <w:color w:val="323E4F" w:themeColor="text2" w:themeShade="BF"/>
                <w:sz w:val="18"/>
                <w:szCs w:val="18"/>
              </w:rPr>
              <w:t>D</w:t>
            </w:r>
          </w:p>
        </w:tc>
        <w:tc>
          <w:tcPr>
            <w:tcW w:w="1507"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04129B86" w14:textId="77777777" w:rsidR="000D5AB3" w:rsidRDefault="000D5AB3">
            <w:pPr>
              <w:pStyle w:val="BodyText"/>
              <w:spacing w:before="40" w:after="40"/>
              <w:ind w:right="176"/>
              <w:jc w:val="center"/>
              <w:rPr>
                <w:rFonts w:ascii="Arial Narrow" w:hAnsi="Arial Narrow" w:cstheme="minorHAnsi"/>
                <w:color w:val="323E4F" w:themeColor="text2" w:themeShade="BF"/>
              </w:rPr>
            </w:pPr>
            <w:r>
              <w:rPr>
                <w:rFonts w:ascii="Arial Narrow" w:hAnsi="Arial Narrow" w:cstheme="minorHAnsi"/>
                <w:color w:val="323E4F" w:themeColor="text2" w:themeShade="BF"/>
              </w:rPr>
              <w:t>D</w:t>
            </w:r>
          </w:p>
        </w:tc>
      </w:tr>
      <w:tr w:rsidR="000D5AB3" w14:paraId="5320EEFC" w14:textId="77777777" w:rsidTr="000D5AB3">
        <w:trPr>
          <w:trHeight w:val="286"/>
        </w:trPr>
        <w:tc>
          <w:tcPr>
            <w:tcW w:w="16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B79B23" w14:textId="77777777" w:rsidR="000D5AB3" w:rsidRDefault="000D5AB3">
            <w:pPr>
              <w:pStyle w:val="BodyText"/>
              <w:spacing w:before="40" w:after="40"/>
              <w:ind w:right="176"/>
              <w:jc w:val="both"/>
              <w:rPr>
                <w:b/>
                <w:bCs/>
                <w:color w:val="323E4F" w:themeColor="text2" w:themeShade="BF"/>
                <w:sz w:val="18"/>
                <w:szCs w:val="18"/>
              </w:rPr>
            </w:pPr>
            <w:proofErr w:type="spellStart"/>
            <w:r>
              <w:rPr>
                <w:b/>
                <w:bCs/>
                <w:color w:val="323E4F" w:themeColor="text2" w:themeShade="BF"/>
                <w:sz w:val="18"/>
                <w:szCs w:val="18"/>
              </w:rPr>
              <w:lastRenderedPageBreak/>
              <w:t>EcoStatus</w:t>
            </w:r>
            <w:proofErr w:type="spellEnd"/>
            <w:r>
              <w:rPr>
                <w:b/>
                <w:bCs/>
                <w:color w:val="323E4F" w:themeColor="text2" w:themeShade="BF"/>
                <w:sz w:val="18"/>
                <w:szCs w:val="18"/>
              </w:rPr>
              <w:t xml:space="preserve"> (overall PES)</w:t>
            </w:r>
          </w:p>
        </w:tc>
        <w:tc>
          <w:tcPr>
            <w:tcW w:w="1802" w:type="pct"/>
            <w:tcBorders>
              <w:top w:val="single" w:sz="4" w:space="0" w:color="auto"/>
              <w:left w:val="single" w:sz="4" w:space="0" w:color="auto"/>
              <w:bottom w:val="single" w:sz="4" w:space="0" w:color="auto"/>
              <w:right w:val="single" w:sz="4" w:space="0" w:color="auto"/>
            </w:tcBorders>
            <w:shd w:val="clear" w:color="auto" w:fill="92D050"/>
            <w:vAlign w:val="center"/>
            <w:hideMark/>
          </w:tcPr>
          <w:p w14:paraId="09C77844" w14:textId="77777777" w:rsidR="000D5AB3" w:rsidRDefault="000D5AB3">
            <w:pPr>
              <w:pStyle w:val="BodyText"/>
              <w:spacing w:before="40" w:after="40"/>
              <w:ind w:right="176"/>
              <w:jc w:val="center"/>
              <w:rPr>
                <w:b/>
                <w:bCs/>
                <w:color w:val="323E4F" w:themeColor="text2" w:themeShade="BF"/>
                <w:sz w:val="18"/>
                <w:szCs w:val="18"/>
              </w:rPr>
            </w:pPr>
            <w:r>
              <w:rPr>
                <w:b/>
                <w:bCs/>
                <w:color w:val="323E4F" w:themeColor="text2" w:themeShade="BF"/>
                <w:sz w:val="18"/>
                <w:szCs w:val="18"/>
              </w:rPr>
              <w:t>C</w:t>
            </w:r>
          </w:p>
        </w:tc>
        <w:tc>
          <w:tcPr>
            <w:tcW w:w="1507" w:type="pct"/>
            <w:tcBorders>
              <w:top w:val="single" w:sz="4" w:space="0" w:color="auto"/>
              <w:left w:val="single" w:sz="4" w:space="0" w:color="auto"/>
              <w:bottom w:val="single" w:sz="4" w:space="0" w:color="auto"/>
              <w:right w:val="single" w:sz="4" w:space="0" w:color="auto"/>
            </w:tcBorders>
            <w:shd w:val="clear" w:color="auto" w:fill="92D050"/>
            <w:vAlign w:val="center"/>
            <w:hideMark/>
          </w:tcPr>
          <w:p w14:paraId="445D876B" w14:textId="77777777" w:rsidR="000D5AB3" w:rsidRDefault="000D5AB3">
            <w:pPr>
              <w:pStyle w:val="BodyText"/>
              <w:spacing w:before="40" w:after="40"/>
              <w:ind w:right="176"/>
              <w:jc w:val="center"/>
              <w:rPr>
                <w:rFonts w:ascii="Arial Narrow" w:hAnsi="Arial Narrow" w:cstheme="minorHAnsi"/>
                <w:b/>
                <w:bCs/>
                <w:color w:val="323E4F" w:themeColor="text2" w:themeShade="BF"/>
              </w:rPr>
            </w:pPr>
            <w:r>
              <w:rPr>
                <w:rFonts w:ascii="Arial Narrow" w:hAnsi="Arial Narrow" w:cstheme="minorHAnsi"/>
                <w:b/>
                <w:bCs/>
                <w:color w:val="323E4F" w:themeColor="text2" w:themeShade="BF"/>
              </w:rPr>
              <w:t>C</w:t>
            </w:r>
          </w:p>
        </w:tc>
      </w:tr>
      <w:tr w:rsidR="000D5AB3" w14:paraId="5048E78E" w14:textId="77777777" w:rsidTr="000D5AB3">
        <w:trPr>
          <w:trHeight w:val="277"/>
        </w:trPr>
        <w:tc>
          <w:tcPr>
            <w:tcW w:w="1692" w:type="pct"/>
            <w:tcBorders>
              <w:top w:val="single" w:sz="4" w:space="0" w:color="auto"/>
              <w:left w:val="single" w:sz="4" w:space="0" w:color="auto"/>
              <w:bottom w:val="single" w:sz="4" w:space="0" w:color="auto"/>
              <w:right w:val="single" w:sz="4" w:space="0" w:color="auto"/>
            </w:tcBorders>
            <w:vAlign w:val="center"/>
            <w:hideMark/>
          </w:tcPr>
          <w:p w14:paraId="317D0E97" w14:textId="77777777" w:rsidR="000D5AB3" w:rsidRDefault="000D5AB3">
            <w:pPr>
              <w:pStyle w:val="BodyText"/>
              <w:spacing w:before="40" w:after="40"/>
              <w:ind w:right="176"/>
              <w:jc w:val="both"/>
              <w:rPr>
                <w:color w:val="323E4F" w:themeColor="text2" w:themeShade="BF"/>
                <w:sz w:val="18"/>
                <w:szCs w:val="18"/>
              </w:rPr>
            </w:pPr>
            <w:r>
              <w:rPr>
                <w:color w:val="323E4F" w:themeColor="text2" w:themeShade="BF"/>
                <w:sz w:val="18"/>
                <w:szCs w:val="18"/>
              </w:rPr>
              <w:t>Instream IHI</w:t>
            </w:r>
          </w:p>
        </w:tc>
        <w:tc>
          <w:tcPr>
            <w:tcW w:w="1802" w:type="pct"/>
            <w:tcBorders>
              <w:top w:val="single" w:sz="4" w:space="0" w:color="auto"/>
              <w:left w:val="single" w:sz="4" w:space="0" w:color="auto"/>
              <w:bottom w:val="single" w:sz="4" w:space="0" w:color="auto"/>
              <w:right w:val="single" w:sz="4" w:space="0" w:color="auto"/>
            </w:tcBorders>
            <w:shd w:val="clear" w:color="auto" w:fill="92D050"/>
            <w:vAlign w:val="center"/>
            <w:hideMark/>
          </w:tcPr>
          <w:p w14:paraId="25A596EA" w14:textId="77777777" w:rsidR="000D5AB3" w:rsidRDefault="000D5AB3">
            <w:pPr>
              <w:pStyle w:val="BodyText"/>
              <w:spacing w:before="40" w:after="40"/>
              <w:ind w:right="176"/>
              <w:jc w:val="center"/>
              <w:rPr>
                <w:color w:val="323E4F" w:themeColor="text2" w:themeShade="BF"/>
                <w:sz w:val="18"/>
                <w:szCs w:val="18"/>
              </w:rPr>
            </w:pPr>
            <w:r>
              <w:rPr>
                <w:color w:val="323E4F" w:themeColor="text2" w:themeShade="BF"/>
                <w:sz w:val="18"/>
                <w:szCs w:val="18"/>
              </w:rPr>
              <w:t>C</w:t>
            </w:r>
          </w:p>
        </w:tc>
        <w:tc>
          <w:tcPr>
            <w:tcW w:w="1507" w:type="pct"/>
            <w:vMerge w:val="restart"/>
            <w:tcBorders>
              <w:top w:val="single" w:sz="4" w:space="0" w:color="auto"/>
              <w:left w:val="single" w:sz="4" w:space="0" w:color="auto"/>
              <w:bottom w:val="single" w:sz="4" w:space="0" w:color="auto"/>
              <w:right w:val="single" w:sz="4" w:space="0" w:color="auto"/>
            </w:tcBorders>
            <w:vAlign w:val="center"/>
          </w:tcPr>
          <w:p w14:paraId="5C9B639A" w14:textId="77777777" w:rsidR="000D5AB3" w:rsidRDefault="000D5AB3">
            <w:pPr>
              <w:pStyle w:val="BodyText"/>
              <w:spacing w:before="40" w:after="40"/>
              <w:ind w:right="176"/>
              <w:jc w:val="center"/>
              <w:rPr>
                <w:rFonts w:ascii="Arial Narrow" w:hAnsi="Arial Narrow" w:cstheme="minorHAnsi"/>
                <w:color w:val="323E4F" w:themeColor="text2" w:themeShade="BF"/>
              </w:rPr>
            </w:pPr>
          </w:p>
        </w:tc>
      </w:tr>
      <w:tr w:rsidR="000D5AB3" w14:paraId="4AC31673" w14:textId="77777777" w:rsidTr="000D5AB3">
        <w:trPr>
          <w:trHeight w:val="277"/>
        </w:trPr>
        <w:tc>
          <w:tcPr>
            <w:tcW w:w="1692" w:type="pct"/>
            <w:tcBorders>
              <w:top w:val="single" w:sz="4" w:space="0" w:color="auto"/>
              <w:left w:val="single" w:sz="4" w:space="0" w:color="auto"/>
              <w:bottom w:val="single" w:sz="4" w:space="0" w:color="auto"/>
              <w:right w:val="single" w:sz="4" w:space="0" w:color="auto"/>
            </w:tcBorders>
            <w:vAlign w:val="center"/>
            <w:hideMark/>
          </w:tcPr>
          <w:p w14:paraId="17E81FE9" w14:textId="77777777" w:rsidR="000D5AB3" w:rsidRDefault="000D5AB3">
            <w:pPr>
              <w:pStyle w:val="BodyText"/>
              <w:spacing w:before="40" w:after="40"/>
              <w:ind w:right="176"/>
              <w:jc w:val="both"/>
              <w:rPr>
                <w:color w:val="323E4F" w:themeColor="text2" w:themeShade="BF"/>
                <w:sz w:val="18"/>
                <w:szCs w:val="18"/>
              </w:rPr>
            </w:pPr>
            <w:r>
              <w:rPr>
                <w:color w:val="323E4F" w:themeColor="text2" w:themeShade="BF"/>
                <w:sz w:val="18"/>
                <w:szCs w:val="18"/>
              </w:rPr>
              <w:t>Riparian IHI</w:t>
            </w:r>
          </w:p>
        </w:tc>
        <w:tc>
          <w:tcPr>
            <w:tcW w:w="1802" w:type="pct"/>
            <w:tcBorders>
              <w:top w:val="single" w:sz="4" w:space="0" w:color="auto"/>
              <w:left w:val="single" w:sz="4" w:space="0" w:color="auto"/>
              <w:bottom w:val="single" w:sz="4" w:space="0" w:color="auto"/>
              <w:right w:val="single" w:sz="4" w:space="0" w:color="auto"/>
            </w:tcBorders>
            <w:shd w:val="clear" w:color="auto" w:fill="92D050"/>
            <w:vAlign w:val="center"/>
            <w:hideMark/>
          </w:tcPr>
          <w:p w14:paraId="3F1CE1A5" w14:textId="77777777" w:rsidR="000D5AB3" w:rsidRDefault="000D5AB3">
            <w:pPr>
              <w:pStyle w:val="BodyText"/>
              <w:spacing w:before="40" w:after="40"/>
              <w:ind w:right="176"/>
              <w:jc w:val="center"/>
              <w:rPr>
                <w:color w:val="323E4F" w:themeColor="text2" w:themeShade="BF"/>
                <w:sz w:val="18"/>
                <w:szCs w:val="18"/>
              </w:rPr>
            </w:pPr>
            <w:r>
              <w:rPr>
                <w:color w:val="323E4F" w:themeColor="text2" w:themeShade="BF"/>
                <w:sz w:val="18"/>
                <w:szCs w:val="18"/>
              </w:rPr>
              <w:t>C</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095307" w14:textId="77777777" w:rsidR="000D5AB3" w:rsidRDefault="000D5AB3">
            <w:pPr>
              <w:rPr>
                <w:rFonts w:ascii="Arial Narrow" w:eastAsia="Arial" w:hAnsi="Arial Narrow" w:cstheme="minorHAnsi"/>
                <w:color w:val="323E4F" w:themeColor="text2" w:themeShade="BF"/>
                <w:lang w:val="en-ZA" w:eastAsia="en-ZA" w:bidi="en-ZA"/>
              </w:rPr>
            </w:pPr>
          </w:p>
        </w:tc>
      </w:tr>
      <w:tr w:rsidR="000D5AB3" w14:paraId="5D48F70C" w14:textId="77777777" w:rsidTr="000D5AB3">
        <w:trPr>
          <w:trHeight w:val="277"/>
        </w:trPr>
        <w:tc>
          <w:tcPr>
            <w:tcW w:w="1692" w:type="pct"/>
            <w:tcBorders>
              <w:top w:val="single" w:sz="4" w:space="0" w:color="auto"/>
              <w:left w:val="single" w:sz="4" w:space="0" w:color="auto"/>
              <w:bottom w:val="single" w:sz="4" w:space="0" w:color="auto"/>
              <w:right w:val="single" w:sz="4" w:space="0" w:color="auto"/>
            </w:tcBorders>
            <w:vAlign w:val="center"/>
            <w:hideMark/>
          </w:tcPr>
          <w:p w14:paraId="39410AA0" w14:textId="77777777" w:rsidR="000D5AB3" w:rsidRDefault="000D5AB3">
            <w:pPr>
              <w:pStyle w:val="BodyText"/>
              <w:spacing w:before="40" w:after="40"/>
              <w:ind w:right="176"/>
              <w:jc w:val="both"/>
              <w:rPr>
                <w:b/>
                <w:bCs/>
                <w:color w:val="323E4F" w:themeColor="text2" w:themeShade="BF"/>
                <w:sz w:val="18"/>
                <w:szCs w:val="18"/>
              </w:rPr>
            </w:pPr>
            <w:r>
              <w:rPr>
                <w:b/>
                <w:bCs/>
                <w:color w:val="323E4F" w:themeColor="text2" w:themeShade="BF"/>
                <w:sz w:val="18"/>
                <w:szCs w:val="18"/>
              </w:rPr>
              <w:t>EIS</w:t>
            </w:r>
          </w:p>
        </w:tc>
        <w:tc>
          <w:tcPr>
            <w:tcW w:w="3308" w:type="pct"/>
            <w:gridSpan w:val="2"/>
            <w:tcBorders>
              <w:top w:val="single" w:sz="4" w:space="0" w:color="auto"/>
              <w:left w:val="single" w:sz="4" w:space="0" w:color="auto"/>
              <w:bottom w:val="single" w:sz="4" w:space="0" w:color="auto"/>
              <w:right w:val="single" w:sz="4" w:space="0" w:color="auto"/>
            </w:tcBorders>
            <w:vAlign w:val="center"/>
            <w:hideMark/>
          </w:tcPr>
          <w:p w14:paraId="0F417598" w14:textId="77777777" w:rsidR="000D5AB3" w:rsidRDefault="000D5AB3">
            <w:pPr>
              <w:pStyle w:val="BodyText"/>
              <w:spacing w:before="40" w:after="40"/>
              <w:ind w:right="176"/>
              <w:jc w:val="center"/>
              <w:rPr>
                <w:b/>
                <w:bCs/>
                <w:color w:val="323E4F" w:themeColor="text2" w:themeShade="BF"/>
                <w:sz w:val="18"/>
                <w:szCs w:val="18"/>
              </w:rPr>
            </w:pPr>
            <w:r>
              <w:rPr>
                <w:b/>
                <w:bCs/>
                <w:color w:val="323E4F" w:themeColor="text2" w:themeShade="BF"/>
                <w:sz w:val="18"/>
                <w:szCs w:val="18"/>
              </w:rPr>
              <w:t>Moderate</w:t>
            </w:r>
          </w:p>
        </w:tc>
      </w:tr>
    </w:tbl>
    <w:p w14:paraId="533A755A" w14:textId="77777777" w:rsidR="000D5AB3" w:rsidRDefault="000D5AB3" w:rsidP="000D5AB3">
      <w:pPr>
        <w:pStyle w:val="BodyText"/>
        <w:ind w:left="284" w:right="566"/>
        <w:jc w:val="both"/>
        <w:rPr>
          <w:color w:val="323E4F" w:themeColor="text2" w:themeShade="BF"/>
        </w:rPr>
      </w:pPr>
    </w:p>
    <w:p w14:paraId="04B4F06A" w14:textId="77777777" w:rsidR="000D5AB3" w:rsidRDefault="000D5AB3" w:rsidP="000D5AB3">
      <w:pPr>
        <w:pStyle w:val="BodyText"/>
        <w:ind w:left="284" w:right="566"/>
        <w:jc w:val="both"/>
        <w:rPr>
          <w:color w:val="323E4F" w:themeColor="text2" w:themeShade="BF"/>
        </w:rPr>
      </w:pPr>
      <w:r>
        <w:rPr>
          <w:color w:val="323E4F" w:themeColor="text2" w:themeShade="BF"/>
        </w:rPr>
        <w:t>The tables below provide an indication of the hydrological Resource Quality Objectives (RQOs) in terms of flow at biophysical nodes and Environmental Water Requirement (EWR) sites for the rivers in the study area. These summarised statistics are representative of the required flow regime in the river where the variability is dependent on the seasonal and temporal pattern of natural flow conditions. The mean monthly flows represent low flow requirements of a representative wet (February) and dry (September) month.  Percentage points on the monthly low flow frequency distribution continuum at the nodes are defined 90% (representative of drought conditions) and 60%.</w:t>
      </w:r>
      <w:bookmarkStart w:id="35" w:name="_Toc65495054"/>
    </w:p>
    <w:p w14:paraId="2C77C982" w14:textId="77777777" w:rsidR="000D5AB3" w:rsidRDefault="000D5AB3" w:rsidP="000D5AB3">
      <w:pPr>
        <w:pStyle w:val="BodyText"/>
        <w:ind w:left="284" w:right="566"/>
        <w:jc w:val="both"/>
        <w:rPr>
          <w:color w:val="323E4F" w:themeColor="text2" w:themeShade="BF"/>
        </w:rPr>
      </w:pPr>
    </w:p>
    <w:p w14:paraId="0A7A4025" w14:textId="77777777" w:rsidR="000D5AB3" w:rsidRDefault="000D5AB3" w:rsidP="000D5AB3">
      <w:pPr>
        <w:pStyle w:val="Caption"/>
        <w:ind w:right="566"/>
        <w:jc w:val="both"/>
        <w:rPr>
          <w:color w:val="323E4F" w:themeColor="text2" w:themeShade="BF"/>
        </w:rPr>
      </w:pPr>
      <w:bookmarkStart w:id="36" w:name="_Toc127273884"/>
      <w:r>
        <w:rPr>
          <w:color w:val="323E4F" w:themeColor="text2" w:themeShade="BF"/>
        </w:rPr>
        <w:t xml:space="preserve">Table </w:t>
      </w:r>
      <w:r>
        <w:fldChar w:fldCharType="begin"/>
      </w:r>
      <w:r>
        <w:rPr>
          <w:color w:val="323E4F" w:themeColor="text2" w:themeShade="BF"/>
        </w:rPr>
        <w:instrText xml:space="preserve"> STYLEREF 1 \s </w:instrText>
      </w:r>
      <w:r>
        <w:fldChar w:fldCharType="separate"/>
      </w:r>
      <w:r>
        <w:rPr>
          <w:noProof/>
          <w:color w:val="323E4F" w:themeColor="text2" w:themeShade="BF"/>
        </w:rPr>
        <w:t>3</w:t>
      </w:r>
      <w:r>
        <w:fldChar w:fldCharType="end"/>
      </w:r>
      <w:r>
        <w:rPr>
          <w:color w:val="323E4F" w:themeColor="text2" w:themeShade="BF"/>
        </w:rPr>
        <w:noBreakHyphen/>
      </w:r>
      <w:r>
        <w:fldChar w:fldCharType="begin"/>
      </w:r>
      <w:r>
        <w:rPr>
          <w:color w:val="323E4F" w:themeColor="text2" w:themeShade="BF"/>
        </w:rPr>
        <w:instrText xml:space="preserve"> SEQ Table \* ARABIC \s 1 </w:instrText>
      </w:r>
      <w:r>
        <w:fldChar w:fldCharType="separate"/>
      </w:r>
      <w:r>
        <w:rPr>
          <w:noProof/>
          <w:color w:val="323E4F" w:themeColor="text2" w:themeShade="BF"/>
        </w:rPr>
        <w:t>3</w:t>
      </w:r>
      <w:r>
        <w:fldChar w:fldCharType="end"/>
      </w:r>
      <w:r>
        <w:rPr>
          <w:color w:val="323E4F" w:themeColor="text2" w:themeShade="BF"/>
        </w:rPr>
        <w:t>:</w:t>
      </w:r>
      <w:r>
        <w:rPr>
          <w:color w:val="323E4F" w:themeColor="text2" w:themeShade="BF"/>
        </w:rPr>
        <w:tab/>
      </w:r>
      <w:r>
        <w:rPr>
          <w:color w:val="323E4F" w:themeColor="text2" w:themeShade="BF"/>
          <w:szCs w:val="20"/>
        </w:rPr>
        <w:t xml:space="preserve">Summary of key hydrological RQOs for the </w:t>
      </w:r>
      <w:proofErr w:type="spellStart"/>
      <w:r>
        <w:rPr>
          <w:color w:val="323E4F" w:themeColor="text2" w:themeShade="BF"/>
          <w:szCs w:val="20"/>
        </w:rPr>
        <w:t>uMkomazi</w:t>
      </w:r>
      <w:proofErr w:type="spellEnd"/>
      <w:r>
        <w:rPr>
          <w:color w:val="323E4F" w:themeColor="text2" w:themeShade="BF"/>
          <w:szCs w:val="20"/>
        </w:rPr>
        <w:t xml:space="preserve"> River reach (U10M-04746/ </w:t>
      </w:r>
      <w:proofErr w:type="spellStart"/>
      <w:r>
        <w:rPr>
          <w:color w:val="323E4F" w:themeColor="text2" w:themeShade="BF"/>
          <w:szCs w:val="20"/>
        </w:rPr>
        <w:t>Mk_I_EWR</w:t>
      </w:r>
      <w:proofErr w:type="spellEnd"/>
      <w:r>
        <w:rPr>
          <w:color w:val="323E4F" w:themeColor="text2" w:themeShade="BF"/>
          <w:szCs w:val="20"/>
        </w:rPr>
        <w:t>)</w:t>
      </w:r>
      <w:r>
        <w:rPr>
          <w:color w:val="323E4F" w:themeColor="text2" w:themeShade="BF"/>
        </w:rPr>
        <w:t xml:space="preserve"> (DWS, 2015)</w:t>
      </w:r>
      <w:bookmarkEnd w:id="35"/>
      <w:bookmarkEnd w:id="36"/>
    </w:p>
    <w:tbl>
      <w:tblPr>
        <w:tblStyle w:val="TableGrid"/>
        <w:tblW w:w="4581" w:type="pct"/>
        <w:tblInd w:w="279" w:type="dxa"/>
        <w:tblLook w:val="04A0" w:firstRow="1" w:lastRow="0" w:firstColumn="1" w:lastColumn="0" w:noHBand="0" w:noVBand="1"/>
      </w:tblPr>
      <w:tblGrid>
        <w:gridCol w:w="891"/>
        <w:gridCol w:w="1109"/>
        <w:gridCol w:w="1009"/>
        <w:gridCol w:w="1118"/>
        <w:gridCol w:w="1176"/>
        <w:gridCol w:w="1037"/>
        <w:gridCol w:w="1224"/>
        <w:gridCol w:w="1002"/>
      </w:tblGrid>
      <w:tr w:rsidR="000D5AB3" w14:paraId="46151868" w14:textId="77777777" w:rsidTr="000D5AB3">
        <w:trPr>
          <w:trHeight w:val="400"/>
        </w:trPr>
        <w:tc>
          <w:tcPr>
            <w:tcW w:w="476" w:type="pct"/>
            <w:vMerge w:val="restart"/>
            <w:tcBorders>
              <w:top w:val="single" w:sz="4" w:space="0" w:color="auto"/>
              <w:left w:val="single" w:sz="4" w:space="0" w:color="auto"/>
              <w:bottom w:val="single" w:sz="4" w:space="0" w:color="auto"/>
              <w:right w:val="single" w:sz="4" w:space="0" w:color="auto"/>
            </w:tcBorders>
            <w:shd w:val="clear" w:color="auto" w:fill="0070C0"/>
            <w:vAlign w:val="center"/>
            <w:hideMark/>
          </w:tcPr>
          <w:p w14:paraId="0EFB7C99" w14:textId="77777777" w:rsidR="000D5AB3" w:rsidRDefault="000D5AB3">
            <w:pPr>
              <w:pStyle w:val="BodyText"/>
              <w:spacing w:before="40" w:after="40"/>
              <w:ind w:right="173"/>
              <w:jc w:val="center"/>
              <w:rPr>
                <w:rFonts w:ascii="Arial Narrow" w:hAnsi="Arial Narrow" w:cstheme="minorHAnsi"/>
                <w:b/>
                <w:bCs/>
                <w:color w:val="FFFFFF" w:themeColor="background1"/>
              </w:rPr>
            </w:pPr>
            <w:r>
              <w:rPr>
                <w:rFonts w:ascii="Arial Narrow" w:hAnsi="Arial Narrow" w:cstheme="minorHAnsi"/>
                <w:b/>
                <w:bCs/>
                <w:color w:val="FFFFFF" w:themeColor="background1"/>
              </w:rPr>
              <w:t>Target EC</w:t>
            </w:r>
          </w:p>
        </w:tc>
        <w:tc>
          <w:tcPr>
            <w:tcW w:w="669" w:type="pct"/>
            <w:vMerge w:val="restart"/>
            <w:tcBorders>
              <w:top w:val="single" w:sz="4" w:space="0" w:color="auto"/>
              <w:left w:val="single" w:sz="4" w:space="0" w:color="auto"/>
              <w:bottom w:val="single" w:sz="4" w:space="0" w:color="auto"/>
              <w:right w:val="single" w:sz="4" w:space="0" w:color="auto"/>
            </w:tcBorders>
            <w:shd w:val="clear" w:color="auto" w:fill="0070C0"/>
            <w:vAlign w:val="center"/>
            <w:hideMark/>
          </w:tcPr>
          <w:p w14:paraId="60E7B30D" w14:textId="77777777" w:rsidR="000D5AB3" w:rsidRDefault="000D5AB3">
            <w:pPr>
              <w:pStyle w:val="BodyText"/>
              <w:spacing w:before="40" w:after="40"/>
              <w:ind w:right="173"/>
              <w:jc w:val="center"/>
              <w:rPr>
                <w:rFonts w:ascii="Arial Narrow" w:hAnsi="Arial Narrow" w:cstheme="minorHAnsi"/>
                <w:b/>
                <w:bCs/>
                <w:color w:val="FFFFFF" w:themeColor="background1"/>
              </w:rPr>
            </w:pPr>
            <w:r>
              <w:rPr>
                <w:rFonts w:ascii="Arial Narrow" w:hAnsi="Arial Narrow" w:cstheme="minorHAnsi"/>
                <w:b/>
                <w:bCs/>
                <w:color w:val="FFFFFF" w:themeColor="background1"/>
              </w:rPr>
              <w:t>nMAR1 (MCM)</w:t>
            </w:r>
          </w:p>
        </w:tc>
        <w:tc>
          <w:tcPr>
            <w:tcW w:w="539" w:type="pct"/>
            <w:vMerge w:val="restart"/>
            <w:tcBorders>
              <w:top w:val="single" w:sz="4" w:space="0" w:color="auto"/>
              <w:left w:val="single" w:sz="4" w:space="0" w:color="auto"/>
              <w:bottom w:val="single" w:sz="4" w:space="0" w:color="auto"/>
              <w:right w:val="single" w:sz="4" w:space="0" w:color="auto"/>
            </w:tcBorders>
            <w:shd w:val="clear" w:color="auto" w:fill="0070C0"/>
            <w:vAlign w:val="center"/>
            <w:hideMark/>
          </w:tcPr>
          <w:p w14:paraId="33CCDFC7" w14:textId="77777777" w:rsidR="000D5AB3" w:rsidRDefault="000D5AB3">
            <w:pPr>
              <w:pStyle w:val="BodyText"/>
              <w:spacing w:before="40" w:after="40"/>
              <w:ind w:right="173"/>
              <w:jc w:val="center"/>
              <w:rPr>
                <w:rFonts w:ascii="Arial Narrow" w:hAnsi="Arial Narrow" w:cstheme="minorHAnsi"/>
                <w:b/>
                <w:bCs/>
                <w:color w:val="FFFFFF" w:themeColor="background1"/>
              </w:rPr>
            </w:pPr>
            <w:r>
              <w:rPr>
                <w:rFonts w:ascii="Arial Narrow" w:hAnsi="Arial Narrow" w:cstheme="minorHAnsi"/>
                <w:b/>
                <w:bCs/>
                <w:color w:val="FFFFFF" w:themeColor="background1"/>
              </w:rPr>
              <w:t xml:space="preserve">Low flows (% </w:t>
            </w:r>
            <w:proofErr w:type="spellStart"/>
            <w:r>
              <w:rPr>
                <w:rFonts w:ascii="Arial Narrow" w:hAnsi="Arial Narrow" w:cstheme="minorHAnsi"/>
                <w:b/>
                <w:bCs/>
                <w:color w:val="FFFFFF" w:themeColor="background1"/>
              </w:rPr>
              <w:t>nMAR</w:t>
            </w:r>
            <w:proofErr w:type="spellEnd"/>
            <w:r>
              <w:rPr>
                <w:rFonts w:ascii="Arial Narrow" w:hAnsi="Arial Narrow" w:cstheme="minorHAnsi"/>
                <w:b/>
                <w:bCs/>
                <w:color w:val="FFFFFF" w:themeColor="background1"/>
              </w:rPr>
              <w:t>)2</w:t>
            </w:r>
          </w:p>
        </w:tc>
        <w:tc>
          <w:tcPr>
            <w:tcW w:w="638" w:type="pct"/>
            <w:vMerge w:val="restart"/>
            <w:tcBorders>
              <w:top w:val="single" w:sz="4" w:space="0" w:color="auto"/>
              <w:left w:val="single" w:sz="4" w:space="0" w:color="auto"/>
              <w:bottom w:val="single" w:sz="4" w:space="0" w:color="auto"/>
              <w:right w:val="single" w:sz="4" w:space="0" w:color="auto"/>
            </w:tcBorders>
            <w:shd w:val="clear" w:color="auto" w:fill="0070C0"/>
            <w:vAlign w:val="center"/>
            <w:hideMark/>
          </w:tcPr>
          <w:p w14:paraId="55B197E7" w14:textId="77777777" w:rsidR="000D5AB3" w:rsidRDefault="000D5AB3">
            <w:pPr>
              <w:pStyle w:val="BodyText"/>
              <w:spacing w:before="40" w:after="40"/>
              <w:ind w:right="173"/>
              <w:jc w:val="center"/>
              <w:rPr>
                <w:rFonts w:ascii="Arial Narrow" w:hAnsi="Arial Narrow" w:cstheme="minorHAnsi"/>
                <w:b/>
                <w:bCs/>
                <w:color w:val="FFFFFF" w:themeColor="background1"/>
              </w:rPr>
            </w:pPr>
            <w:r>
              <w:rPr>
                <w:rFonts w:ascii="Arial Narrow" w:hAnsi="Arial Narrow" w:cstheme="minorHAnsi"/>
                <w:b/>
                <w:bCs/>
                <w:color w:val="FFFFFF" w:themeColor="background1"/>
              </w:rPr>
              <w:t>Total flows (%</w:t>
            </w:r>
            <w:proofErr w:type="spellStart"/>
            <w:r>
              <w:rPr>
                <w:rFonts w:ascii="Arial Narrow" w:hAnsi="Arial Narrow" w:cstheme="minorHAnsi"/>
                <w:b/>
                <w:bCs/>
                <w:color w:val="FFFFFF" w:themeColor="background1"/>
              </w:rPr>
              <w:t>nMAR</w:t>
            </w:r>
            <w:proofErr w:type="spellEnd"/>
            <w:r>
              <w:rPr>
                <w:rFonts w:ascii="Arial Narrow" w:hAnsi="Arial Narrow" w:cstheme="minorHAnsi"/>
                <w:b/>
                <w:bCs/>
                <w:color w:val="FFFFFF" w:themeColor="background1"/>
              </w:rPr>
              <w:t>)</w:t>
            </w:r>
          </w:p>
        </w:tc>
        <w:tc>
          <w:tcPr>
            <w:tcW w:w="1335" w:type="pct"/>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91D651E" w14:textId="77777777" w:rsidR="000D5AB3" w:rsidRDefault="000D5AB3">
            <w:pPr>
              <w:pStyle w:val="BodyText"/>
              <w:spacing w:before="40" w:after="40"/>
              <w:ind w:right="173"/>
              <w:jc w:val="center"/>
              <w:rPr>
                <w:rFonts w:ascii="Arial Narrow" w:hAnsi="Arial Narrow" w:cstheme="minorHAnsi"/>
                <w:b/>
                <w:bCs/>
                <w:color w:val="FFFFFF" w:themeColor="background1"/>
              </w:rPr>
            </w:pPr>
            <w:r>
              <w:rPr>
                <w:rFonts w:ascii="Arial Narrow" w:hAnsi="Arial Narrow" w:cstheme="minorHAnsi"/>
                <w:b/>
                <w:bCs/>
                <w:color w:val="FFFFFF" w:themeColor="background1"/>
              </w:rPr>
              <w:t>Sept</w:t>
            </w:r>
          </w:p>
        </w:tc>
        <w:tc>
          <w:tcPr>
            <w:tcW w:w="1342" w:type="pct"/>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7BCEE77" w14:textId="77777777" w:rsidR="000D5AB3" w:rsidRDefault="000D5AB3">
            <w:pPr>
              <w:pStyle w:val="BodyText"/>
              <w:spacing w:before="40" w:after="40"/>
              <w:ind w:right="173"/>
              <w:jc w:val="center"/>
              <w:rPr>
                <w:rFonts w:ascii="Arial Narrow" w:hAnsi="Arial Narrow" w:cstheme="minorHAnsi"/>
                <w:b/>
                <w:bCs/>
                <w:color w:val="FFFFFF" w:themeColor="background1"/>
              </w:rPr>
            </w:pPr>
            <w:r>
              <w:rPr>
                <w:rFonts w:ascii="Arial Narrow" w:hAnsi="Arial Narrow" w:cstheme="minorHAnsi"/>
                <w:b/>
                <w:bCs/>
                <w:color w:val="FFFFFF" w:themeColor="background1"/>
              </w:rPr>
              <w:t>Feb</w:t>
            </w:r>
          </w:p>
        </w:tc>
      </w:tr>
      <w:tr w:rsidR="000D5AB3" w14:paraId="5A5071A8" w14:textId="77777777" w:rsidTr="000D5AB3">
        <w:trPr>
          <w:trHeight w:val="2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562B11" w14:textId="77777777" w:rsidR="000D5AB3" w:rsidRDefault="000D5AB3">
            <w:pPr>
              <w:rPr>
                <w:rFonts w:ascii="Arial Narrow" w:eastAsia="Arial" w:hAnsi="Arial Narrow" w:cstheme="minorHAnsi"/>
                <w:b/>
                <w:bCs/>
                <w:color w:val="FFFFFF" w:themeColor="background1"/>
                <w:lang w:val="en-ZA" w:eastAsia="en-ZA" w:bidi="en-Z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BF0A7C" w14:textId="77777777" w:rsidR="000D5AB3" w:rsidRDefault="000D5AB3">
            <w:pPr>
              <w:rPr>
                <w:rFonts w:ascii="Arial Narrow" w:eastAsia="Arial" w:hAnsi="Arial Narrow" w:cstheme="minorHAnsi"/>
                <w:b/>
                <w:bCs/>
                <w:color w:val="FFFFFF" w:themeColor="background1"/>
                <w:lang w:val="en-ZA" w:eastAsia="en-ZA" w:bidi="en-Z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0212AE" w14:textId="77777777" w:rsidR="000D5AB3" w:rsidRDefault="000D5AB3">
            <w:pPr>
              <w:rPr>
                <w:rFonts w:ascii="Arial Narrow" w:eastAsia="Arial" w:hAnsi="Arial Narrow" w:cstheme="minorHAnsi"/>
                <w:b/>
                <w:bCs/>
                <w:color w:val="FFFFFF" w:themeColor="background1"/>
                <w:lang w:val="en-ZA" w:eastAsia="en-ZA" w:bidi="en-Z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93A308" w14:textId="77777777" w:rsidR="000D5AB3" w:rsidRDefault="000D5AB3">
            <w:pPr>
              <w:rPr>
                <w:rFonts w:ascii="Arial Narrow" w:eastAsia="Arial" w:hAnsi="Arial Narrow" w:cstheme="minorHAnsi"/>
                <w:b/>
                <w:bCs/>
                <w:color w:val="FFFFFF" w:themeColor="background1"/>
                <w:lang w:val="en-ZA" w:eastAsia="en-ZA" w:bidi="en-ZA"/>
              </w:rPr>
            </w:pPr>
          </w:p>
        </w:tc>
        <w:tc>
          <w:tcPr>
            <w:tcW w:w="1335" w:type="pct"/>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EE253A1" w14:textId="77777777" w:rsidR="000D5AB3" w:rsidRDefault="000D5AB3">
            <w:pPr>
              <w:pStyle w:val="BodyText"/>
              <w:spacing w:before="40" w:after="40"/>
              <w:ind w:right="173"/>
              <w:jc w:val="center"/>
              <w:rPr>
                <w:rFonts w:ascii="Arial Narrow" w:hAnsi="Arial Narrow" w:cstheme="minorHAnsi"/>
                <w:color w:val="FFFFFF" w:themeColor="background1"/>
              </w:rPr>
            </w:pPr>
            <w:r>
              <w:rPr>
                <w:rFonts w:ascii="Arial Narrow" w:hAnsi="Arial Narrow" w:cstheme="minorHAnsi"/>
                <w:color w:val="FFFFFF" w:themeColor="background1"/>
              </w:rPr>
              <w:t>(m</w:t>
            </w:r>
            <w:r>
              <w:rPr>
                <w:rFonts w:ascii="Arial Narrow" w:hAnsi="Arial Narrow" w:cstheme="minorHAnsi"/>
                <w:color w:val="FFFFFF" w:themeColor="background1"/>
                <w:vertAlign w:val="superscript"/>
              </w:rPr>
              <w:t>2</w:t>
            </w:r>
            <w:r>
              <w:rPr>
                <w:rFonts w:ascii="Arial Narrow" w:hAnsi="Arial Narrow" w:cstheme="minorHAnsi"/>
                <w:color w:val="FFFFFF" w:themeColor="background1"/>
              </w:rPr>
              <w:t>/s)</w:t>
            </w:r>
          </w:p>
        </w:tc>
        <w:tc>
          <w:tcPr>
            <w:tcW w:w="1342" w:type="pct"/>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BAF2CA5" w14:textId="77777777" w:rsidR="000D5AB3" w:rsidRDefault="000D5AB3">
            <w:pPr>
              <w:pStyle w:val="BodyText"/>
              <w:spacing w:before="40" w:after="40"/>
              <w:ind w:right="173"/>
              <w:jc w:val="center"/>
              <w:rPr>
                <w:rFonts w:ascii="Arial Narrow" w:hAnsi="Arial Narrow" w:cstheme="minorHAnsi"/>
                <w:color w:val="FFFFFF" w:themeColor="background1"/>
              </w:rPr>
            </w:pPr>
            <w:r>
              <w:rPr>
                <w:rFonts w:ascii="Arial Narrow" w:hAnsi="Arial Narrow" w:cstheme="minorHAnsi"/>
                <w:color w:val="FFFFFF" w:themeColor="background1"/>
              </w:rPr>
              <w:t>(m</w:t>
            </w:r>
            <w:r>
              <w:rPr>
                <w:rFonts w:ascii="Arial Narrow" w:hAnsi="Arial Narrow" w:cstheme="minorHAnsi"/>
                <w:color w:val="FFFFFF" w:themeColor="background1"/>
                <w:vertAlign w:val="superscript"/>
              </w:rPr>
              <w:t>2</w:t>
            </w:r>
            <w:r>
              <w:rPr>
                <w:rFonts w:ascii="Arial Narrow" w:hAnsi="Arial Narrow" w:cstheme="minorHAnsi"/>
                <w:color w:val="FFFFFF" w:themeColor="background1"/>
              </w:rPr>
              <w:t>/s)</w:t>
            </w:r>
          </w:p>
        </w:tc>
      </w:tr>
      <w:tr w:rsidR="000D5AB3" w14:paraId="478A9C1C" w14:textId="77777777" w:rsidTr="000D5AB3">
        <w:trPr>
          <w:trHeight w:val="14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253151" w14:textId="77777777" w:rsidR="000D5AB3" w:rsidRDefault="000D5AB3">
            <w:pPr>
              <w:rPr>
                <w:rFonts w:ascii="Arial Narrow" w:eastAsia="Arial" w:hAnsi="Arial Narrow" w:cstheme="minorHAnsi"/>
                <w:b/>
                <w:bCs/>
                <w:color w:val="FFFFFF" w:themeColor="background1"/>
                <w:lang w:val="en-ZA" w:eastAsia="en-ZA" w:bidi="en-Z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E1D0DC" w14:textId="77777777" w:rsidR="000D5AB3" w:rsidRDefault="000D5AB3">
            <w:pPr>
              <w:rPr>
                <w:rFonts w:ascii="Arial Narrow" w:eastAsia="Arial" w:hAnsi="Arial Narrow" w:cstheme="minorHAnsi"/>
                <w:b/>
                <w:bCs/>
                <w:color w:val="FFFFFF" w:themeColor="background1"/>
                <w:lang w:val="en-ZA" w:eastAsia="en-ZA" w:bidi="en-Z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1658FF" w14:textId="77777777" w:rsidR="000D5AB3" w:rsidRDefault="000D5AB3">
            <w:pPr>
              <w:rPr>
                <w:rFonts w:ascii="Arial Narrow" w:eastAsia="Arial" w:hAnsi="Arial Narrow" w:cstheme="minorHAnsi"/>
                <w:b/>
                <w:bCs/>
                <w:color w:val="FFFFFF" w:themeColor="background1"/>
                <w:lang w:val="en-ZA" w:eastAsia="en-ZA" w:bidi="en-Z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60F6A4" w14:textId="77777777" w:rsidR="000D5AB3" w:rsidRDefault="000D5AB3">
            <w:pPr>
              <w:rPr>
                <w:rFonts w:ascii="Arial Narrow" w:eastAsia="Arial" w:hAnsi="Arial Narrow" w:cstheme="minorHAnsi"/>
                <w:b/>
                <w:bCs/>
                <w:color w:val="FFFFFF" w:themeColor="background1"/>
                <w:lang w:val="en-ZA" w:eastAsia="en-ZA" w:bidi="en-ZA"/>
              </w:rPr>
            </w:pPr>
          </w:p>
        </w:tc>
        <w:tc>
          <w:tcPr>
            <w:tcW w:w="70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4E2E0C5" w14:textId="77777777" w:rsidR="000D5AB3" w:rsidRDefault="000D5AB3">
            <w:pPr>
              <w:pStyle w:val="BodyText"/>
              <w:spacing w:before="40" w:after="40"/>
              <w:ind w:right="173"/>
              <w:jc w:val="center"/>
              <w:rPr>
                <w:rFonts w:ascii="Arial Narrow" w:hAnsi="Arial Narrow" w:cstheme="minorHAnsi"/>
                <w:color w:val="323E4F" w:themeColor="text2" w:themeShade="BF"/>
              </w:rPr>
            </w:pPr>
            <w:r>
              <w:rPr>
                <w:rFonts w:ascii="Arial Narrow" w:hAnsi="Arial Narrow" w:cstheme="minorHAnsi"/>
                <w:color w:val="323E4F" w:themeColor="text2" w:themeShade="BF"/>
              </w:rPr>
              <w:t>90%</w:t>
            </w:r>
          </w:p>
        </w:tc>
        <w:tc>
          <w:tcPr>
            <w:tcW w:w="62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5D4AF" w14:textId="77777777" w:rsidR="000D5AB3" w:rsidRDefault="000D5AB3">
            <w:pPr>
              <w:pStyle w:val="BodyText"/>
              <w:spacing w:before="40" w:after="40"/>
              <w:ind w:right="173"/>
              <w:jc w:val="center"/>
              <w:rPr>
                <w:rFonts w:ascii="Arial Narrow" w:hAnsi="Arial Narrow" w:cstheme="minorHAnsi"/>
                <w:color w:val="323E4F" w:themeColor="text2" w:themeShade="BF"/>
              </w:rPr>
            </w:pPr>
            <w:r>
              <w:rPr>
                <w:rFonts w:ascii="Arial Narrow" w:hAnsi="Arial Narrow" w:cstheme="minorHAnsi"/>
                <w:color w:val="323E4F" w:themeColor="text2" w:themeShade="BF"/>
              </w:rPr>
              <w:t>60%</w:t>
            </w:r>
          </w:p>
        </w:tc>
        <w:tc>
          <w:tcPr>
            <w:tcW w:w="736"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C4D25CD" w14:textId="77777777" w:rsidR="000D5AB3" w:rsidRDefault="000D5AB3">
            <w:pPr>
              <w:pStyle w:val="BodyText"/>
              <w:spacing w:before="40" w:after="40"/>
              <w:ind w:right="173"/>
              <w:jc w:val="center"/>
              <w:rPr>
                <w:rFonts w:ascii="Arial Narrow" w:hAnsi="Arial Narrow" w:cstheme="minorHAnsi"/>
                <w:color w:val="323E4F" w:themeColor="text2" w:themeShade="BF"/>
              </w:rPr>
            </w:pPr>
            <w:r>
              <w:rPr>
                <w:rFonts w:ascii="Arial Narrow" w:hAnsi="Arial Narrow" w:cstheme="minorHAnsi"/>
                <w:color w:val="323E4F" w:themeColor="text2" w:themeShade="BF"/>
              </w:rPr>
              <w:t>90%</w:t>
            </w:r>
          </w:p>
        </w:tc>
        <w:tc>
          <w:tcPr>
            <w:tcW w:w="606"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6AFF65A" w14:textId="77777777" w:rsidR="000D5AB3" w:rsidRDefault="000D5AB3">
            <w:pPr>
              <w:pStyle w:val="BodyText"/>
              <w:spacing w:before="40" w:after="40"/>
              <w:ind w:right="173"/>
              <w:jc w:val="center"/>
              <w:rPr>
                <w:rFonts w:ascii="Arial Narrow" w:hAnsi="Arial Narrow" w:cstheme="minorHAnsi"/>
                <w:color w:val="323E4F" w:themeColor="text2" w:themeShade="BF"/>
              </w:rPr>
            </w:pPr>
            <w:r>
              <w:rPr>
                <w:rFonts w:ascii="Arial Narrow" w:hAnsi="Arial Narrow" w:cstheme="minorHAnsi"/>
                <w:color w:val="323E4F" w:themeColor="text2" w:themeShade="BF"/>
              </w:rPr>
              <w:t>60%</w:t>
            </w:r>
          </w:p>
        </w:tc>
      </w:tr>
      <w:tr w:rsidR="000D5AB3" w14:paraId="77C67095" w14:textId="77777777" w:rsidTr="000D5AB3">
        <w:trPr>
          <w:trHeight w:val="400"/>
        </w:trPr>
        <w:tc>
          <w:tcPr>
            <w:tcW w:w="476" w:type="pct"/>
            <w:tcBorders>
              <w:top w:val="single" w:sz="4" w:space="0" w:color="auto"/>
              <w:left w:val="single" w:sz="4" w:space="0" w:color="auto"/>
              <w:bottom w:val="single" w:sz="4" w:space="0" w:color="auto"/>
              <w:right w:val="single" w:sz="4" w:space="0" w:color="auto"/>
            </w:tcBorders>
            <w:shd w:val="clear" w:color="auto" w:fill="92D050"/>
            <w:vAlign w:val="center"/>
            <w:hideMark/>
          </w:tcPr>
          <w:p w14:paraId="2B93A79A" w14:textId="77777777" w:rsidR="000D5AB3" w:rsidRDefault="000D5AB3">
            <w:pPr>
              <w:pStyle w:val="BodyText"/>
              <w:spacing w:before="40" w:after="40"/>
              <w:ind w:right="173"/>
              <w:jc w:val="center"/>
              <w:rPr>
                <w:rFonts w:ascii="Arial Narrow" w:hAnsi="Arial Narrow" w:cstheme="minorHAnsi"/>
                <w:color w:val="323E4F" w:themeColor="text2" w:themeShade="BF"/>
              </w:rPr>
            </w:pPr>
            <w:r>
              <w:rPr>
                <w:rFonts w:ascii="Arial Narrow" w:hAnsi="Arial Narrow" w:cstheme="minorHAnsi"/>
                <w:color w:val="323E4F" w:themeColor="text2" w:themeShade="BF"/>
              </w:rPr>
              <w:t>C</w:t>
            </w:r>
          </w:p>
        </w:tc>
        <w:tc>
          <w:tcPr>
            <w:tcW w:w="669" w:type="pct"/>
            <w:tcBorders>
              <w:top w:val="single" w:sz="4" w:space="0" w:color="auto"/>
              <w:left w:val="single" w:sz="4" w:space="0" w:color="auto"/>
              <w:bottom w:val="single" w:sz="4" w:space="0" w:color="auto"/>
              <w:right w:val="single" w:sz="4" w:space="0" w:color="auto"/>
            </w:tcBorders>
            <w:vAlign w:val="center"/>
            <w:hideMark/>
          </w:tcPr>
          <w:p w14:paraId="5A919915" w14:textId="77777777" w:rsidR="000D5AB3" w:rsidRDefault="000D5AB3">
            <w:pPr>
              <w:pStyle w:val="BodyText"/>
              <w:spacing w:before="40" w:after="40"/>
              <w:ind w:right="173"/>
              <w:jc w:val="center"/>
              <w:rPr>
                <w:rFonts w:ascii="Arial Narrow" w:hAnsi="Arial Narrow" w:cstheme="minorHAnsi"/>
                <w:color w:val="323E4F" w:themeColor="text2" w:themeShade="BF"/>
              </w:rPr>
            </w:pPr>
            <w:r>
              <w:rPr>
                <w:rFonts w:ascii="Arial Narrow" w:hAnsi="Arial Narrow" w:cstheme="minorHAnsi"/>
                <w:color w:val="323E4F" w:themeColor="text2" w:themeShade="BF"/>
              </w:rPr>
              <w:t>1068.6</w:t>
            </w:r>
          </w:p>
        </w:tc>
        <w:tc>
          <w:tcPr>
            <w:tcW w:w="539" w:type="pct"/>
            <w:tcBorders>
              <w:top w:val="single" w:sz="4" w:space="0" w:color="auto"/>
              <w:left w:val="single" w:sz="4" w:space="0" w:color="auto"/>
              <w:bottom w:val="single" w:sz="4" w:space="0" w:color="auto"/>
              <w:right w:val="single" w:sz="4" w:space="0" w:color="auto"/>
            </w:tcBorders>
            <w:vAlign w:val="center"/>
            <w:hideMark/>
          </w:tcPr>
          <w:p w14:paraId="1EAAA82D" w14:textId="77777777" w:rsidR="000D5AB3" w:rsidRDefault="000D5AB3">
            <w:pPr>
              <w:pStyle w:val="BodyText"/>
              <w:spacing w:before="40" w:after="40"/>
              <w:ind w:right="173"/>
              <w:jc w:val="center"/>
              <w:rPr>
                <w:rFonts w:ascii="Arial Narrow" w:hAnsi="Arial Narrow" w:cstheme="minorHAnsi"/>
                <w:color w:val="323E4F" w:themeColor="text2" w:themeShade="BF"/>
              </w:rPr>
            </w:pPr>
            <w:r>
              <w:rPr>
                <w:rFonts w:ascii="Arial Narrow" w:hAnsi="Arial Narrow" w:cstheme="minorHAnsi"/>
                <w:color w:val="323E4F" w:themeColor="text2" w:themeShade="BF"/>
              </w:rPr>
              <w:t>21.2</w:t>
            </w:r>
          </w:p>
        </w:tc>
        <w:tc>
          <w:tcPr>
            <w:tcW w:w="638" w:type="pct"/>
            <w:tcBorders>
              <w:top w:val="single" w:sz="4" w:space="0" w:color="auto"/>
              <w:left w:val="single" w:sz="4" w:space="0" w:color="auto"/>
              <w:bottom w:val="single" w:sz="4" w:space="0" w:color="auto"/>
              <w:right w:val="single" w:sz="4" w:space="0" w:color="auto"/>
            </w:tcBorders>
            <w:vAlign w:val="center"/>
            <w:hideMark/>
          </w:tcPr>
          <w:p w14:paraId="14028F42" w14:textId="77777777" w:rsidR="000D5AB3" w:rsidRDefault="000D5AB3">
            <w:pPr>
              <w:pStyle w:val="BodyText"/>
              <w:spacing w:before="40" w:after="40"/>
              <w:ind w:right="173"/>
              <w:jc w:val="center"/>
              <w:rPr>
                <w:rFonts w:ascii="Arial Narrow" w:hAnsi="Arial Narrow" w:cstheme="minorHAnsi"/>
                <w:color w:val="323E4F" w:themeColor="text2" w:themeShade="BF"/>
              </w:rPr>
            </w:pPr>
            <w:r>
              <w:rPr>
                <w:rFonts w:ascii="Arial Narrow" w:hAnsi="Arial Narrow" w:cstheme="minorHAnsi"/>
                <w:color w:val="323E4F" w:themeColor="text2" w:themeShade="BF"/>
              </w:rPr>
              <w:t>31.1</w:t>
            </w:r>
          </w:p>
        </w:tc>
        <w:tc>
          <w:tcPr>
            <w:tcW w:w="708" w:type="pct"/>
            <w:tcBorders>
              <w:top w:val="single" w:sz="4" w:space="0" w:color="auto"/>
              <w:left w:val="single" w:sz="4" w:space="0" w:color="auto"/>
              <w:bottom w:val="single" w:sz="4" w:space="0" w:color="auto"/>
              <w:right w:val="single" w:sz="4" w:space="0" w:color="auto"/>
            </w:tcBorders>
            <w:vAlign w:val="center"/>
            <w:hideMark/>
          </w:tcPr>
          <w:p w14:paraId="413E8056" w14:textId="77777777" w:rsidR="000D5AB3" w:rsidRDefault="000D5AB3">
            <w:pPr>
              <w:pStyle w:val="BodyText"/>
              <w:spacing w:before="40" w:after="40"/>
              <w:ind w:right="173"/>
              <w:jc w:val="center"/>
              <w:rPr>
                <w:rFonts w:ascii="Arial Narrow" w:hAnsi="Arial Narrow" w:cstheme="minorHAnsi"/>
                <w:color w:val="323E4F" w:themeColor="text2" w:themeShade="BF"/>
              </w:rPr>
            </w:pPr>
            <w:r>
              <w:rPr>
                <w:rFonts w:ascii="Arial Narrow" w:hAnsi="Arial Narrow" w:cstheme="minorHAnsi"/>
                <w:color w:val="323E4F" w:themeColor="text2" w:themeShade="BF"/>
              </w:rPr>
              <w:t>1.532</w:t>
            </w:r>
          </w:p>
        </w:tc>
        <w:tc>
          <w:tcPr>
            <w:tcW w:w="627" w:type="pct"/>
            <w:tcBorders>
              <w:top w:val="single" w:sz="4" w:space="0" w:color="auto"/>
              <w:left w:val="single" w:sz="4" w:space="0" w:color="auto"/>
              <w:bottom w:val="single" w:sz="4" w:space="0" w:color="auto"/>
              <w:right w:val="single" w:sz="4" w:space="0" w:color="auto"/>
            </w:tcBorders>
            <w:vAlign w:val="center"/>
            <w:hideMark/>
          </w:tcPr>
          <w:p w14:paraId="15CE4746" w14:textId="77777777" w:rsidR="000D5AB3" w:rsidRDefault="000D5AB3">
            <w:pPr>
              <w:pStyle w:val="BodyText"/>
              <w:spacing w:before="40" w:after="40"/>
              <w:ind w:right="173"/>
              <w:jc w:val="center"/>
              <w:rPr>
                <w:rFonts w:ascii="Arial Narrow" w:hAnsi="Arial Narrow" w:cstheme="minorHAnsi"/>
                <w:color w:val="323E4F" w:themeColor="text2" w:themeShade="BF"/>
              </w:rPr>
            </w:pPr>
            <w:r>
              <w:rPr>
                <w:rFonts w:ascii="Arial Narrow" w:hAnsi="Arial Narrow" w:cstheme="minorHAnsi"/>
                <w:color w:val="323E4F" w:themeColor="text2" w:themeShade="BF"/>
              </w:rPr>
              <w:t>2.203</w:t>
            </w:r>
          </w:p>
        </w:tc>
        <w:tc>
          <w:tcPr>
            <w:tcW w:w="736" w:type="pct"/>
            <w:tcBorders>
              <w:top w:val="single" w:sz="4" w:space="0" w:color="auto"/>
              <w:left w:val="single" w:sz="4" w:space="0" w:color="auto"/>
              <w:bottom w:val="single" w:sz="4" w:space="0" w:color="auto"/>
              <w:right w:val="single" w:sz="4" w:space="0" w:color="auto"/>
            </w:tcBorders>
            <w:vAlign w:val="center"/>
            <w:hideMark/>
          </w:tcPr>
          <w:p w14:paraId="25910EB7" w14:textId="77777777" w:rsidR="000D5AB3" w:rsidRDefault="000D5AB3">
            <w:pPr>
              <w:pStyle w:val="BodyText"/>
              <w:spacing w:before="40" w:after="40"/>
              <w:ind w:right="173"/>
              <w:jc w:val="center"/>
              <w:rPr>
                <w:rFonts w:ascii="Arial Narrow" w:hAnsi="Arial Narrow" w:cstheme="minorHAnsi"/>
                <w:color w:val="323E4F" w:themeColor="text2" w:themeShade="BF"/>
              </w:rPr>
            </w:pPr>
            <w:r>
              <w:rPr>
                <w:rFonts w:ascii="Arial Narrow" w:hAnsi="Arial Narrow" w:cstheme="minorHAnsi"/>
                <w:color w:val="323E4F" w:themeColor="text2" w:themeShade="BF"/>
              </w:rPr>
              <w:t>5.589</w:t>
            </w:r>
          </w:p>
        </w:tc>
        <w:tc>
          <w:tcPr>
            <w:tcW w:w="606" w:type="pct"/>
            <w:tcBorders>
              <w:top w:val="single" w:sz="4" w:space="0" w:color="auto"/>
              <w:left w:val="single" w:sz="4" w:space="0" w:color="auto"/>
              <w:bottom w:val="single" w:sz="4" w:space="0" w:color="auto"/>
              <w:right w:val="single" w:sz="4" w:space="0" w:color="auto"/>
            </w:tcBorders>
            <w:vAlign w:val="center"/>
            <w:hideMark/>
          </w:tcPr>
          <w:p w14:paraId="48EE447E" w14:textId="77777777" w:rsidR="000D5AB3" w:rsidRDefault="000D5AB3">
            <w:pPr>
              <w:pStyle w:val="BodyText"/>
              <w:spacing w:before="40" w:after="40"/>
              <w:ind w:right="173"/>
              <w:jc w:val="center"/>
              <w:rPr>
                <w:rFonts w:ascii="Arial Narrow" w:hAnsi="Arial Narrow" w:cstheme="minorHAnsi"/>
                <w:color w:val="323E4F" w:themeColor="text2" w:themeShade="BF"/>
              </w:rPr>
            </w:pPr>
            <w:r>
              <w:rPr>
                <w:rFonts w:ascii="Arial Narrow" w:hAnsi="Arial Narrow" w:cstheme="minorHAnsi"/>
                <w:color w:val="323E4F" w:themeColor="text2" w:themeShade="BF"/>
              </w:rPr>
              <w:t>7.668</w:t>
            </w:r>
          </w:p>
        </w:tc>
      </w:tr>
    </w:tbl>
    <w:p w14:paraId="12DA0A07" w14:textId="77777777" w:rsidR="000D5AB3" w:rsidRDefault="000D5AB3" w:rsidP="000D5AB3">
      <w:pPr>
        <w:pStyle w:val="TablesDoug"/>
        <w:spacing w:after="0"/>
        <w:rPr>
          <w:rFonts w:ascii="Arial Narrow" w:hAnsi="Arial Narrow"/>
          <w:sz w:val="20"/>
          <w:szCs w:val="20"/>
          <w:lang w:val="en-ZA"/>
        </w:rPr>
      </w:pPr>
      <w:bookmarkStart w:id="37" w:name="_Toc65495055"/>
    </w:p>
    <w:p w14:paraId="51BF78CC" w14:textId="77777777" w:rsidR="000D5AB3" w:rsidRDefault="000D5AB3" w:rsidP="000D5AB3">
      <w:pPr>
        <w:pStyle w:val="Caption"/>
        <w:ind w:right="566"/>
        <w:jc w:val="both"/>
        <w:rPr>
          <w:color w:val="323E4F" w:themeColor="text2" w:themeShade="BF"/>
        </w:rPr>
      </w:pPr>
      <w:bookmarkStart w:id="38" w:name="_Toc127273885"/>
      <w:r>
        <w:rPr>
          <w:color w:val="323E4F" w:themeColor="text2" w:themeShade="BF"/>
        </w:rPr>
        <w:t xml:space="preserve">Table </w:t>
      </w:r>
      <w:r>
        <w:fldChar w:fldCharType="begin"/>
      </w:r>
      <w:r>
        <w:rPr>
          <w:color w:val="323E4F" w:themeColor="text2" w:themeShade="BF"/>
        </w:rPr>
        <w:instrText xml:space="preserve"> STYLEREF 1 \s </w:instrText>
      </w:r>
      <w:r>
        <w:fldChar w:fldCharType="separate"/>
      </w:r>
      <w:r>
        <w:rPr>
          <w:noProof/>
          <w:color w:val="323E4F" w:themeColor="text2" w:themeShade="BF"/>
        </w:rPr>
        <w:t>3</w:t>
      </w:r>
      <w:r>
        <w:fldChar w:fldCharType="end"/>
      </w:r>
      <w:r>
        <w:rPr>
          <w:color w:val="323E4F" w:themeColor="text2" w:themeShade="BF"/>
        </w:rPr>
        <w:noBreakHyphen/>
      </w:r>
      <w:r>
        <w:fldChar w:fldCharType="begin"/>
      </w:r>
      <w:r>
        <w:rPr>
          <w:color w:val="323E4F" w:themeColor="text2" w:themeShade="BF"/>
        </w:rPr>
        <w:instrText xml:space="preserve"> SEQ Table \* ARABIC \s 1 </w:instrText>
      </w:r>
      <w:r>
        <w:fldChar w:fldCharType="separate"/>
      </w:r>
      <w:r>
        <w:rPr>
          <w:noProof/>
          <w:color w:val="323E4F" w:themeColor="text2" w:themeShade="BF"/>
        </w:rPr>
        <w:t>4</w:t>
      </w:r>
      <w:r>
        <w:fldChar w:fldCharType="end"/>
      </w:r>
      <w:r>
        <w:rPr>
          <w:color w:val="323E4F" w:themeColor="text2" w:themeShade="BF"/>
        </w:rPr>
        <w:t>:</w:t>
      </w:r>
      <w:r>
        <w:rPr>
          <w:color w:val="323E4F" w:themeColor="text2" w:themeShade="BF"/>
        </w:rPr>
        <w:tab/>
      </w:r>
      <w:r>
        <w:rPr>
          <w:color w:val="323E4F" w:themeColor="text2" w:themeShade="BF"/>
          <w:szCs w:val="20"/>
        </w:rPr>
        <w:t xml:space="preserve">Summary of key habitat, </w:t>
      </w:r>
      <w:proofErr w:type="gramStart"/>
      <w:r>
        <w:rPr>
          <w:color w:val="323E4F" w:themeColor="text2" w:themeShade="BF"/>
          <w:szCs w:val="20"/>
        </w:rPr>
        <w:t>biota</w:t>
      </w:r>
      <w:proofErr w:type="gramEnd"/>
      <w:r>
        <w:rPr>
          <w:color w:val="323E4F" w:themeColor="text2" w:themeShade="BF"/>
          <w:szCs w:val="20"/>
        </w:rPr>
        <w:t xml:space="preserve"> and water quality RQO’s (DWS, 2015).</w:t>
      </w:r>
      <w:bookmarkEnd w:id="37"/>
      <w:bookmarkEnd w:id="38"/>
    </w:p>
    <w:tbl>
      <w:tblPr>
        <w:tblStyle w:val="TableGrid"/>
        <w:tblW w:w="4581" w:type="pct"/>
        <w:tblInd w:w="279" w:type="dxa"/>
        <w:tblLook w:val="04A0" w:firstRow="1" w:lastRow="0" w:firstColumn="1" w:lastColumn="0" w:noHBand="0" w:noVBand="1"/>
      </w:tblPr>
      <w:tblGrid>
        <w:gridCol w:w="1350"/>
        <w:gridCol w:w="1184"/>
        <w:gridCol w:w="6032"/>
      </w:tblGrid>
      <w:tr w:rsidR="000D5AB3" w14:paraId="782317F4" w14:textId="77777777" w:rsidTr="000D5AB3">
        <w:tc>
          <w:tcPr>
            <w:tcW w:w="788"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398A042D" w14:textId="77777777" w:rsidR="000D5AB3" w:rsidRDefault="000D5AB3">
            <w:pPr>
              <w:pStyle w:val="BodyText"/>
              <w:spacing w:before="40" w:after="40"/>
              <w:rPr>
                <w:rFonts w:ascii="Arial Narrow" w:hAnsi="Arial Narrow" w:cstheme="minorHAnsi"/>
                <w:b/>
                <w:bCs/>
                <w:color w:val="FFFFFF" w:themeColor="background1"/>
              </w:rPr>
            </w:pPr>
            <w:r>
              <w:rPr>
                <w:rFonts w:ascii="Arial Narrow" w:hAnsi="Arial Narrow" w:cstheme="minorHAnsi"/>
                <w:b/>
                <w:bCs/>
                <w:color w:val="FFFFFF" w:themeColor="background1"/>
              </w:rPr>
              <w:t>Component</w:t>
            </w:r>
          </w:p>
        </w:tc>
        <w:tc>
          <w:tcPr>
            <w:tcW w:w="691"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7ECEF28F" w14:textId="77777777" w:rsidR="000D5AB3" w:rsidRDefault="000D5AB3">
            <w:pPr>
              <w:pStyle w:val="BodyText"/>
              <w:spacing w:before="40" w:after="40"/>
              <w:jc w:val="center"/>
              <w:rPr>
                <w:rFonts w:ascii="Arial Narrow" w:hAnsi="Arial Narrow" w:cstheme="minorHAnsi"/>
                <w:b/>
                <w:bCs/>
                <w:color w:val="FFFFFF" w:themeColor="background1"/>
              </w:rPr>
            </w:pPr>
            <w:r>
              <w:rPr>
                <w:rFonts w:ascii="Arial Narrow" w:hAnsi="Arial Narrow" w:cstheme="minorHAnsi"/>
                <w:b/>
                <w:bCs/>
                <w:color w:val="FFFFFF" w:themeColor="background1"/>
              </w:rPr>
              <w:t>PES / TEC</w:t>
            </w:r>
          </w:p>
        </w:tc>
        <w:tc>
          <w:tcPr>
            <w:tcW w:w="3521" w:type="pct"/>
            <w:tcBorders>
              <w:top w:val="single" w:sz="4" w:space="0" w:color="auto"/>
              <w:left w:val="single" w:sz="4" w:space="0" w:color="auto"/>
              <w:bottom w:val="single" w:sz="4" w:space="0" w:color="auto"/>
              <w:right w:val="single" w:sz="4" w:space="0" w:color="auto"/>
            </w:tcBorders>
            <w:shd w:val="clear" w:color="auto" w:fill="0070C0"/>
            <w:vAlign w:val="center"/>
            <w:hideMark/>
          </w:tcPr>
          <w:p w14:paraId="643C4B56" w14:textId="77777777" w:rsidR="000D5AB3" w:rsidRDefault="000D5AB3">
            <w:pPr>
              <w:pStyle w:val="BodyText"/>
              <w:spacing w:before="40" w:after="40"/>
              <w:jc w:val="center"/>
              <w:rPr>
                <w:rFonts w:ascii="Arial Narrow" w:hAnsi="Arial Narrow" w:cstheme="minorHAnsi"/>
                <w:b/>
                <w:bCs/>
                <w:color w:val="FFFFFF" w:themeColor="background1"/>
              </w:rPr>
            </w:pPr>
            <w:r>
              <w:rPr>
                <w:rFonts w:ascii="Arial Narrow" w:hAnsi="Arial Narrow" w:cstheme="minorHAnsi"/>
                <w:b/>
                <w:bCs/>
                <w:color w:val="FFFFFF" w:themeColor="background1"/>
              </w:rPr>
              <w:t>RQO’s: Resource Quality Objectives</w:t>
            </w:r>
          </w:p>
        </w:tc>
      </w:tr>
      <w:tr w:rsidR="000D5AB3" w14:paraId="71ACEEB1" w14:textId="77777777" w:rsidTr="000D5AB3">
        <w:tc>
          <w:tcPr>
            <w:tcW w:w="788" w:type="pct"/>
            <w:tcBorders>
              <w:top w:val="single" w:sz="4" w:space="0" w:color="auto"/>
              <w:left w:val="single" w:sz="4" w:space="0" w:color="auto"/>
              <w:bottom w:val="single" w:sz="4" w:space="0" w:color="auto"/>
              <w:right w:val="single" w:sz="4" w:space="0" w:color="auto"/>
            </w:tcBorders>
            <w:vAlign w:val="center"/>
            <w:hideMark/>
          </w:tcPr>
          <w:p w14:paraId="755AD330" w14:textId="77777777" w:rsidR="000D5AB3" w:rsidRDefault="000D5AB3">
            <w:pPr>
              <w:pStyle w:val="BodyText"/>
              <w:spacing w:before="40" w:after="40"/>
              <w:rPr>
                <w:color w:val="323E4F" w:themeColor="text2" w:themeShade="BF"/>
                <w:sz w:val="18"/>
                <w:szCs w:val="18"/>
              </w:rPr>
            </w:pPr>
            <w:r>
              <w:rPr>
                <w:color w:val="323E4F" w:themeColor="text2" w:themeShade="BF"/>
                <w:sz w:val="18"/>
                <w:szCs w:val="18"/>
              </w:rPr>
              <w:t>Fish</w:t>
            </w:r>
          </w:p>
        </w:tc>
        <w:tc>
          <w:tcPr>
            <w:tcW w:w="691" w:type="pct"/>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3864D9D7" w14:textId="77777777" w:rsidR="000D5AB3" w:rsidRDefault="000D5AB3">
            <w:pPr>
              <w:pStyle w:val="BodyText"/>
              <w:spacing w:before="40" w:after="40"/>
              <w:jc w:val="center"/>
              <w:rPr>
                <w:color w:val="323E4F" w:themeColor="text2" w:themeShade="BF"/>
                <w:sz w:val="18"/>
                <w:szCs w:val="18"/>
              </w:rPr>
            </w:pPr>
            <w:r>
              <w:rPr>
                <w:color w:val="323E4F" w:themeColor="text2" w:themeShade="BF"/>
                <w:sz w:val="18"/>
                <w:szCs w:val="18"/>
              </w:rPr>
              <w:t>B</w:t>
            </w:r>
          </w:p>
        </w:tc>
        <w:tc>
          <w:tcPr>
            <w:tcW w:w="3521" w:type="pct"/>
            <w:tcBorders>
              <w:top w:val="single" w:sz="4" w:space="0" w:color="auto"/>
              <w:left w:val="single" w:sz="4" w:space="0" w:color="auto"/>
              <w:bottom w:val="single" w:sz="4" w:space="0" w:color="auto"/>
              <w:right w:val="single" w:sz="4" w:space="0" w:color="auto"/>
            </w:tcBorders>
            <w:vAlign w:val="center"/>
            <w:hideMark/>
          </w:tcPr>
          <w:p w14:paraId="1005DB42" w14:textId="77777777" w:rsidR="000D5AB3" w:rsidRDefault="000D5AB3">
            <w:pPr>
              <w:pStyle w:val="BodyText"/>
              <w:widowControl/>
              <w:numPr>
                <w:ilvl w:val="0"/>
                <w:numId w:val="26"/>
              </w:numPr>
              <w:autoSpaceDE/>
              <w:spacing w:before="40" w:after="40"/>
              <w:jc w:val="both"/>
              <w:rPr>
                <w:color w:val="323E4F" w:themeColor="text2" w:themeShade="BF"/>
                <w:sz w:val="18"/>
                <w:szCs w:val="18"/>
              </w:rPr>
            </w:pPr>
            <w:r>
              <w:rPr>
                <w:color w:val="323E4F" w:themeColor="text2" w:themeShade="BF"/>
                <w:sz w:val="18"/>
                <w:szCs w:val="18"/>
              </w:rPr>
              <w:t xml:space="preserve">Maintain the target EC (&gt;82%), </w:t>
            </w:r>
            <w:proofErr w:type="gramStart"/>
            <w:r>
              <w:rPr>
                <w:color w:val="323E4F" w:themeColor="text2" w:themeShade="BF"/>
                <w:sz w:val="18"/>
                <w:szCs w:val="18"/>
              </w:rPr>
              <w:t>i.e.</w:t>
            </w:r>
            <w:proofErr w:type="gramEnd"/>
            <w:r>
              <w:rPr>
                <w:color w:val="323E4F" w:themeColor="text2" w:themeShade="BF"/>
                <w:sz w:val="18"/>
                <w:szCs w:val="18"/>
              </w:rPr>
              <w:t xml:space="preserve"> 23 indigenous species.  </w:t>
            </w:r>
          </w:p>
          <w:p w14:paraId="4BB937C3" w14:textId="77777777" w:rsidR="000D5AB3" w:rsidRDefault="000D5AB3">
            <w:pPr>
              <w:pStyle w:val="BodyText"/>
              <w:widowControl/>
              <w:numPr>
                <w:ilvl w:val="0"/>
                <w:numId w:val="26"/>
              </w:numPr>
              <w:autoSpaceDE/>
              <w:spacing w:before="40" w:after="40"/>
              <w:jc w:val="both"/>
              <w:rPr>
                <w:color w:val="323E4F" w:themeColor="text2" w:themeShade="BF"/>
                <w:sz w:val="18"/>
                <w:szCs w:val="18"/>
              </w:rPr>
            </w:pPr>
            <w:r>
              <w:rPr>
                <w:color w:val="323E4F" w:themeColor="text2" w:themeShade="BF"/>
                <w:sz w:val="18"/>
                <w:szCs w:val="18"/>
              </w:rPr>
              <w:t xml:space="preserve">Primary indicator fish species is the semi-rheophilic </w:t>
            </w:r>
            <w:proofErr w:type="spellStart"/>
            <w:r>
              <w:rPr>
                <w:i/>
                <w:iCs/>
                <w:color w:val="323E4F" w:themeColor="text2" w:themeShade="BF"/>
                <w:sz w:val="18"/>
                <w:szCs w:val="18"/>
              </w:rPr>
              <w:t>Barbus</w:t>
            </w:r>
            <w:proofErr w:type="spellEnd"/>
            <w:r>
              <w:rPr>
                <w:i/>
                <w:iCs/>
                <w:color w:val="323E4F" w:themeColor="text2" w:themeShade="BF"/>
                <w:sz w:val="18"/>
                <w:szCs w:val="18"/>
              </w:rPr>
              <w:t xml:space="preserve"> </w:t>
            </w:r>
            <w:proofErr w:type="spellStart"/>
            <w:r>
              <w:rPr>
                <w:i/>
                <w:iCs/>
                <w:color w:val="323E4F" w:themeColor="text2" w:themeShade="BF"/>
                <w:sz w:val="18"/>
                <w:szCs w:val="18"/>
              </w:rPr>
              <w:t>natalensis</w:t>
            </w:r>
            <w:proofErr w:type="spellEnd"/>
            <w:r>
              <w:rPr>
                <w:i/>
                <w:iCs/>
                <w:color w:val="323E4F" w:themeColor="text2" w:themeShade="BF"/>
                <w:sz w:val="18"/>
                <w:szCs w:val="18"/>
              </w:rPr>
              <w:t xml:space="preserve"> </w:t>
            </w:r>
            <w:r>
              <w:rPr>
                <w:color w:val="323E4F" w:themeColor="text2" w:themeShade="BF"/>
                <w:sz w:val="18"/>
                <w:szCs w:val="18"/>
              </w:rPr>
              <w:t xml:space="preserve">(KwaZulu-Natal Yellowfish).  </w:t>
            </w:r>
          </w:p>
          <w:p w14:paraId="1B9D03F1" w14:textId="77777777" w:rsidR="000D5AB3" w:rsidRDefault="000D5AB3">
            <w:pPr>
              <w:pStyle w:val="BodyText"/>
              <w:widowControl/>
              <w:numPr>
                <w:ilvl w:val="0"/>
                <w:numId w:val="26"/>
              </w:numPr>
              <w:autoSpaceDE/>
              <w:spacing w:before="40" w:after="40"/>
              <w:jc w:val="both"/>
              <w:rPr>
                <w:color w:val="323E4F" w:themeColor="text2" w:themeShade="BF"/>
                <w:sz w:val="18"/>
                <w:szCs w:val="18"/>
              </w:rPr>
            </w:pPr>
            <w:r>
              <w:rPr>
                <w:color w:val="323E4F" w:themeColor="text2" w:themeShade="BF"/>
                <w:sz w:val="18"/>
                <w:szCs w:val="18"/>
              </w:rPr>
              <w:t xml:space="preserve">The abundance and FROC (frequency of occurrence) of especially </w:t>
            </w:r>
            <w:r>
              <w:rPr>
                <w:i/>
                <w:iCs/>
                <w:color w:val="323E4F" w:themeColor="text2" w:themeShade="BF"/>
                <w:sz w:val="18"/>
                <w:szCs w:val="18"/>
              </w:rPr>
              <w:t xml:space="preserve">B. </w:t>
            </w:r>
            <w:proofErr w:type="spellStart"/>
            <w:r>
              <w:rPr>
                <w:i/>
                <w:iCs/>
                <w:color w:val="323E4F" w:themeColor="text2" w:themeShade="BF"/>
                <w:sz w:val="18"/>
                <w:szCs w:val="18"/>
              </w:rPr>
              <w:t>natalensis</w:t>
            </w:r>
            <w:proofErr w:type="spellEnd"/>
            <w:r>
              <w:rPr>
                <w:color w:val="323E4F" w:themeColor="text2" w:themeShade="BF"/>
                <w:sz w:val="18"/>
                <w:szCs w:val="18"/>
              </w:rPr>
              <w:t xml:space="preserve"> will decrease and result in the drop to a ‘B’/’C’ PES for Sc 21(possible future dam scenario).</w:t>
            </w:r>
          </w:p>
        </w:tc>
      </w:tr>
      <w:tr w:rsidR="000D5AB3" w14:paraId="0C12C00C" w14:textId="77777777" w:rsidTr="000D5AB3">
        <w:tc>
          <w:tcPr>
            <w:tcW w:w="788" w:type="pct"/>
            <w:tcBorders>
              <w:top w:val="single" w:sz="4" w:space="0" w:color="auto"/>
              <w:left w:val="single" w:sz="4" w:space="0" w:color="auto"/>
              <w:bottom w:val="single" w:sz="4" w:space="0" w:color="auto"/>
              <w:right w:val="single" w:sz="4" w:space="0" w:color="auto"/>
            </w:tcBorders>
            <w:vAlign w:val="center"/>
            <w:hideMark/>
          </w:tcPr>
          <w:p w14:paraId="124DFAB5" w14:textId="77777777" w:rsidR="000D5AB3" w:rsidRDefault="000D5AB3">
            <w:pPr>
              <w:pStyle w:val="BodyText"/>
              <w:spacing w:before="40" w:after="40"/>
              <w:rPr>
                <w:color w:val="323E4F" w:themeColor="text2" w:themeShade="BF"/>
                <w:sz w:val="18"/>
                <w:szCs w:val="18"/>
              </w:rPr>
            </w:pPr>
            <w:r>
              <w:rPr>
                <w:color w:val="323E4F" w:themeColor="text2" w:themeShade="BF"/>
                <w:sz w:val="18"/>
                <w:szCs w:val="18"/>
              </w:rPr>
              <w:t>Invertebrates</w:t>
            </w:r>
          </w:p>
        </w:tc>
        <w:tc>
          <w:tcPr>
            <w:tcW w:w="691" w:type="pct"/>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hideMark/>
          </w:tcPr>
          <w:p w14:paraId="5497B5B7" w14:textId="77777777" w:rsidR="000D5AB3" w:rsidRDefault="000D5AB3">
            <w:pPr>
              <w:pStyle w:val="BodyText"/>
              <w:spacing w:before="40" w:after="40"/>
              <w:jc w:val="center"/>
              <w:rPr>
                <w:color w:val="323E4F" w:themeColor="text2" w:themeShade="BF"/>
                <w:sz w:val="18"/>
                <w:szCs w:val="18"/>
              </w:rPr>
            </w:pPr>
            <w:r>
              <w:rPr>
                <w:color w:val="323E4F" w:themeColor="text2" w:themeShade="BF"/>
                <w:sz w:val="18"/>
                <w:szCs w:val="18"/>
              </w:rPr>
              <w:t>B</w:t>
            </w:r>
          </w:p>
        </w:tc>
        <w:tc>
          <w:tcPr>
            <w:tcW w:w="3521" w:type="pct"/>
            <w:tcBorders>
              <w:top w:val="single" w:sz="4" w:space="0" w:color="auto"/>
              <w:left w:val="single" w:sz="4" w:space="0" w:color="auto"/>
              <w:bottom w:val="single" w:sz="4" w:space="0" w:color="auto"/>
              <w:right w:val="single" w:sz="4" w:space="0" w:color="auto"/>
            </w:tcBorders>
            <w:vAlign w:val="center"/>
            <w:hideMark/>
          </w:tcPr>
          <w:p w14:paraId="5B22FDA7" w14:textId="77777777" w:rsidR="000D5AB3" w:rsidRDefault="000D5AB3">
            <w:pPr>
              <w:pStyle w:val="BodyText"/>
              <w:widowControl/>
              <w:numPr>
                <w:ilvl w:val="0"/>
                <w:numId w:val="26"/>
              </w:numPr>
              <w:autoSpaceDE/>
              <w:spacing w:before="40" w:after="40"/>
              <w:jc w:val="both"/>
              <w:rPr>
                <w:color w:val="323E4F" w:themeColor="text2" w:themeShade="BF"/>
                <w:sz w:val="18"/>
                <w:szCs w:val="18"/>
              </w:rPr>
            </w:pPr>
            <w:r>
              <w:rPr>
                <w:color w:val="323E4F" w:themeColor="text2" w:themeShade="BF"/>
                <w:sz w:val="18"/>
                <w:szCs w:val="18"/>
              </w:rPr>
              <w:t xml:space="preserve">Maintain the target EC (&gt;82%).  </w:t>
            </w:r>
          </w:p>
          <w:p w14:paraId="6869D724" w14:textId="77777777" w:rsidR="000D5AB3" w:rsidRDefault="000D5AB3">
            <w:pPr>
              <w:pStyle w:val="BodyText"/>
              <w:widowControl/>
              <w:numPr>
                <w:ilvl w:val="0"/>
                <w:numId w:val="26"/>
              </w:numPr>
              <w:autoSpaceDE/>
              <w:spacing w:before="40" w:after="40"/>
              <w:jc w:val="both"/>
              <w:rPr>
                <w:color w:val="323E4F" w:themeColor="text2" w:themeShade="BF"/>
                <w:sz w:val="18"/>
                <w:szCs w:val="18"/>
              </w:rPr>
            </w:pPr>
            <w:r>
              <w:rPr>
                <w:color w:val="323E4F" w:themeColor="text2" w:themeShade="BF"/>
                <w:sz w:val="18"/>
                <w:szCs w:val="18"/>
              </w:rPr>
              <w:t xml:space="preserve">Community should be representative of a large lowland river assemblage with perennial flows.  </w:t>
            </w:r>
          </w:p>
          <w:p w14:paraId="3F6F7A5D" w14:textId="77777777" w:rsidR="000D5AB3" w:rsidRDefault="000D5AB3">
            <w:pPr>
              <w:pStyle w:val="BodyText"/>
              <w:widowControl/>
              <w:numPr>
                <w:ilvl w:val="0"/>
                <w:numId w:val="26"/>
              </w:numPr>
              <w:autoSpaceDE/>
              <w:spacing w:before="40" w:after="40"/>
              <w:jc w:val="both"/>
              <w:rPr>
                <w:color w:val="323E4F" w:themeColor="text2" w:themeShade="BF"/>
                <w:sz w:val="18"/>
                <w:szCs w:val="18"/>
              </w:rPr>
            </w:pPr>
            <w:r>
              <w:rPr>
                <w:color w:val="323E4F" w:themeColor="text2" w:themeShade="BF"/>
                <w:sz w:val="18"/>
                <w:szCs w:val="18"/>
              </w:rPr>
              <w:t xml:space="preserve">Maintain dominant alluvial run habitats with good SIC controls. </w:t>
            </w:r>
          </w:p>
          <w:p w14:paraId="32B6060C" w14:textId="77777777" w:rsidR="000D5AB3" w:rsidRDefault="000D5AB3">
            <w:pPr>
              <w:pStyle w:val="BodyText"/>
              <w:widowControl/>
              <w:numPr>
                <w:ilvl w:val="0"/>
                <w:numId w:val="26"/>
              </w:numPr>
              <w:autoSpaceDE/>
              <w:spacing w:before="40" w:after="40"/>
              <w:jc w:val="both"/>
              <w:rPr>
                <w:color w:val="323E4F" w:themeColor="text2" w:themeShade="BF"/>
                <w:sz w:val="18"/>
                <w:szCs w:val="18"/>
              </w:rPr>
            </w:pPr>
            <w:r>
              <w:rPr>
                <w:color w:val="323E4F" w:themeColor="text2" w:themeShade="BF"/>
                <w:sz w:val="18"/>
                <w:szCs w:val="18"/>
              </w:rPr>
              <w:t>The marginal vegetation habitat may become reduced during Sc 21 (possible future dam scenario) therefore the drop to a ‘B’/’C’ PES.</w:t>
            </w:r>
          </w:p>
        </w:tc>
      </w:tr>
      <w:tr w:rsidR="000D5AB3" w14:paraId="78D58E62" w14:textId="77777777" w:rsidTr="000D5AB3">
        <w:tc>
          <w:tcPr>
            <w:tcW w:w="788" w:type="pct"/>
            <w:tcBorders>
              <w:top w:val="single" w:sz="4" w:space="0" w:color="auto"/>
              <w:left w:val="single" w:sz="4" w:space="0" w:color="auto"/>
              <w:bottom w:val="single" w:sz="4" w:space="0" w:color="auto"/>
              <w:right w:val="single" w:sz="4" w:space="0" w:color="auto"/>
            </w:tcBorders>
            <w:vAlign w:val="center"/>
            <w:hideMark/>
          </w:tcPr>
          <w:p w14:paraId="465E3CFD" w14:textId="77777777" w:rsidR="000D5AB3" w:rsidRDefault="000D5AB3">
            <w:pPr>
              <w:pStyle w:val="BodyText"/>
              <w:spacing w:before="40" w:after="40"/>
              <w:rPr>
                <w:color w:val="323E4F" w:themeColor="text2" w:themeShade="BF"/>
                <w:sz w:val="18"/>
                <w:szCs w:val="18"/>
              </w:rPr>
            </w:pPr>
            <w:r>
              <w:rPr>
                <w:color w:val="323E4F" w:themeColor="text2" w:themeShade="BF"/>
                <w:sz w:val="18"/>
                <w:szCs w:val="18"/>
              </w:rPr>
              <w:t>Riparian Vegetation</w:t>
            </w:r>
          </w:p>
        </w:tc>
        <w:tc>
          <w:tcPr>
            <w:tcW w:w="691"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28568B55" w14:textId="77777777" w:rsidR="000D5AB3" w:rsidRDefault="000D5AB3">
            <w:pPr>
              <w:pStyle w:val="BodyText"/>
              <w:spacing w:before="40" w:after="40"/>
              <w:jc w:val="center"/>
              <w:rPr>
                <w:color w:val="323E4F" w:themeColor="text2" w:themeShade="BF"/>
                <w:sz w:val="18"/>
                <w:szCs w:val="18"/>
              </w:rPr>
            </w:pPr>
            <w:r>
              <w:rPr>
                <w:color w:val="323E4F" w:themeColor="text2" w:themeShade="BF"/>
                <w:sz w:val="18"/>
                <w:szCs w:val="18"/>
              </w:rPr>
              <w:t>D</w:t>
            </w:r>
          </w:p>
        </w:tc>
        <w:tc>
          <w:tcPr>
            <w:tcW w:w="3521" w:type="pct"/>
            <w:tcBorders>
              <w:top w:val="single" w:sz="4" w:space="0" w:color="auto"/>
              <w:left w:val="single" w:sz="4" w:space="0" w:color="auto"/>
              <w:bottom w:val="single" w:sz="4" w:space="0" w:color="auto"/>
              <w:right w:val="single" w:sz="4" w:space="0" w:color="auto"/>
            </w:tcBorders>
            <w:vAlign w:val="center"/>
            <w:hideMark/>
          </w:tcPr>
          <w:p w14:paraId="1B2BF20E" w14:textId="77777777" w:rsidR="000D5AB3" w:rsidRDefault="000D5AB3">
            <w:pPr>
              <w:pStyle w:val="BodyText"/>
              <w:widowControl/>
              <w:numPr>
                <w:ilvl w:val="0"/>
                <w:numId w:val="26"/>
              </w:numPr>
              <w:autoSpaceDE/>
              <w:spacing w:before="40" w:after="40"/>
              <w:jc w:val="both"/>
              <w:rPr>
                <w:color w:val="323E4F" w:themeColor="text2" w:themeShade="BF"/>
                <w:sz w:val="18"/>
                <w:szCs w:val="18"/>
              </w:rPr>
            </w:pPr>
            <w:r>
              <w:rPr>
                <w:color w:val="323E4F" w:themeColor="text2" w:themeShade="BF"/>
                <w:sz w:val="18"/>
                <w:szCs w:val="18"/>
              </w:rPr>
              <w:t xml:space="preserve">Maintain the target EC (&gt;42%).  </w:t>
            </w:r>
          </w:p>
          <w:p w14:paraId="7FF1C312" w14:textId="77777777" w:rsidR="000D5AB3" w:rsidRDefault="000D5AB3">
            <w:pPr>
              <w:pStyle w:val="BodyText"/>
              <w:widowControl/>
              <w:numPr>
                <w:ilvl w:val="0"/>
                <w:numId w:val="26"/>
              </w:numPr>
              <w:autoSpaceDE/>
              <w:spacing w:before="40" w:after="40"/>
              <w:jc w:val="both"/>
              <w:rPr>
                <w:color w:val="323E4F" w:themeColor="text2" w:themeShade="BF"/>
                <w:sz w:val="18"/>
                <w:szCs w:val="18"/>
              </w:rPr>
            </w:pPr>
            <w:r>
              <w:rPr>
                <w:color w:val="323E4F" w:themeColor="text2" w:themeShade="BF"/>
                <w:sz w:val="18"/>
                <w:szCs w:val="18"/>
              </w:rPr>
              <w:t>Perennial invasive alien species must be kept in check to maintain the ‘D’ PES.</w:t>
            </w:r>
          </w:p>
        </w:tc>
      </w:tr>
      <w:tr w:rsidR="000D5AB3" w14:paraId="0E5B7FA8" w14:textId="77777777" w:rsidTr="000D5AB3">
        <w:tc>
          <w:tcPr>
            <w:tcW w:w="788" w:type="pct"/>
            <w:tcBorders>
              <w:top w:val="single" w:sz="4" w:space="0" w:color="auto"/>
              <w:left w:val="single" w:sz="4" w:space="0" w:color="auto"/>
              <w:bottom w:val="single" w:sz="4" w:space="0" w:color="auto"/>
              <w:right w:val="single" w:sz="4" w:space="0" w:color="auto"/>
            </w:tcBorders>
            <w:vAlign w:val="center"/>
            <w:hideMark/>
          </w:tcPr>
          <w:p w14:paraId="33C447C1" w14:textId="77777777" w:rsidR="000D5AB3" w:rsidRDefault="000D5AB3">
            <w:pPr>
              <w:pStyle w:val="BodyText"/>
              <w:spacing w:before="40" w:after="40"/>
              <w:rPr>
                <w:color w:val="323E4F" w:themeColor="text2" w:themeShade="BF"/>
                <w:sz w:val="18"/>
                <w:szCs w:val="18"/>
              </w:rPr>
            </w:pPr>
            <w:r>
              <w:rPr>
                <w:color w:val="323E4F" w:themeColor="text2" w:themeShade="BF"/>
                <w:sz w:val="18"/>
                <w:szCs w:val="18"/>
              </w:rPr>
              <w:t>Water Quality</w:t>
            </w:r>
          </w:p>
        </w:tc>
        <w:tc>
          <w:tcPr>
            <w:tcW w:w="691"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C017E39" w14:textId="77777777" w:rsidR="000D5AB3" w:rsidRDefault="000D5AB3">
            <w:pPr>
              <w:pStyle w:val="BodyText"/>
              <w:spacing w:before="40" w:after="40"/>
              <w:jc w:val="center"/>
              <w:rPr>
                <w:color w:val="323E4F" w:themeColor="text2" w:themeShade="BF"/>
                <w:sz w:val="18"/>
                <w:szCs w:val="18"/>
              </w:rPr>
            </w:pPr>
            <w:r>
              <w:rPr>
                <w:color w:val="323E4F" w:themeColor="text2" w:themeShade="BF"/>
                <w:sz w:val="18"/>
                <w:szCs w:val="18"/>
              </w:rPr>
              <w:t>A/B</w:t>
            </w:r>
          </w:p>
        </w:tc>
        <w:tc>
          <w:tcPr>
            <w:tcW w:w="3521" w:type="pct"/>
            <w:tcBorders>
              <w:top w:val="single" w:sz="4" w:space="0" w:color="auto"/>
              <w:left w:val="single" w:sz="4" w:space="0" w:color="auto"/>
              <w:bottom w:val="single" w:sz="4" w:space="0" w:color="auto"/>
              <w:right w:val="single" w:sz="4" w:space="0" w:color="auto"/>
            </w:tcBorders>
            <w:vAlign w:val="center"/>
            <w:hideMark/>
          </w:tcPr>
          <w:p w14:paraId="305412A5" w14:textId="77777777" w:rsidR="000D5AB3" w:rsidRDefault="000D5AB3">
            <w:pPr>
              <w:pStyle w:val="BodyText"/>
              <w:widowControl/>
              <w:numPr>
                <w:ilvl w:val="0"/>
                <w:numId w:val="26"/>
              </w:numPr>
              <w:autoSpaceDE/>
              <w:spacing w:before="40" w:after="40"/>
              <w:jc w:val="both"/>
              <w:rPr>
                <w:color w:val="323E4F" w:themeColor="text2" w:themeShade="BF"/>
                <w:sz w:val="18"/>
                <w:szCs w:val="18"/>
              </w:rPr>
            </w:pPr>
            <w:r>
              <w:rPr>
                <w:color w:val="323E4F" w:themeColor="text2" w:themeShade="BF"/>
                <w:sz w:val="18"/>
                <w:szCs w:val="18"/>
              </w:rPr>
              <w:t xml:space="preserve">Maintain the target EC (&gt;88%).  </w:t>
            </w:r>
          </w:p>
          <w:p w14:paraId="245C17CA" w14:textId="77777777" w:rsidR="000D5AB3" w:rsidRDefault="000D5AB3">
            <w:pPr>
              <w:pStyle w:val="BodyText"/>
              <w:widowControl/>
              <w:numPr>
                <w:ilvl w:val="0"/>
                <w:numId w:val="26"/>
              </w:numPr>
              <w:autoSpaceDE/>
              <w:spacing w:before="40" w:after="40"/>
              <w:jc w:val="both"/>
              <w:rPr>
                <w:color w:val="323E4F" w:themeColor="text2" w:themeShade="BF"/>
                <w:sz w:val="18"/>
                <w:szCs w:val="18"/>
              </w:rPr>
            </w:pPr>
            <w:r>
              <w:rPr>
                <w:color w:val="323E4F" w:themeColor="text2" w:themeShade="BF"/>
                <w:sz w:val="18"/>
                <w:szCs w:val="18"/>
              </w:rPr>
              <w:t>Ensure that nutrient levels (phosphate) are within Acceptable limits: 50th percentile of the data must be less than 0.015 mg/L PO4-P (Aquatic ecosystems: driver)</w:t>
            </w:r>
          </w:p>
          <w:p w14:paraId="7C095DAC" w14:textId="77777777" w:rsidR="000D5AB3" w:rsidRDefault="000D5AB3">
            <w:pPr>
              <w:pStyle w:val="BodyText"/>
              <w:widowControl/>
              <w:numPr>
                <w:ilvl w:val="0"/>
                <w:numId w:val="26"/>
              </w:numPr>
              <w:autoSpaceDE/>
              <w:spacing w:before="40" w:after="40"/>
              <w:jc w:val="both"/>
              <w:rPr>
                <w:color w:val="323E4F" w:themeColor="text2" w:themeShade="BF"/>
                <w:sz w:val="18"/>
                <w:szCs w:val="18"/>
              </w:rPr>
            </w:pPr>
            <w:r>
              <w:rPr>
                <w:color w:val="323E4F" w:themeColor="text2" w:themeShade="BF"/>
                <w:sz w:val="18"/>
                <w:szCs w:val="18"/>
              </w:rPr>
              <w:t>Ensure that electrical conductivity (salt) levels are within Acceptable limits: 95th percentile of the data must be less than or equal to 55 mS/m (Aquatic ecosystems: driver).</w:t>
            </w:r>
          </w:p>
        </w:tc>
      </w:tr>
    </w:tbl>
    <w:p w14:paraId="673D005C" w14:textId="77777777" w:rsidR="000D5AB3" w:rsidRDefault="000D5AB3" w:rsidP="000D5AB3">
      <w:pPr>
        <w:pStyle w:val="BodyText"/>
        <w:ind w:right="581"/>
        <w:jc w:val="both"/>
        <w:rPr>
          <w:color w:val="323E4F" w:themeColor="text2" w:themeShade="BF"/>
        </w:rPr>
      </w:pPr>
    </w:p>
    <w:p w14:paraId="2A43A955" w14:textId="77777777" w:rsidR="000D5AB3" w:rsidRDefault="000D5AB3" w:rsidP="000D5AB3">
      <w:pPr>
        <w:pStyle w:val="BodyText"/>
        <w:ind w:right="581"/>
        <w:jc w:val="both"/>
        <w:rPr>
          <w:color w:val="323E4F" w:themeColor="text2" w:themeShade="BF"/>
        </w:rPr>
      </w:pPr>
    </w:p>
    <w:p w14:paraId="00C3E88A" w14:textId="77777777" w:rsidR="000D5AB3" w:rsidRDefault="000D5AB3" w:rsidP="000D5AB3">
      <w:pPr>
        <w:pStyle w:val="BodyText"/>
        <w:ind w:left="284" w:right="566"/>
        <w:jc w:val="both"/>
        <w:rPr>
          <w:color w:val="323E4F" w:themeColor="text2" w:themeShade="BF"/>
        </w:rPr>
      </w:pPr>
      <w:bookmarkStart w:id="39" w:name="_Hlk127263117"/>
      <w:r>
        <w:rPr>
          <w:color w:val="323E4F" w:themeColor="text2" w:themeShade="BF"/>
        </w:rPr>
        <w:t xml:space="preserve">According to the Classification of Water Resources and Determination of the Comprehensive Reserve and Resource Quality Objectives in the </w:t>
      </w:r>
      <w:proofErr w:type="spellStart"/>
      <w:r>
        <w:rPr>
          <w:color w:val="323E4F" w:themeColor="text2" w:themeShade="BF"/>
        </w:rPr>
        <w:t>Mvoti</w:t>
      </w:r>
      <w:proofErr w:type="spellEnd"/>
      <w:r>
        <w:rPr>
          <w:color w:val="323E4F" w:themeColor="text2" w:themeShade="BF"/>
        </w:rPr>
        <w:t xml:space="preserve"> to </w:t>
      </w:r>
      <w:proofErr w:type="spellStart"/>
      <w:r>
        <w:rPr>
          <w:color w:val="323E4F" w:themeColor="text2" w:themeShade="BF"/>
        </w:rPr>
        <w:t>Umzimkulu</w:t>
      </w:r>
      <w:proofErr w:type="spellEnd"/>
      <w:r>
        <w:rPr>
          <w:color w:val="323E4F" w:themeColor="text2" w:themeShade="BF"/>
        </w:rPr>
        <w:t xml:space="preserve"> Water Management Area (DWS, 2015), information on the </w:t>
      </w:r>
      <w:proofErr w:type="spellStart"/>
      <w:r>
        <w:rPr>
          <w:color w:val="323E4F" w:themeColor="text2" w:themeShade="BF"/>
        </w:rPr>
        <w:t>uMkomazi</w:t>
      </w:r>
      <w:proofErr w:type="spellEnd"/>
      <w:r>
        <w:rPr>
          <w:color w:val="323E4F" w:themeColor="text2" w:themeShade="BF"/>
        </w:rPr>
        <w:t xml:space="preserve"> estuary is summarized as follows:</w:t>
      </w:r>
    </w:p>
    <w:bookmarkEnd w:id="39"/>
    <w:p w14:paraId="76BCB49F" w14:textId="77777777" w:rsidR="000D5AB3" w:rsidRDefault="000D5AB3" w:rsidP="000D5AB3">
      <w:pPr>
        <w:adjustRightInd w:val="0"/>
        <w:rPr>
          <w:rFonts w:eastAsiaTheme="minorHAnsi"/>
          <w:b/>
          <w:bCs/>
          <w:color w:val="auto"/>
          <w:lang w:eastAsia="en-US"/>
        </w:rPr>
      </w:pPr>
    </w:p>
    <w:p w14:paraId="406A2456" w14:textId="77777777" w:rsidR="000D5AB3" w:rsidRDefault="000D5AB3" w:rsidP="000D5AB3">
      <w:pPr>
        <w:pStyle w:val="BodyText"/>
        <w:ind w:left="284" w:right="566"/>
        <w:jc w:val="both"/>
        <w:rPr>
          <w:color w:val="323E4F" w:themeColor="text2" w:themeShade="BF"/>
        </w:rPr>
      </w:pPr>
      <w:r>
        <w:rPr>
          <w:color w:val="323E4F" w:themeColor="text2" w:themeShade="BF"/>
        </w:rPr>
        <w:t xml:space="preserve">The </w:t>
      </w:r>
      <w:proofErr w:type="spellStart"/>
      <w:r>
        <w:rPr>
          <w:color w:val="323E4F" w:themeColor="text2" w:themeShade="BF"/>
        </w:rPr>
        <w:t>uMkhomazi</w:t>
      </w:r>
      <w:proofErr w:type="spellEnd"/>
      <w:r>
        <w:rPr>
          <w:color w:val="323E4F" w:themeColor="text2" w:themeShade="BF"/>
        </w:rPr>
        <w:t xml:space="preserve"> Estuary in its present state is 69% </w:t>
      </w:r>
      <w:proofErr w:type="gramStart"/>
      <w:r>
        <w:rPr>
          <w:color w:val="323E4F" w:themeColor="text2" w:themeShade="BF"/>
        </w:rPr>
        <w:t>similar to</w:t>
      </w:r>
      <w:proofErr w:type="gramEnd"/>
      <w:r>
        <w:rPr>
          <w:color w:val="323E4F" w:themeColor="text2" w:themeShade="BF"/>
        </w:rPr>
        <w:t xml:space="preserve"> the natural condition, which translates into a PES of a C EC and attributed to the following factors: </w:t>
      </w:r>
    </w:p>
    <w:p w14:paraId="4300BDE6" w14:textId="77777777" w:rsidR="000D5AB3" w:rsidRDefault="000D5AB3" w:rsidP="000D5AB3">
      <w:pPr>
        <w:pStyle w:val="ListParagraph"/>
        <w:numPr>
          <w:ilvl w:val="0"/>
          <w:numId w:val="24"/>
        </w:numPr>
        <w:tabs>
          <w:tab w:val="left" w:pos="851"/>
        </w:tabs>
        <w:spacing w:before="29"/>
        <w:ind w:left="720" w:right="581"/>
        <w:jc w:val="both"/>
        <w:rPr>
          <w:color w:val="323E4F" w:themeColor="text2" w:themeShade="BF"/>
          <w:sz w:val="20"/>
        </w:rPr>
      </w:pPr>
      <w:r>
        <w:rPr>
          <w:color w:val="323E4F" w:themeColor="text2" w:themeShade="BF"/>
          <w:sz w:val="20"/>
        </w:rPr>
        <w:t>The weir in the upper reaches reducing the connectivity between the river and estuary and</w:t>
      </w:r>
    </w:p>
    <w:p w14:paraId="0E820569" w14:textId="77777777" w:rsidR="000D5AB3" w:rsidRDefault="000D5AB3" w:rsidP="000D5AB3">
      <w:pPr>
        <w:pStyle w:val="ListParagraph"/>
        <w:numPr>
          <w:ilvl w:val="0"/>
          <w:numId w:val="24"/>
        </w:numPr>
        <w:tabs>
          <w:tab w:val="left" w:pos="851"/>
        </w:tabs>
        <w:spacing w:before="29"/>
        <w:ind w:left="720" w:right="581"/>
        <w:jc w:val="both"/>
        <w:rPr>
          <w:color w:val="323E4F" w:themeColor="text2" w:themeShade="BF"/>
          <w:sz w:val="20"/>
        </w:rPr>
      </w:pPr>
      <w:r>
        <w:rPr>
          <w:color w:val="323E4F" w:themeColor="text2" w:themeShade="BF"/>
          <w:sz w:val="20"/>
        </w:rPr>
        <w:t>contributing to loss of estuarine habitat.</w:t>
      </w:r>
    </w:p>
    <w:p w14:paraId="2D16535B" w14:textId="77777777" w:rsidR="000D5AB3" w:rsidRDefault="000D5AB3" w:rsidP="000D5AB3">
      <w:pPr>
        <w:pStyle w:val="ListParagraph"/>
        <w:numPr>
          <w:ilvl w:val="0"/>
          <w:numId w:val="24"/>
        </w:numPr>
        <w:tabs>
          <w:tab w:val="left" w:pos="851"/>
        </w:tabs>
        <w:spacing w:before="29"/>
        <w:ind w:left="720" w:right="581"/>
        <w:jc w:val="both"/>
        <w:rPr>
          <w:color w:val="323E4F" w:themeColor="text2" w:themeShade="BF"/>
          <w:sz w:val="20"/>
        </w:rPr>
      </w:pPr>
      <w:r>
        <w:rPr>
          <w:color w:val="323E4F" w:themeColor="text2" w:themeShade="BF"/>
          <w:sz w:val="20"/>
        </w:rPr>
        <w:t>Sandmining that has taken away the sandbanks in the upper reaches (Zone C), resulting in loss of intertidal and backwater refuge areas. It has also impacted on access to cattle grazing areas as the river cannot be crossed in this section anymore.</w:t>
      </w:r>
    </w:p>
    <w:p w14:paraId="4C88851A" w14:textId="77777777" w:rsidR="000D5AB3" w:rsidRDefault="000D5AB3" w:rsidP="000D5AB3">
      <w:pPr>
        <w:pStyle w:val="ListParagraph"/>
        <w:numPr>
          <w:ilvl w:val="0"/>
          <w:numId w:val="24"/>
        </w:numPr>
        <w:tabs>
          <w:tab w:val="left" w:pos="851"/>
        </w:tabs>
        <w:spacing w:before="29"/>
        <w:ind w:left="720" w:right="581"/>
        <w:jc w:val="both"/>
        <w:rPr>
          <w:color w:val="323E4F" w:themeColor="text2" w:themeShade="BF"/>
          <w:sz w:val="20"/>
        </w:rPr>
      </w:pPr>
      <w:r>
        <w:rPr>
          <w:color w:val="323E4F" w:themeColor="text2" w:themeShade="BF"/>
          <w:sz w:val="20"/>
        </w:rPr>
        <w:t>Recreational activities (</w:t>
      </w:r>
      <w:proofErr w:type="gramStart"/>
      <w:r>
        <w:rPr>
          <w:color w:val="323E4F" w:themeColor="text2" w:themeShade="BF"/>
          <w:sz w:val="20"/>
        </w:rPr>
        <w:t>e.g.</w:t>
      </w:r>
      <w:proofErr w:type="gramEnd"/>
      <w:r>
        <w:rPr>
          <w:color w:val="323E4F" w:themeColor="text2" w:themeShade="BF"/>
          <w:sz w:val="20"/>
        </w:rPr>
        <w:t xml:space="preserve"> boat launching) in the lower reaches affecting bird abundance.</w:t>
      </w:r>
    </w:p>
    <w:p w14:paraId="2C671562" w14:textId="77777777" w:rsidR="000D5AB3" w:rsidRDefault="000D5AB3" w:rsidP="000D5AB3">
      <w:pPr>
        <w:pStyle w:val="ListParagraph"/>
        <w:numPr>
          <w:ilvl w:val="0"/>
          <w:numId w:val="24"/>
        </w:numPr>
        <w:tabs>
          <w:tab w:val="left" w:pos="851"/>
        </w:tabs>
        <w:spacing w:before="29"/>
        <w:ind w:left="720" w:right="581"/>
        <w:jc w:val="both"/>
        <w:rPr>
          <w:color w:val="323E4F" w:themeColor="text2" w:themeShade="BF"/>
          <w:sz w:val="20"/>
        </w:rPr>
      </w:pPr>
      <w:r>
        <w:rPr>
          <w:color w:val="323E4F" w:themeColor="text2" w:themeShade="BF"/>
          <w:sz w:val="20"/>
        </w:rPr>
        <w:t>Over exploitation of living resources (</w:t>
      </w:r>
      <w:proofErr w:type="gramStart"/>
      <w:r>
        <w:rPr>
          <w:color w:val="323E4F" w:themeColor="text2" w:themeShade="BF"/>
          <w:sz w:val="20"/>
        </w:rPr>
        <w:t>e.g.</w:t>
      </w:r>
      <w:proofErr w:type="gramEnd"/>
      <w:r>
        <w:rPr>
          <w:color w:val="323E4F" w:themeColor="text2" w:themeShade="BF"/>
          <w:sz w:val="20"/>
        </w:rPr>
        <w:t xml:space="preserve"> cast netting and line fishing); and</w:t>
      </w:r>
    </w:p>
    <w:p w14:paraId="09AC0967" w14:textId="77777777" w:rsidR="000D5AB3" w:rsidRDefault="000D5AB3" w:rsidP="000D5AB3">
      <w:pPr>
        <w:pStyle w:val="ListParagraph"/>
        <w:numPr>
          <w:ilvl w:val="0"/>
          <w:numId w:val="24"/>
        </w:numPr>
        <w:tabs>
          <w:tab w:val="left" w:pos="851"/>
        </w:tabs>
        <w:spacing w:before="29"/>
        <w:ind w:left="720" w:right="581"/>
        <w:jc w:val="both"/>
        <w:rPr>
          <w:color w:val="323E4F" w:themeColor="text2" w:themeShade="BF"/>
          <w:sz w:val="20"/>
        </w:rPr>
      </w:pPr>
      <w:r>
        <w:rPr>
          <w:color w:val="323E4F" w:themeColor="text2" w:themeShade="BF"/>
          <w:sz w:val="20"/>
        </w:rPr>
        <w:t>Agricultural activities and disturbance in the Estuary Functional Zone (EFZ) causing loss of estuarine habitat.</w:t>
      </w:r>
    </w:p>
    <w:p w14:paraId="27F15BC2" w14:textId="77777777" w:rsidR="000D5AB3" w:rsidRDefault="000D5AB3" w:rsidP="000D5AB3">
      <w:pPr>
        <w:pStyle w:val="BodyText"/>
        <w:ind w:left="284" w:right="566"/>
        <w:jc w:val="both"/>
        <w:rPr>
          <w:color w:val="323E4F" w:themeColor="text2" w:themeShade="BF"/>
        </w:rPr>
      </w:pPr>
    </w:p>
    <w:p w14:paraId="7159E2D0" w14:textId="77777777" w:rsidR="000D5AB3" w:rsidRDefault="000D5AB3" w:rsidP="000D5AB3">
      <w:pPr>
        <w:pStyle w:val="BodyText"/>
        <w:ind w:left="284" w:right="566"/>
        <w:jc w:val="both"/>
        <w:rPr>
          <w:b/>
          <w:bCs/>
          <w:color w:val="323E4F" w:themeColor="text2" w:themeShade="BF"/>
        </w:rPr>
      </w:pPr>
      <w:r>
        <w:rPr>
          <w:color w:val="323E4F" w:themeColor="text2" w:themeShade="BF"/>
        </w:rPr>
        <w:t xml:space="preserve">Estuary Importance was estimated at 85, </w:t>
      </w:r>
      <w:proofErr w:type="gramStart"/>
      <w:r>
        <w:rPr>
          <w:color w:val="323E4F" w:themeColor="text2" w:themeShade="BF"/>
        </w:rPr>
        <w:t>i.e.</w:t>
      </w:r>
      <w:proofErr w:type="gramEnd"/>
      <w:r>
        <w:rPr>
          <w:color w:val="323E4F" w:themeColor="text2" w:themeShade="BF"/>
        </w:rPr>
        <w:t xml:space="preserve"> the estuary is rated as “Highly Important”. </w:t>
      </w:r>
      <w:r>
        <w:rPr>
          <w:i/>
          <w:iCs/>
          <w:color w:val="323E4F" w:themeColor="text2" w:themeShade="BF"/>
          <w:u w:val="single"/>
        </w:rPr>
        <w:t xml:space="preserve">The functional Importance of the </w:t>
      </w:r>
      <w:proofErr w:type="spellStart"/>
      <w:r>
        <w:rPr>
          <w:i/>
          <w:iCs/>
          <w:color w:val="323E4F" w:themeColor="text2" w:themeShade="BF"/>
          <w:u w:val="single"/>
        </w:rPr>
        <w:t>uMkhomazi</w:t>
      </w:r>
      <w:proofErr w:type="spellEnd"/>
      <w:r>
        <w:rPr>
          <w:i/>
          <w:iCs/>
          <w:color w:val="323E4F" w:themeColor="text2" w:themeShade="BF"/>
          <w:u w:val="single"/>
        </w:rPr>
        <w:t xml:space="preserve"> Estuary is very high. It serves as an important nursery for exploited fish stock and plays a very important role from a fish egg production perspective. In addition, it is also an important movement corridor for eels (CITES listed species)</w:t>
      </w:r>
      <w:r>
        <w:rPr>
          <w:b/>
          <w:bCs/>
          <w:color w:val="323E4F" w:themeColor="text2" w:themeShade="BF"/>
          <w:u w:val="single"/>
        </w:rPr>
        <w:t>.</w:t>
      </w:r>
    </w:p>
    <w:p w14:paraId="205F2E64" w14:textId="77777777" w:rsidR="000D5AB3" w:rsidRDefault="000D5AB3" w:rsidP="000D5AB3">
      <w:pPr>
        <w:pStyle w:val="BodyText"/>
        <w:ind w:left="284" w:right="566"/>
        <w:jc w:val="both"/>
        <w:rPr>
          <w:color w:val="323E4F" w:themeColor="text2" w:themeShade="BF"/>
        </w:rPr>
      </w:pPr>
    </w:p>
    <w:p w14:paraId="7E836A4C" w14:textId="77777777" w:rsidR="000D5AB3" w:rsidRDefault="000D5AB3" w:rsidP="000D5AB3">
      <w:pPr>
        <w:pStyle w:val="BodyText"/>
        <w:ind w:left="284" w:right="566"/>
        <w:jc w:val="both"/>
        <w:rPr>
          <w:color w:val="323E4F" w:themeColor="text2" w:themeShade="BF"/>
        </w:rPr>
      </w:pPr>
      <w:r>
        <w:rPr>
          <w:color w:val="323E4F" w:themeColor="text2" w:themeShade="BF"/>
        </w:rPr>
        <w:t xml:space="preserve">The PES for the </w:t>
      </w:r>
      <w:proofErr w:type="spellStart"/>
      <w:r>
        <w:rPr>
          <w:color w:val="323E4F" w:themeColor="text2" w:themeShade="BF"/>
        </w:rPr>
        <w:t>uMkhomazi</w:t>
      </w:r>
      <w:proofErr w:type="spellEnd"/>
      <w:r>
        <w:rPr>
          <w:color w:val="323E4F" w:themeColor="text2" w:themeShade="BF"/>
        </w:rPr>
        <w:t xml:space="preserve"> Estuary is a C, but the Estuary is rated as “Very Important” from a biodiversity perspective and should therefore be in a B Category. </w:t>
      </w:r>
      <w:proofErr w:type="gramStart"/>
      <w:r>
        <w:rPr>
          <w:color w:val="323E4F" w:themeColor="text2" w:themeShade="BF"/>
        </w:rPr>
        <w:t>Taking into account</w:t>
      </w:r>
      <w:proofErr w:type="gramEnd"/>
      <w:r>
        <w:rPr>
          <w:color w:val="323E4F" w:themeColor="text2" w:themeShade="BF"/>
        </w:rPr>
        <w:t xml:space="preserve"> the current conditions (PES = C), the reversibility of the impacts, the ecological importance and the conservation requirements of the </w:t>
      </w:r>
      <w:proofErr w:type="spellStart"/>
      <w:r>
        <w:rPr>
          <w:color w:val="323E4F" w:themeColor="text2" w:themeShade="BF"/>
        </w:rPr>
        <w:t>uMkhomazi</w:t>
      </w:r>
      <w:proofErr w:type="spellEnd"/>
      <w:r>
        <w:rPr>
          <w:color w:val="323E4F" w:themeColor="text2" w:themeShade="BF"/>
        </w:rPr>
        <w:t xml:space="preserve"> Estuary the REC for the system is a B Category.</w:t>
      </w:r>
    </w:p>
    <w:p w14:paraId="1291D9C0" w14:textId="77777777" w:rsidR="000D5AB3" w:rsidRDefault="000D5AB3" w:rsidP="000D5AB3">
      <w:pPr>
        <w:pStyle w:val="BodyText"/>
        <w:ind w:left="284" w:right="566"/>
        <w:jc w:val="both"/>
        <w:rPr>
          <w:color w:val="323E4F" w:themeColor="text2" w:themeShade="BF"/>
        </w:rPr>
      </w:pPr>
    </w:p>
    <w:p w14:paraId="005B6336" w14:textId="77777777" w:rsidR="000D5AB3" w:rsidRDefault="000D5AB3" w:rsidP="000D5AB3">
      <w:pPr>
        <w:pStyle w:val="BodyText"/>
        <w:ind w:left="284" w:right="566"/>
        <w:jc w:val="both"/>
        <w:rPr>
          <w:color w:val="323E4F" w:themeColor="text2" w:themeShade="BF"/>
        </w:rPr>
      </w:pPr>
      <w:r>
        <w:rPr>
          <w:color w:val="323E4F" w:themeColor="text2" w:themeShade="BF"/>
        </w:rPr>
        <w:t xml:space="preserve">The following management interventions are considered necessary to achieve the </w:t>
      </w:r>
      <w:proofErr w:type="spellStart"/>
      <w:r>
        <w:rPr>
          <w:color w:val="323E4F" w:themeColor="text2" w:themeShade="BF"/>
        </w:rPr>
        <w:t>uMkhomazi</w:t>
      </w:r>
      <w:proofErr w:type="spellEnd"/>
      <w:r>
        <w:rPr>
          <w:color w:val="323E4F" w:themeColor="text2" w:themeShade="BF"/>
        </w:rPr>
        <w:t xml:space="preserve"> REC:</w:t>
      </w:r>
    </w:p>
    <w:p w14:paraId="4CF9B488" w14:textId="77777777" w:rsidR="000D5AB3" w:rsidRDefault="000D5AB3" w:rsidP="000D5AB3">
      <w:pPr>
        <w:pStyle w:val="ListParagraph"/>
        <w:numPr>
          <w:ilvl w:val="0"/>
          <w:numId w:val="24"/>
        </w:numPr>
        <w:tabs>
          <w:tab w:val="left" w:pos="851"/>
        </w:tabs>
        <w:spacing w:before="29"/>
        <w:ind w:left="720" w:right="581"/>
        <w:jc w:val="both"/>
        <w:rPr>
          <w:color w:val="323E4F" w:themeColor="text2" w:themeShade="BF"/>
          <w:sz w:val="20"/>
        </w:rPr>
      </w:pPr>
      <w:r>
        <w:rPr>
          <w:color w:val="323E4F" w:themeColor="text2" w:themeShade="BF"/>
          <w:sz w:val="20"/>
        </w:rPr>
        <w:t xml:space="preserve">Remove sandmining from the upper reaches below the Sappi Weir to increase natural function, </w:t>
      </w:r>
      <w:proofErr w:type="gramStart"/>
      <w:r>
        <w:rPr>
          <w:color w:val="323E4F" w:themeColor="text2" w:themeShade="BF"/>
          <w:sz w:val="20"/>
        </w:rPr>
        <w:t>i.e.</w:t>
      </w:r>
      <w:proofErr w:type="gramEnd"/>
      <w:r>
        <w:rPr>
          <w:color w:val="323E4F" w:themeColor="text2" w:themeShade="BF"/>
          <w:sz w:val="20"/>
        </w:rPr>
        <w:t xml:space="preserve"> restore intertidal area;</w:t>
      </w:r>
    </w:p>
    <w:p w14:paraId="228F9BCD" w14:textId="77777777" w:rsidR="000D5AB3" w:rsidRDefault="000D5AB3" w:rsidP="000D5AB3">
      <w:pPr>
        <w:pStyle w:val="ListParagraph"/>
        <w:numPr>
          <w:ilvl w:val="0"/>
          <w:numId w:val="24"/>
        </w:numPr>
        <w:tabs>
          <w:tab w:val="left" w:pos="851"/>
        </w:tabs>
        <w:spacing w:before="29"/>
        <w:ind w:left="720" w:right="581"/>
        <w:jc w:val="both"/>
        <w:rPr>
          <w:color w:val="323E4F" w:themeColor="text2" w:themeShade="BF"/>
          <w:sz w:val="20"/>
        </w:rPr>
      </w:pPr>
      <w:r>
        <w:rPr>
          <w:color w:val="323E4F" w:themeColor="text2" w:themeShade="BF"/>
          <w:sz w:val="20"/>
        </w:rPr>
        <w:t xml:space="preserve">Restoration of vegetation in the upper reaches and along the northern bank in the middle and lower reaches, </w:t>
      </w:r>
      <w:proofErr w:type="gramStart"/>
      <w:r>
        <w:rPr>
          <w:color w:val="323E4F" w:themeColor="text2" w:themeShade="BF"/>
          <w:sz w:val="20"/>
        </w:rPr>
        <w:t>e.g.</w:t>
      </w:r>
      <w:proofErr w:type="gramEnd"/>
      <w:r>
        <w:rPr>
          <w:color w:val="323E4F" w:themeColor="text2" w:themeShade="BF"/>
          <w:sz w:val="20"/>
        </w:rPr>
        <w:t xml:space="preserve"> remove alien vegetation and allow disturbed land to revert to natural land cover (is already on upwards trajectory);</w:t>
      </w:r>
    </w:p>
    <w:p w14:paraId="7A58D9E4" w14:textId="77777777" w:rsidR="000D5AB3" w:rsidRDefault="000D5AB3" w:rsidP="000D5AB3">
      <w:pPr>
        <w:pStyle w:val="ListParagraph"/>
        <w:numPr>
          <w:ilvl w:val="0"/>
          <w:numId w:val="24"/>
        </w:numPr>
        <w:tabs>
          <w:tab w:val="left" w:pos="851"/>
        </w:tabs>
        <w:spacing w:before="29"/>
        <w:ind w:left="720" w:right="581"/>
        <w:jc w:val="both"/>
        <w:rPr>
          <w:color w:val="323E4F" w:themeColor="text2" w:themeShade="BF"/>
          <w:sz w:val="20"/>
        </w:rPr>
      </w:pPr>
      <w:r>
        <w:rPr>
          <w:color w:val="323E4F" w:themeColor="text2" w:themeShade="BF"/>
          <w:sz w:val="20"/>
        </w:rPr>
        <w:t xml:space="preserve">Curb recreational activities in the lower reaches through zonation and improved </w:t>
      </w:r>
      <w:proofErr w:type="gramStart"/>
      <w:r>
        <w:rPr>
          <w:color w:val="323E4F" w:themeColor="text2" w:themeShade="BF"/>
          <w:sz w:val="20"/>
        </w:rPr>
        <w:t>compliance;</w:t>
      </w:r>
      <w:proofErr w:type="gramEnd"/>
    </w:p>
    <w:p w14:paraId="3DABF88A" w14:textId="77777777" w:rsidR="000D5AB3" w:rsidRDefault="000D5AB3" w:rsidP="000D5AB3">
      <w:pPr>
        <w:pStyle w:val="ListParagraph"/>
        <w:numPr>
          <w:ilvl w:val="0"/>
          <w:numId w:val="24"/>
        </w:numPr>
        <w:tabs>
          <w:tab w:val="left" w:pos="851"/>
        </w:tabs>
        <w:spacing w:before="29"/>
        <w:ind w:left="720" w:right="581"/>
        <w:jc w:val="both"/>
        <w:rPr>
          <w:color w:val="323E4F" w:themeColor="text2" w:themeShade="BF"/>
          <w:sz w:val="20"/>
        </w:rPr>
      </w:pPr>
      <w:r>
        <w:rPr>
          <w:color w:val="323E4F" w:themeColor="text2" w:themeShade="BF"/>
          <w:sz w:val="20"/>
        </w:rPr>
        <w:t xml:space="preserve">Reduce/remove </w:t>
      </w:r>
      <w:proofErr w:type="spellStart"/>
      <w:r>
        <w:rPr>
          <w:color w:val="323E4F" w:themeColor="text2" w:themeShade="BF"/>
          <w:sz w:val="20"/>
        </w:rPr>
        <w:t>castnetting</w:t>
      </w:r>
      <w:proofErr w:type="spellEnd"/>
      <w:r>
        <w:rPr>
          <w:color w:val="323E4F" w:themeColor="text2" w:themeShade="BF"/>
          <w:sz w:val="20"/>
        </w:rPr>
        <w:t xml:space="preserve"> in the mouth area through estuary zonation or increased compliance; and</w:t>
      </w:r>
    </w:p>
    <w:p w14:paraId="096A9197" w14:textId="77777777" w:rsidR="000D5AB3" w:rsidRDefault="000D5AB3" w:rsidP="000D5AB3">
      <w:pPr>
        <w:pStyle w:val="ListParagraph"/>
        <w:numPr>
          <w:ilvl w:val="0"/>
          <w:numId w:val="24"/>
        </w:numPr>
        <w:tabs>
          <w:tab w:val="left" w:pos="851"/>
        </w:tabs>
        <w:spacing w:before="29"/>
        <w:ind w:left="720" w:right="581"/>
        <w:jc w:val="both"/>
        <w:rPr>
          <w:color w:val="323E4F" w:themeColor="text2" w:themeShade="BF"/>
          <w:sz w:val="20"/>
        </w:rPr>
      </w:pPr>
      <w:r>
        <w:rPr>
          <w:color w:val="323E4F" w:themeColor="text2" w:themeShade="BF"/>
          <w:sz w:val="20"/>
        </w:rPr>
        <w:t>Relocate upstream, or remove, the Sappi Weir to restore upper 15% of the estuary.</w:t>
      </w:r>
    </w:p>
    <w:p w14:paraId="585FFDF5" w14:textId="77777777" w:rsidR="000D5AB3" w:rsidRDefault="000D5AB3" w:rsidP="000D5AB3">
      <w:pPr>
        <w:pStyle w:val="BodyText"/>
        <w:ind w:right="581"/>
        <w:jc w:val="both"/>
        <w:rPr>
          <w:color w:val="323E4F" w:themeColor="text2" w:themeShade="BF"/>
        </w:rPr>
      </w:pPr>
    </w:p>
    <w:p w14:paraId="759E915E" w14:textId="77777777" w:rsidR="000D5AB3" w:rsidRDefault="000D5AB3" w:rsidP="000D5AB3">
      <w:pPr>
        <w:pStyle w:val="Caption"/>
        <w:ind w:right="566"/>
        <w:jc w:val="both"/>
        <w:rPr>
          <w:color w:val="323E4F" w:themeColor="text2" w:themeShade="BF"/>
        </w:rPr>
      </w:pPr>
      <w:bookmarkStart w:id="40" w:name="_Toc127273886"/>
      <w:r>
        <w:rPr>
          <w:color w:val="323E4F" w:themeColor="text2" w:themeShade="BF"/>
        </w:rPr>
        <w:t xml:space="preserve">Table </w:t>
      </w:r>
      <w:r>
        <w:fldChar w:fldCharType="begin"/>
      </w:r>
      <w:r>
        <w:rPr>
          <w:color w:val="323E4F" w:themeColor="text2" w:themeShade="BF"/>
        </w:rPr>
        <w:instrText xml:space="preserve"> STYLEREF 1 \s </w:instrText>
      </w:r>
      <w:r>
        <w:fldChar w:fldCharType="separate"/>
      </w:r>
      <w:r>
        <w:rPr>
          <w:noProof/>
          <w:color w:val="323E4F" w:themeColor="text2" w:themeShade="BF"/>
        </w:rPr>
        <w:t>3</w:t>
      </w:r>
      <w:r>
        <w:fldChar w:fldCharType="end"/>
      </w:r>
      <w:r>
        <w:rPr>
          <w:color w:val="323E4F" w:themeColor="text2" w:themeShade="BF"/>
        </w:rPr>
        <w:noBreakHyphen/>
      </w:r>
      <w:r>
        <w:fldChar w:fldCharType="begin"/>
      </w:r>
      <w:r>
        <w:rPr>
          <w:color w:val="323E4F" w:themeColor="text2" w:themeShade="BF"/>
        </w:rPr>
        <w:instrText xml:space="preserve"> SEQ Table \* ARABIC \s 1 </w:instrText>
      </w:r>
      <w:r>
        <w:fldChar w:fldCharType="separate"/>
      </w:r>
      <w:r>
        <w:rPr>
          <w:noProof/>
          <w:color w:val="323E4F" w:themeColor="text2" w:themeShade="BF"/>
        </w:rPr>
        <w:t>5</w:t>
      </w:r>
      <w:r>
        <w:fldChar w:fldCharType="end"/>
      </w:r>
      <w:r>
        <w:rPr>
          <w:color w:val="323E4F" w:themeColor="text2" w:themeShade="BF"/>
        </w:rPr>
        <w:t>:</w:t>
      </w:r>
      <w:r>
        <w:rPr>
          <w:color w:val="323E4F" w:themeColor="text2" w:themeShade="BF"/>
        </w:rPr>
        <w:tab/>
      </w:r>
      <w:r>
        <w:rPr>
          <w:color w:val="323E4F" w:themeColor="text2" w:themeShade="BF"/>
          <w:szCs w:val="20"/>
        </w:rPr>
        <w:t xml:space="preserve">Summary of Eco-Classification results for the lower </w:t>
      </w:r>
      <w:proofErr w:type="spellStart"/>
      <w:r>
        <w:rPr>
          <w:color w:val="323E4F" w:themeColor="text2" w:themeShade="BF"/>
          <w:szCs w:val="20"/>
        </w:rPr>
        <w:t>uMkhomazi</w:t>
      </w:r>
      <w:proofErr w:type="spellEnd"/>
      <w:r>
        <w:rPr>
          <w:color w:val="323E4F" w:themeColor="text2" w:themeShade="BF"/>
          <w:szCs w:val="20"/>
        </w:rPr>
        <w:t xml:space="preserve"> Estuary (DWS, 2015)</w:t>
      </w:r>
      <w:bookmarkEnd w:id="40"/>
    </w:p>
    <w:tbl>
      <w:tblPr>
        <w:tblW w:w="4540" w:type="pct"/>
        <w:tblCellSpacing w:w="9" w:type="dxa"/>
        <w:tblInd w:w="360" w:type="dxa"/>
        <w:tblCellMar>
          <w:left w:w="0" w:type="dxa"/>
          <w:right w:w="0" w:type="dxa"/>
        </w:tblCellMar>
        <w:tblLook w:val="01E0" w:firstRow="1" w:lastRow="1" w:firstColumn="1" w:lastColumn="1" w:noHBand="0" w:noVBand="0"/>
      </w:tblPr>
      <w:tblGrid>
        <w:gridCol w:w="3098"/>
        <w:gridCol w:w="2155"/>
        <w:gridCol w:w="3246"/>
      </w:tblGrid>
      <w:tr w:rsidR="000D5AB3" w14:paraId="7203D9E7" w14:textId="77777777" w:rsidTr="000D5AB3">
        <w:trPr>
          <w:trHeight w:val="332"/>
          <w:tblHeader/>
          <w:tblCellSpacing w:w="9" w:type="dxa"/>
        </w:trPr>
        <w:tc>
          <w:tcPr>
            <w:tcW w:w="1808" w:type="pct"/>
            <w:shd w:val="clear" w:color="auto" w:fill="00567D"/>
            <w:hideMark/>
          </w:tcPr>
          <w:p w14:paraId="5F3BBC88" w14:textId="77777777" w:rsidR="000D5AB3" w:rsidRDefault="000D5AB3">
            <w:pPr>
              <w:pStyle w:val="TableParagraph"/>
              <w:spacing w:before="56"/>
              <w:jc w:val="center"/>
              <w:rPr>
                <w:b/>
                <w:color w:val="FFFFFF" w:themeColor="background1"/>
                <w:sz w:val="18"/>
              </w:rPr>
            </w:pPr>
            <w:r>
              <w:rPr>
                <w:b/>
                <w:color w:val="FFFFFF" w:themeColor="background1"/>
                <w:sz w:val="18"/>
              </w:rPr>
              <w:t>Parameters</w:t>
            </w:r>
          </w:p>
        </w:tc>
        <w:tc>
          <w:tcPr>
            <w:tcW w:w="1258" w:type="pct"/>
            <w:shd w:val="clear" w:color="auto" w:fill="00567D"/>
            <w:hideMark/>
          </w:tcPr>
          <w:p w14:paraId="11BC9124" w14:textId="77777777" w:rsidR="000D5AB3" w:rsidRDefault="000D5AB3">
            <w:pPr>
              <w:pStyle w:val="TableParagraph"/>
              <w:spacing w:before="56"/>
              <w:ind w:left="-1"/>
              <w:jc w:val="center"/>
              <w:rPr>
                <w:b/>
                <w:color w:val="FFFFFF" w:themeColor="background1"/>
                <w:sz w:val="18"/>
              </w:rPr>
            </w:pPr>
            <w:r>
              <w:rPr>
                <w:b/>
                <w:color w:val="FFFFFF" w:themeColor="background1"/>
                <w:sz w:val="18"/>
              </w:rPr>
              <w:t>PES</w:t>
            </w:r>
          </w:p>
        </w:tc>
        <w:tc>
          <w:tcPr>
            <w:tcW w:w="1895" w:type="pct"/>
            <w:shd w:val="clear" w:color="auto" w:fill="00567D"/>
            <w:hideMark/>
          </w:tcPr>
          <w:p w14:paraId="0A18BC7E" w14:textId="77777777" w:rsidR="000D5AB3" w:rsidRDefault="000D5AB3">
            <w:pPr>
              <w:pStyle w:val="TableParagraph"/>
              <w:spacing w:before="56"/>
              <w:ind w:left="-1"/>
              <w:jc w:val="center"/>
              <w:rPr>
                <w:b/>
                <w:color w:val="FFFFFF" w:themeColor="background1"/>
                <w:sz w:val="18"/>
              </w:rPr>
            </w:pPr>
            <w:r>
              <w:rPr>
                <w:b/>
                <w:color w:val="FFFFFF" w:themeColor="background1"/>
                <w:sz w:val="18"/>
              </w:rPr>
              <w:t>REC</w:t>
            </w:r>
          </w:p>
        </w:tc>
      </w:tr>
      <w:tr w:rsidR="000D5AB3" w14:paraId="038D81CA" w14:textId="77777777" w:rsidTr="000D5AB3">
        <w:trPr>
          <w:trHeight w:val="361"/>
          <w:tblCellSpacing w:w="9" w:type="dxa"/>
        </w:trPr>
        <w:tc>
          <w:tcPr>
            <w:tcW w:w="1808" w:type="pct"/>
            <w:shd w:val="clear" w:color="auto" w:fill="B1E7FF"/>
            <w:hideMark/>
          </w:tcPr>
          <w:p w14:paraId="18CB7299" w14:textId="77777777" w:rsidR="000D5AB3" w:rsidRDefault="000D5AB3">
            <w:pPr>
              <w:pStyle w:val="ListParagraph"/>
              <w:tabs>
                <w:tab w:val="left" w:pos="668"/>
              </w:tabs>
              <w:spacing w:before="29"/>
              <w:ind w:left="471" w:right="130" w:firstLine="0"/>
              <w:jc w:val="both"/>
              <w:rPr>
                <w:color w:val="323E4F" w:themeColor="text2" w:themeShade="BF"/>
                <w:sz w:val="18"/>
                <w:szCs w:val="18"/>
              </w:rPr>
            </w:pPr>
            <w:r>
              <w:rPr>
                <w:color w:val="323E4F" w:themeColor="text2" w:themeShade="BF"/>
                <w:sz w:val="18"/>
                <w:szCs w:val="18"/>
              </w:rPr>
              <w:t xml:space="preserve">Hydrology </w:t>
            </w:r>
          </w:p>
        </w:tc>
        <w:tc>
          <w:tcPr>
            <w:tcW w:w="1258" w:type="pct"/>
            <w:shd w:val="clear" w:color="auto" w:fill="B1E7FF"/>
            <w:hideMark/>
          </w:tcPr>
          <w:p w14:paraId="4FF81ED7"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C</w:t>
            </w:r>
          </w:p>
        </w:tc>
        <w:tc>
          <w:tcPr>
            <w:tcW w:w="1895" w:type="pct"/>
            <w:shd w:val="clear" w:color="auto" w:fill="B1E7FF"/>
            <w:hideMark/>
          </w:tcPr>
          <w:p w14:paraId="7CC3EDFA"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w:t>
            </w:r>
          </w:p>
        </w:tc>
      </w:tr>
      <w:tr w:rsidR="000D5AB3" w14:paraId="2785C5B1" w14:textId="77777777" w:rsidTr="000D5AB3">
        <w:trPr>
          <w:trHeight w:val="361"/>
          <w:tblCellSpacing w:w="9" w:type="dxa"/>
        </w:trPr>
        <w:tc>
          <w:tcPr>
            <w:tcW w:w="1808" w:type="pct"/>
            <w:shd w:val="clear" w:color="auto" w:fill="B1E7FF"/>
            <w:hideMark/>
          </w:tcPr>
          <w:p w14:paraId="66B8E07F" w14:textId="77777777" w:rsidR="000D5AB3" w:rsidRDefault="000D5AB3">
            <w:pPr>
              <w:pStyle w:val="ListParagraph"/>
              <w:tabs>
                <w:tab w:val="left" w:pos="668"/>
              </w:tabs>
              <w:spacing w:before="29"/>
              <w:ind w:left="471" w:right="130" w:firstLine="0"/>
              <w:jc w:val="both"/>
              <w:rPr>
                <w:color w:val="323E4F" w:themeColor="text2" w:themeShade="BF"/>
                <w:sz w:val="18"/>
                <w:szCs w:val="18"/>
              </w:rPr>
            </w:pPr>
            <w:r>
              <w:rPr>
                <w:color w:val="323E4F" w:themeColor="text2" w:themeShade="BF"/>
                <w:sz w:val="18"/>
                <w:szCs w:val="18"/>
              </w:rPr>
              <w:t xml:space="preserve">Hydrodynamics </w:t>
            </w:r>
          </w:p>
        </w:tc>
        <w:tc>
          <w:tcPr>
            <w:tcW w:w="1258" w:type="pct"/>
            <w:shd w:val="clear" w:color="auto" w:fill="B1E7FF"/>
            <w:hideMark/>
          </w:tcPr>
          <w:p w14:paraId="5D89583A"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A</w:t>
            </w:r>
          </w:p>
        </w:tc>
        <w:tc>
          <w:tcPr>
            <w:tcW w:w="1895" w:type="pct"/>
            <w:shd w:val="clear" w:color="auto" w:fill="B1E7FF"/>
            <w:hideMark/>
          </w:tcPr>
          <w:p w14:paraId="790A9F14"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w:t>
            </w:r>
          </w:p>
        </w:tc>
      </w:tr>
      <w:tr w:rsidR="000D5AB3" w14:paraId="246327F1" w14:textId="77777777" w:rsidTr="000D5AB3">
        <w:trPr>
          <w:trHeight w:val="361"/>
          <w:tblCellSpacing w:w="9" w:type="dxa"/>
        </w:trPr>
        <w:tc>
          <w:tcPr>
            <w:tcW w:w="1808" w:type="pct"/>
            <w:shd w:val="clear" w:color="auto" w:fill="B1E7FF"/>
            <w:hideMark/>
          </w:tcPr>
          <w:p w14:paraId="51FDE1DB" w14:textId="77777777" w:rsidR="000D5AB3" w:rsidRDefault="000D5AB3">
            <w:pPr>
              <w:pStyle w:val="ListParagraph"/>
              <w:tabs>
                <w:tab w:val="left" w:pos="668"/>
              </w:tabs>
              <w:spacing w:before="29"/>
              <w:ind w:left="471" w:right="130" w:firstLine="0"/>
              <w:jc w:val="both"/>
              <w:rPr>
                <w:color w:val="323E4F" w:themeColor="text2" w:themeShade="BF"/>
                <w:sz w:val="18"/>
                <w:szCs w:val="18"/>
              </w:rPr>
            </w:pPr>
            <w:r>
              <w:rPr>
                <w:color w:val="323E4F" w:themeColor="text2" w:themeShade="BF"/>
                <w:sz w:val="18"/>
                <w:szCs w:val="18"/>
              </w:rPr>
              <w:t xml:space="preserve">Water Quality </w:t>
            </w:r>
          </w:p>
        </w:tc>
        <w:tc>
          <w:tcPr>
            <w:tcW w:w="1258" w:type="pct"/>
            <w:shd w:val="clear" w:color="auto" w:fill="B1E7FF"/>
            <w:hideMark/>
          </w:tcPr>
          <w:p w14:paraId="13CE5E23"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C</w:t>
            </w:r>
          </w:p>
        </w:tc>
        <w:tc>
          <w:tcPr>
            <w:tcW w:w="1895" w:type="pct"/>
            <w:shd w:val="clear" w:color="auto" w:fill="B1E7FF"/>
            <w:hideMark/>
          </w:tcPr>
          <w:p w14:paraId="6EFE1471"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w:t>
            </w:r>
          </w:p>
        </w:tc>
      </w:tr>
      <w:tr w:rsidR="000D5AB3" w14:paraId="76B1450B" w14:textId="77777777" w:rsidTr="000D5AB3">
        <w:trPr>
          <w:trHeight w:val="361"/>
          <w:tblCellSpacing w:w="9" w:type="dxa"/>
        </w:trPr>
        <w:tc>
          <w:tcPr>
            <w:tcW w:w="1808" w:type="pct"/>
            <w:shd w:val="clear" w:color="auto" w:fill="B1E7FF"/>
            <w:hideMark/>
          </w:tcPr>
          <w:p w14:paraId="0B0009D1" w14:textId="77777777" w:rsidR="000D5AB3" w:rsidRDefault="000D5AB3">
            <w:pPr>
              <w:pStyle w:val="ListParagraph"/>
              <w:tabs>
                <w:tab w:val="left" w:pos="668"/>
              </w:tabs>
              <w:spacing w:before="29"/>
              <w:ind w:left="471" w:right="130" w:firstLine="0"/>
              <w:jc w:val="both"/>
              <w:rPr>
                <w:color w:val="323E4F" w:themeColor="text2" w:themeShade="BF"/>
                <w:sz w:val="18"/>
                <w:szCs w:val="18"/>
              </w:rPr>
            </w:pPr>
            <w:r>
              <w:rPr>
                <w:color w:val="323E4F" w:themeColor="text2" w:themeShade="BF"/>
                <w:sz w:val="18"/>
                <w:szCs w:val="18"/>
              </w:rPr>
              <w:t xml:space="preserve">Physical habitat </w:t>
            </w:r>
          </w:p>
        </w:tc>
        <w:tc>
          <w:tcPr>
            <w:tcW w:w="1258" w:type="pct"/>
            <w:shd w:val="clear" w:color="auto" w:fill="B1E7FF"/>
            <w:hideMark/>
          </w:tcPr>
          <w:p w14:paraId="1B85526C"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D</w:t>
            </w:r>
          </w:p>
        </w:tc>
        <w:tc>
          <w:tcPr>
            <w:tcW w:w="1895" w:type="pct"/>
            <w:shd w:val="clear" w:color="auto" w:fill="B1E7FF"/>
            <w:hideMark/>
          </w:tcPr>
          <w:p w14:paraId="64B7B540"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w:t>
            </w:r>
          </w:p>
        </w:tc>
      </w:tr>
      <w:tr w:rsidR="000D5AB3" w14:paraId="43C0B6B9" w14:textId="77777777" w:rsidTr="000D5AB3">
        <w:trPr>
          <w:trHeight w:val="361"/>
          <w:tblCellSpacing w:w="9" w:type="dxa"/>
        </w:trPr>
        <w:tc>
          <w:tcPr>
            <w:tcW w:w="1808" w:type="pct"/>
            <w:shd w:val="clear" w:color="auto" w:fill="B1E7FF"/>
            <w:hideMark/>
          </w:tcPr>
          <w:p w14:paraId="09B2AD50" w14:textId="77777777" w:rsidR="000D5AB3" w:rsidRDefault="000D5AB3">
            <w:pPr>
              <w:pStyle w:val="ListParagraph"/>
              <w:tabs>
                <w:tab w:val="left" w:pos="668"/>
              </w:tabs>
              <w:spacing w:before="29"/>
              <w:ind w:left="471" w:right="130" w:firstLine="0"/>
              <w:jc w:val="both"/>
              <w:rPr>
                <w:color w:val="323E4F" w:themeColor="text2" w:themeShade="BF"/>
                <w:sz w:val="18"/>
                <w:szCs w:val="18"/>
              </w:rPr>
            </w:pPr>
            <w:r>
              <w:rPr>
                <w:color w:val="323E4F" w:themeColor="text2" w:themeShade="BF"/>
                <w:sz w:val="18"/>
                <w:szCs w:val="18"/>
              </w:rPr>
              <w:t xml:space="preserve">Habitat Score </w:t>
            </w:r>
          </w:p>
        </w:tc>
        <w:tc>
          <w:tcPr>
            <w:tcW w:w="1258" w:type="pct"/>
            <w:shd w:val="clear" w:color="auto" w:fill="B1E7FF"/>
            <w:hideMark/>
          </w:tcPr>
          <w:p w14:paraId="26AF8259"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C</w:t>
            </w:r>
          </w:p>
        </w:tc>
        <w:tc>
          <w:tcPr>
            <w:tcW w:w="1895" w:type="pct"/>
            <w:shd w:val="clear" w:color="auto" w:fill="B1E7FF"/>
            <w:hideMark/>
          </w:tcPr>
          <w:p w14:paraId="36285139"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w:t>
            </w:r>
          </w:p>
        </w:tc>
      </w:tr>
      <w:tr w:rsidR="000D5AB3" w14:paraId="57A187E5" w14:textId="77777777" w:rsidTr="000D5AB3">
        <w:trPr>
          <w:trHeight w:val="361"/>
          <w:tblCellSpacing w:w="9" w:type="dxa"/>
        </w:trPr>
        <w:tc>
          <w:tcPr>
            <w:tcW w:w="1808" w:type="pct"/>
            <w:shd w:val="clear" w:color="auto" w:fill="B1E7FF"/>
            <w:hideMark/>
          </w:tcPr>
          <w:p w14:paraId="532EA7D4" w14:textId="77777777" w:rsidR="000D5AB3" w:rsidRDefault="000D5AB3">
            <w:pPr>
              <w:pStyle w:val="ListParagraph"/>
              <w:tabs>
                <w:tab w:val="left" w:pos="668"/>
              </w:tabs>
              <w:spacing w:before="29"/>
              <w:ind w:left="471" w:right="130" w:firstLine="0"/>
              <w:jc w:val="both"/>
              <w:rPr>
                <w:color w:val="323E4F" w:themeColor="text2" w:themeShade="BF"/>
                <w:sz w:val="18"/>
                <w:szCs w:val="18"/>
              </w:rPr>
            </w:pPr>
            <w:r>
              <w:rPr>
                <w:color w:val="323E4F" w:themeColor="text2" w:themeShade="BF"/>
                <w:sz w:val="18"/>
                <w:szCs w:val="18"/>
              </w:rPr>
              <w:t xml:space="preserve">Microalgae </w:t>
            </w:r>
          </w:p>
        </w:tc>
        <w:tc>
          <w:tcPr>
            <w:tcW w:w="1258" w:type="pct"/>
            <w:shd w:val="clear" w:color="auto" w:fill="B1E7FF"/>
            <w:hideMark/>
          </w:tcPr>
          <w:p w14:paraId="3FE95AF0"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C</w:t>
            </w:r>
          </w:p>
        </w:tc>
        <w:tc>
          <w:tcPr>
            <w:tcW w:w="1895" w:type="pct"/>
            <w:shd w:val="clear" w:color="auto" w:fill="B1E7FF"/>
            <w:hideMark/>
          </w:tcPr>
          <w:p w14:paraId="76528ABE"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w:t>
            </w:r>
          </w:p>
        </w:tc>
      </w:tr>
      <w:tr w:rsidR="000D5AB3" w14:paraId="7A2BA20C" w14:textId="77777777" w:rsidTr="000D5AB3">
        <w:trPr>
          <w:trHeight w:val="361"/>
          <w:tblCellSpacing w:w="9" w:type="dxa"/>
        </w:trPr>
        <w:tc>
          <w:tcPr>
            <w:tcW w:w="1808" w:type="pct"/>
            <w:shd w:val="clear" w:color="auto" w:fill="B1E7FF"/>
            <w:hideMark/>
          </w:tcPr>
          <w:p w14:paraId="6AE7332E" w14:textId="77777777" w:rsidR="000D5AB3" w:rsidRDefault="000D5AB3">
            <w:pPr>
              <w:pStyle w:val="ListParagraph"/>
              <w:tabs>
                <w:tab w:val="left" w:pos="668"/>
              </w:tabs>
              <w:spacing w:before="29"/>
              <w:ind w:left="471" w:right="130" w:firstLine="0"/>
              <w:jc w:val="both"/>
              <w:rPr>
                <w:color w:val="323E4F" w:themeColor="text2" w:themeShade="BF"/>
                <w:sz w:val="18"/>
                <w:szCs w:val="18"/>
              </w:rPr>
            </w:pPr>
            <w:r>
              <w:rPr>
                <w:color w:val="323E4F" w:themeColor="text2" w:themeShade="BF"/>
                <w:sz w:val="18"/>
                <w:szCs w:val="18"/>
              </w:rPr>
              <w:lastRenderedPageBreak/>
              <w:t xml:space="preserve">Macrophytes </w:t>
            </w:r>
          </w:p>
        </w:tc>
        <w:tc>
          <w:tcPr>
            <w:tcW w:w="1258" w:type="pct"/>
            <w:shd w:val="clear" w:color="auto" w:fill="B1E7FF"/>
            <w:hideMark/>
          </w:tcPr>
          <w:p w14:paraId="42A3677E"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D</w:t>
            </w:r>
          </w:p>
        </w:tc>
        <w:tc>
          <w:tcPr>
            <w:tcW w:w="1895" w:type="pct"/>
            <w:shd w:val="clear" w:color="auto" w:fill="B1E7FF"/>
            <w:hideMark/>
          </w:tcPr>
          <w:p w14:paraId="11C62950"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w:t>
            </w:r>
          </w:p>
        </w:tc>
      </w:tr>
      <w:tr w:rsidR="000D5AB3" w14:paraId="0E89B2C0" w14:textId="77777777" w:rsidTr="000D5AB3">
        <w:trPr>
          <w:trHeight w:val="361"/>
          <w:tblCellSpacing w:w="9" w:type="dxa"/>
        </w:trPr>
        <w:tc>
          <w:tcPr>
            <w:tcW w:w="1808" w:type="pct"/>
            <w:shd w:val="clear" w:color="auto" w:fill="B1E7FF"/>
            <w:hideMark/>
          </w:tcPr>
          <w:p w14:paraId="76F4AB34" w14:textId="77777777" w:rsidR="000D5AB3" w:rsidRDefault="000D5AB3">
            <w:pPr>
              <w:pStyle w:val="ListParagraph"/>
              <w:tabs>
                <w:tab w:val="left" w:pos="668"/>
              </w:tabs>
              <w:spacing w:before="29"/>
              <w:ind w:left="471" w:right="130" w:firstLine="0"/>
              <w:jc w:val="both"/>
              <w:rPr>
                <w:color w:val="323E4F" w:themeColor="text2" w:themeShade="BF"/>
                <w:sz w:val="18"/>
                <w:szCs w:val="18"/>
              </w:rPr>
            </w:pPr>
            <w:r>
              <w:rPr>
                <w:color w:val="323E4F" w:themeColor="text2" w:themeShade="BF"/>
                <w:sz w:val="18"/>
                <w:szCs w:val="18"/>
              </w:rPr>
              <w:t xml:space="preserve">Invertebrates </w:t>
            </w:r>
          </w:p>
        </w:tc>
        <w:tc>
          <w:tcPr>
            <w:tcW w:w="1258" w:type="pct"/>
            <w:shd w:val="clear" w:color="auto" w:fill="B1E7FF"/>
            <w:hideMark/>
          </w:tcPr>
          <w:p w14:paraId="2358EC0B"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C</w:t>
            </w:r>
          </w:p>
        </w:tc>
        <w:tc>
          <w:tcPr>
            <w:tcW w:w="1895" w:type="pct"/>
            <w:shd w:val="clear" w:color="auto" w:fill="B1E7FF"/>
            <w:hideMark/>
          </w:tcPr>
          <w:p w14:paraId="2564291B"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w:t>
            </w:r>
          </w:p>
        </w:tc>
      </w:tr>
      <w:tr w:rsidR="000D5AB3" w14:paraId="64AF2B83" w14:textId="77777777" w:rsidTr="000D5AB3">
        <w:trPr>
          <w:trHeight w:val="361"/>
          <w:tblCellSpacing w:w="9" w:type="dxa"/>
        </w:trPr>
        <w:tc>
          <w:tcPr>
            <w:tcW w:w="1808" w:type="pct"/>
            <w:shd w:val="clear" w:color="auto" w:fill="B1E7FF"/>
            <w:hideMark/>
          </w:tcPr>
          <w:p w14:paraId="539B1D3B" w14:textId="77777777" w:rsidR="000D5AB3" w:rsidRDefault="000D5AB3">
            <w:pPr>
              <w:pStyle w:val="ListParagraph"/>
              <w:tabs>
                <w:tab w:val="left" w:pos="668"/>
              </w:tabs>
              <w:spacing w:before="29"/>
              <w:ind w:left="471" w:right="130" w:firstLine="0"/>
              <w:jc w:val="both"/>
              <w:rPr>
                <w:color w:val="323E4F" w:themeColor="text2" w:themeShade="BF"/>
                <w:sz w:val="18"/>
                <w:szCs w:val="18"/>
              </w:rPr>
            </w:pPr>
            <w:r>
              <w:rPr>
                <w:color w:val="323E4F" w:themeColor="text2" w:themeShade="BF"/>
                <w:sz w:val="18"/>
                <w:szCs w:val="18"/>
              </w:rPr>
              <w:t xml:space="preserve">Fish </w:t>
            </w:r>
          </w:p>
        </w:tc>
        <w:tc>
          <w:tcPr>
            <w:tcW w:w="1258" w:type="pct"/>
            <w:shd w:val="clear" w:color="auto" w:fill="B1E7FF"/>
            <w:hideMark/>
          </w:tcPr>
          <w:p w14:paraId="00BD4418"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D</w:t>
            </w:r>
          </w:p>
        </w:tc>
        <w:tc>
          <w:tcPr>
            <w:tcW w:w="1895" w:type="pct"/>
            <w:shd w:val="clear" w:color="auto" w:fill="B1E7FF"/>
            <w:hideMark/>
          </w:tcPr>
          <w:p w14:paraId="77E9F028"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w:t>
            </w:r>
          </w:p>
        </w:tc>
      </w:tr>
      <w:tr w:rsidR="000D5AB3" w14:paraId="038B2C8C" w14:textId="77777777" w:rsidTr="000D5AB3">
        <w:trPr>
          <w:trHeight w:val="361"/>
          <w:tblCellSpacing w:w="9" w:type="dxa"/>
        </w:trPr>
        <w:tc>
          <w:tcPr>
            <w:tcW w:w="1808" w:type="pct"/>
            <w:shd w:val="clear" w:color="auto" w:fill="B1E7FF"/>
            <w:hideMark/>
          </w:tcPr>
          <w:p w14:paraId="2F252512" w14:textId="77777777" w:rsidR="000D5AB3" w:rsidRDefault="000D5AB3">
            <w:pPr>
              <w:pStyle w:val="ListParagraph"/>
              <w:tabs>
                <w:tab w:val="left" w:pos="668"/>
              </w:tabs>
              <w:spacing w:before="29"/>
              <w:ind w:left="471" w:right="130" w:firstLine="0"/>
              <w:jc w:val="both"/>
              <w:rPr>
                <w:color w:val="323E4F" w:themeColor="text2" w:themeShade="BF"/>
                <w:sz w:val="18"/>
                <w:szCs w:val="18"/>
              </w:rPr>
            </w:pPr>
            <w:r>
              <w:rPr>
                <w:color w:val="323E4F" w:themeColor="text2" w:themeShade="BF"/>
                <w:sz w:val="18"/>
                <w:szCs w:val="18"/>
              </w:rPr>
              <w:t xml:space="preserve">Birds </w:t>
            </w:r>
          </w:p>
        </w:tc>
        <w:tc>
          <w:tcPr>
            <w:tcW w:w="1258" w:type="pct"/>
            <w:shd w:val="clear" w:color="auto" w:fill="B1E7FF"/>
            <w:hideMark/>
          </w:tcPr>
          <w:p w14:paraId="3F0BED45"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D</w:t>
            </w:r>
          </w:p>
        </w:tc>
        <w:tc>
          <w:tcPr>
            <w:tcW w:w="1895" w:type="pct"/>
            <w:shd w:val="clear" w:color="auto" w:fill="B1E7FF"/>
            <w:hideMark/>
          </w:tcPr>
          <w:p w14:paraId="479A3FB7"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w:t>
            </w:r>
          </w:p>
        </w:tc>
      </w:tr>
      <w:tr w:rsidR="000D5AB3" w14:paraId="22D53583" w14:textId="77777777" w:rsidTr="000D5AB3">
        <w:trPr>
          <w:trHeight w:val="361"/>
          <w:tblCellSpacing w:w="9" w:type="dxa"/>
        </w:trPr>
        <w:tc>
          <w:tcPr>
            <w:tcW w:w="1808" w:type="pct"/>
            <w:shd w:val="clear" w:color="auto" w:fill="B1E7FF"/>
            <w:hideMark/>
          </w:tcPr>
          <w:p w14:paraId="0D389AE7" w14:textId="77777777" w:rsidR="000D5AB3" w:rsidRDefault="000D5AB3">
            <w:pPr>
              <w:pStyle w:val="ListParagraph"/>
              <w:tabs>
                <w:tab w:val="left" w:pos="668"/>
              </w:tabs>
              <w:spacing w:before="29"/>
              <w:ind w:left="471" w:right="130" w:firstLine="0"/>
              <w:jc w:val="both"/>
              <w:rPr>
                <w:color w:val="323E4F" w:themeColor="text2" w:themeShade="BF"/>
                <w:sz w:val="18"/>
                <w:szCs w:val="18"/>
              </w:rPr>
            </w:pPr>
            <w:r>
              <w:rPr>
                <w:color w:val="323E4F" w:themeColor="text2" w:themeShade="BF"/>
                <w:sz w:val="18"/>
                <w:szCs w:val="18"/>
              </w:rPr>
              <w:t xml:space="preserve">Biological Score </w:t>
            </w:r>
          </w:p>
        </w:tc>
        <w:tc>
          <w:tcPr>
            <w:tcW w:w="1258" w:type="pct"/>
            <w:shd w:val="clear" w:color="auto" w:fill="B1E7FF"/>
            <w:hideMark/>
          </w:tcPr>
          <w:p w14:paraId="4F9B518E"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C</w:t>
            </w:r>
          </w:p>
        </w:tc>
        <w:tc>
          <w:tcPr>
            <w:tcW w:w="1895" w:type="pct"/>
            <w:shd w:val="clear" w:color="auto" w:fill="B1E7FF"/>
            <w:hideMark/>
          </w:tcPr>
          <w:p w14:paraId="149492EC"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w:t>
            </w:r>
          </w:p>
        </w:tc>
      </w:tr>
      <w:tr w:rsidR="000D5AB3" w14:paraId="76898A4C" w14:textId="77777777" w:rsidTr="000D5AB3">
        <w:trPr>
          <w:trHeight w:val="361"/>
          <w:tblCellSpacing w:w="9" w:type="dxa"/>
        </w:trPr>
        <w:tc>
          <w:tcPr>
            <w:tcW w:w="1808" w:type="pct"/>
            <w:shd w:val="clear" w:color="auto" w:fill="B1E7FF"/>
            <w:hideMark/>
          </w:tcPr>
          <w:p w14:paraId="6872AAE5" w14:textId="77777777" w:rsidR="000D5AB3" w:rsidRDefault="000D5AB3">
            <w:pPr>
              <w:pStyle w:val="ListParagraph"/>
              <w:tabs>
                <w:tab w:val="left" w:pos="668"/>
              </w:tabs>
              <w:spacing w:before="29"/>
              <w:ind w:left="471" w:right="130" w:firstLine="0"/>
              <w:jc w:val="both"/>
              <w:rPr>
                <w:color w:val="323E4F" w:themeColor="text2" w:themeShade="BF"/>
                <w:sz w:val="18"/>
                <w:szCs w:val="18"/>
              </w:rPr>
            </w:pPr>
            <w:r>
              <w:rPr>
                <w:color w:val="323E4F" w:themeColor="text2" w:themeShade="BF"/>
                <w:sz w:val="18"/>
                <w:szCs w:val="18"/>
              </w:rPr>
              <w:t>Overall</w:t>
            </w:r>
          </w:p>
        </w:tc>
        <w:tc>
          <w:tcPr>
            <w:tcW w:w="1258" w:type="pct"/>
            <w:shd w:val="clear" w:color="auto" w:fill="B1E7FF"/>
            <w:hideMark/>
          </w:tcPr>
          <w:p w14:paraId="1212F7E6"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C</w:t>
            </w:r>
          </w:p>
        </w:tc>
        <w:tc>
          <w:tcPr>
            <w:tcW w:w="1895" w:type="pct"/>
            <w:shd w:val="clear" w:color="auto" w:fill="B1E7FF"/>
            <w:hideMark/>
          </w:tcPr>
          <w:p w14:paraId="7CBCEAD3" w14:textId="77777777" w:rsidR="000D5AB3" w:rsidRDefault="000D5AB3">
            <w:pPr>
              <w:pStyle w:val="TableParagraph"/>
              <w:spacing w:line="268" w:lineRule="auto"/>
              <w:ind w:left="-1" w:right="173"/>
              <w:jc w:val="center"/>
              <w:rPr>
                <w:color w:val="323E4F" w:themeColor="text2" w:themeShade="BF"/>
                <w:sz w:val="18"/>
                <w:szCs w:val="18"/>
              </w:rPr>
            </w:pPr>
            <w:r>
              <w:rPr>
                <w:color w:val="323E4F" w:themeColor="text2" w:themeShade="BF"/>
                <w:sz w:val="18"/>
                <w:szCs w:val="18"/>
              </w:rPr>
              <w:t>B</w:t>
            </w:r>
          </w:p>
        </w:tc>
      </w:tr>
    </w:tbl>
    <w:p w14:paraId="158B8A4F" w14:textId="77777777" w:rsidR="000D5AB3" w:rsidRDefault="000D5AB3" w:rsidP="000D5AB3">
      <w:pPr>
        <w:pStyle w:val="BodyText"/>
        <w:ind w:right="581"/>
        <w:jc w:val="both"/>
        <w:rPr>
          <w:color w:val="323E4F" w:themeColor="text2" w:themeShade="BF"/>
        </w:rPr>
      </w:pPr>
    </w:p>
    <w:p w14:paraId="2545C68D" w14:textId="77777777" w:rsidR="000D5AB3" w:rsidRDefault="000D5AB3" w:rsidP="000D5AB3">
      <w:pPr>
        <w:pStyle w:val="Heading3"/>
        <w:numPr>
          <w:ilvl w:val="2"/>
          <w:numId w:val="2"/>
        </w:numPr>
        <w:ind w:left="1134" w:hanging="850"/>
        <w:rPr>
          <w:i w:val="0"/>
        </w:rPr>
      </w:pPr>
      <w:bookmarkStart w:id="41" w:name="_Toc127283790"/>
      <w:r>
        <w:rPr>
          <w:i w:val="0"/>
        </w:rPr>
        <w:t>Wetland Monitoring</w:t>
      </w:r>
      <w:bookmarkEnd w:id="41"/>
    </w:p>
    <w:p w14:paraId="00DEDE80" w14:textId="77777777" w:rsidR="000D5AB3" w:rsidRDefault="000D5AB3" w:rsidP="000D5AB3">
      <w:pPr>
        <w:pStyle w:val="Heading4"/>
        <w:numPr>
          <w:ilvl w:val="3"/>
          <w:numId w:val="2"/>
        </w:numPr>
        <w:ind w:left="1276" w:hanging="992"/>
        <w:rPr>
          <w:b/>
          <w:bCs w:val="0"/>
          <w:i w:val="0"/>
          <w:iCs/>
          <w:color w:val="323E4F" w:themeColor="text2" w:themeShade="BF"/>
        </w:rPr>
      </w:pPr>
      <w:bookmarkStart w:id="42" w:name="_Toc127283791"/>
      <w:r>
        <w:rPr>
          <w:b/>
          <w:bCs w:val="0"/>
          <w:i w:val="0"/>
          <w:iCs/>
          <w:color w:val="323E4F" w:themeColor="text2" w:themeShade="BF"/>
        </w:rPr>
        <w:t>Phase 1: Pre-Construction Baseline</w:t>
      </w:r>
      <w:bookmarkEnd w:id="42"/>
    </w:p>
    <w:p w14:paraId="010A8EB9" w14:textId="77777777" w:rsidR="000D5AB3" w:rsidRDefault="000D5AB3" w:rsidP="000D5AB3">
      <w:pPr>
        <w:pStyle w:val="BodyText"/>
        <w:spacing w:before="162" w:line="268" w:lineRule="auto"/>
        <w:ind w:left="308" w:right="571"/>
        <w:jc w:val="both"/>
        <w:rPr>
          <w:color w:val="323E4F" w:themeColor="text2" w:themeShade="BF"/>
        </w:rPr>
      </w:pPr>
      <w:r>
        <w:rPr>
          <w:color w:val="323E4F" w:themeColor="text2" w:themeShade="BF"/>
        </w:rPr>
        <w:t xml:space="preserve">Wetland habitat has been identified in the central portions of the proposed new STP site. According to the South African Inventory of Inland Aquatic Ecosystems (SAIIAE), the </w:t>
      </w:r>
      <w:proofErr w:type="spellStart"/>
      <w:r>
        <w:rPr>
          <w:color w:val="323E4F" w:themeColor="text2" w:themeShade="BF"/>
        </w:rPr>
        <w:t>uMkomazi</w:t>
      </w:r>
      <w:proofErr w:type="spellEnd"/>
      <w:r>
        <w:rPr>
          <w:color w:val="323E4F" w:themeColor="text2" w:themeShade="BF"/>
        </w:rPr>
        <w:t xml:space="preserve"> Wetland is a perennial wetland that is Moderately Modified in terms of the Present Ecological State (PES). The Threat Status of the wetland is classified as Endangered and poorly protected which calls for the need for careful management and monitoring of this type of freshwater ecosystem. Segments of the </w:t>
      </w:r>
      <w:proofErr w:type="spellStart"/>
      <w:r>
        <w:rPr>
          <w:color w:val="323E4F" w:themeColor="text2" w:themeShade="BF"/>
        </w:rPr>
        <w:t>uMkhomazi</w:t>
      </w:r>
      <w:proofErr w:type="spellEnd"/>
      <w:r>
        <w:rPr>
          <w:color w:val="323E4F" w:themeColor="text2" w:themeShade="BF"/>
        </w:rPr>
        <w:t xml:space="preserve"> River and estuary upstream of the SAPPI weir have been identified as wetland Freshwater Ecosystem Priority Areas (FEPA). The estuarine habitat below the weir has been classified as non-FEPA. </w:t>
      </w:r>
    </w:p>
    <w:p w14:paraId="0D1207DC" w14:textId="77777777" w:rsidR="000D5AB3" w:rsidRDefault="000D5AB3" w:rsidP="000D5AB3">
      <w:pPr>
        <w:pStyle w:val="BodyText"/>
        <w:spacing w:before="162" w:line="268" w:lineRule="auto"/>
        <w:ind w:left="308" w:right="571"/>
        <w:jc w:val="both"/>
        <w:rPr>
          <w:color w:val="323E4F" w:themeColor="text2" w:themeShade="BF"/>
        </w:rPr>
      </w:pPr>
      <w:r>
        <w:rPr>
          <w:color w:val="323E4F" w:themeColor="text2" w:themeShade="BF"/>
        </w:rPr>
        <w:t xml:space="preserve">In terms of wetland habitat associated with the estuary, the reader is referred to the estuarine monitoring recommendations. In terms of smaller freshwater wetlands that may be impacted by the WWTW itself, pipelines or pumpstations, it’s difficult to set a </w:t>
      </w:r>
      <w:proofErr w:type="spellStart"/>
      <w:r>
        <w:rPr>
          <w:color w:val="323E4F" w:themeColor="text2" w:themeShade="BF"/>
        </w:rPr>
        <w:t>ToR</w:t>
      </w:r>
      <w:proofErr w:type="spellEnd"/>
      <w:r>
        <w:rPr>
          <w:color w:val="323E4F" w:themeColor="text2" w:themeShade="BF"/>
        </w:rPr>
        <w:t xml:space="preserve"> for monitoring recommendations when potentially impacted wetlands have not been identified and delineated (in field) as part of baseline studies. The National desktop datasets mentioned above are not accurate enough (in their current form) to be a reliable basis for setting firm monitoring requirements. Freshwater wetland monitoring recommendation would need to be informed by baseline studies and field work. Furthermore, monitoring needs to be informed by the risks posed by development plans in relation to individual wetlands (to be identified at finer scales), and in the context of existing impacts to those wetlands. To inform long-term monitoring, good baseline monitoring data would need to be collected. At minimum this would need to include:</w:t>
      </w:r>
    </w:p>
    <w:p w14:paraId="07C427D3"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Infield delineation of freshwater habitat to be measurably affected by the proposed development. The freshwater habitats should be delineated according to the methods contained in the manual ‘A Practical Field Procedure for Identification and Delineation of Wetland and Riparian Areas’ (</w:t>
      </w:r>
      <w:bookmarkStart w:id="43" w:name="_Hlk63245032"/>
      <w:r>
        <w:rPr>
          <w:color w:val="323E4F" w:themeColor="text2" w:themeShade="BF"/>
          <w:sz w:val="20"/>
        </w:rPr>
        <w:t>DWAF, 2005</w:t>
      </w:r>
      <w:bookmarkEnd w:id="43"/>
      <w:r>
        <w:rPr>
          <w:color w:val="323E4F" w:themeColor="text2" w:themeShade="BF"/>
          <w:sz w:val="20"/>
        </w:rPr>
        <w:t>).</w:t>
      </w:r>
    </w:p>
    <w:p w14:paraId="0B388AE4"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Subdivision of delineated wetland and riparian areas into definable resource units and the classification of these units according to the national wetland and aquatic ecosystem classification system (</w:t>
      </w:r>
      <w:bookmarkStart w:id="44" w:name="_Hlk63245039"/>
      <w:proofErr w:type="spellStart"/>
      <w:r>
        <w:rPr>
          <w:color w:val="323E4F" w:themeColor="text2" w:themeShade="BF"/>
          <w:sz w:val="20"/>
        </w:rPr>
        <w:t>Ollis</w:t>
      </w:r>
      <w:proofErr w:type="spellEnd"/>
      <w:r>
        <w:rPr>
          <w:color w:val="323E4F" w:themeColor="text2" w:themeShade="BF"/>
          <w:sz w:val="20"/>
        </w:rPr>
        <w:t xml:space="preserve"> et al., 2013</w:t>
      </w:r>
      <w:bookmarkEnd w:id="44"/>
      <w:r>
        <w:rPr>
          <w:color w:val="323E4F" w:themeColor="text2" w:themeShade="BF"/>
          <w:sz w:val="20"/>
        </w:rPr>
        <w:t>).</w:t>
      </w:r>
    </w:p>
    <w:p w14:paraId="133500EA"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 xml:space="preserve">Description of the biophysical characteristics of the delineated watercourses </w:t>
      </w:r>
      <w:proofErr w:type="gramStart"/>
      <w:r>
        <w:rPr>
          <w:color w:val="323E4F" w:themeColor="text2" w:themeShade="BF"/>
          <w:sz w:val="20"/>
        </w:rPr>
        <w:t>i.e.</w:t>
      </w:r>
      <w:proofErr w:type="gramEnd"/>
      <w:r>
        <w:rPr>
          <w:color w:val="323E4F" w:themeColor="text2" w:themeShade="BF"/>
          <w:sz w:val="20"/>
        </w:rPr>
        <w:t xml:space="preserve"> topography, soils, plant communities and hydro-geomorphic characteristics.</w:t>
      </w:r>
    </w:p>
    <w:p w14:paraId="7370DCF4"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Assessment of the present ecological state (PES) of the delineated wetland units using published assessment tools (</w:t>
      </w:r>
      <w:proofErr w:type="gramStart"/>
      <w:r>
        <w:rPr>
          <w:color w:val="323E4F" w:themeColor="text2" w:themeShade="BF"/>
          <w:sz w:val="20"/>
        </w:rPr>
        <w:t>i.e.</w:t>
      </w:r>
      <w:proofErr w:type="gramEnd"/>
      <w:r>
        <w:rPr>
          <w:color w:val="323E4F" w:themeColor="text2" w:themeShade="BF"/>
          <w:sz w:val="20"/>
        </w:rPr>
        <w:t xml:space="preserve"> WET-Health tool suite developed by Macfarlane et al, 2022).</w:t>
      </w:r>
    </w:p>
    <w:p w14:paraId="4BD97C78"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Assessment of wetland functionality and service delivery using published assessment tools (</w:t>
      </w:r>
      <w:proofErr w:type="gramStart"/>
      <w:r>
        <w:rPr>
          <w:color w:val="323E4F" w:themeColor="text2" w:themeShade="BF"/>
          <w:sz w:val="20"/>
        </w:rPr>
        <w:t>i.e.</w:t>
      </w:r>
      <w:proofErr w:type="gramEnd"/>
      <w:r>
        <w:rPr>
          <w:color w:val="323E4F" w:themeColor="text2" w:themeShade="BF"/>
          <w:sz w:val="20"/>
        </w:rPr>
        <w:t xml:space="preserve"> WET-</w:t>
      </w:r>
      <w:proofErr w:type="spellStart"/>
      <w:r>
        <w:rPr>
          <w:color w:val="323E4F" w:themeColor="text2" w:themeShade="BF"/>
          <w:sz w:val="20"/>
        </w:rPr>
        <w:t>EcoServices</w:t>
      </w:r>
      <w:proofErr w:type="spellEnd"/>
      <w:r>
        <w:rPr>
          <w:color w:val="323E4F" w:themeColor="text2" w:themeShade="BF"/>
          <w:sz w:val="20"/>
        </w:rPr>
        <w:t xml:space="preserve"> developed by Kotze et al, 2021).</w:t>
      </w:r>
    </w:p>
    <w:p w14:paraId="7188DCEF"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 xml:space="preserve">Assessment of the Ecological Importance and Sensitivity (EIS) of the delineated watercourse units using appropriate EIS tools. </w:t>
      </w:r>
    </w:p>
    <w:p w14:paraId="2A90B8C2"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 xml:space="preserve">Determine the recommended ecological category (REC) and recommended management </w:t>
      </w:r>
      <w:r>
        <w:rPr>
          <w:color w:val="323E4F" w:themeColor="text2" w:themeShade="BF"/>
          <w:sz w:val="20"/>
        </w:rPr>
        <w:lastRenderedPageBreak/>
        <w:t>objectives.</w:t>
      </w:r>
    </w:p>
    <w:p w14:paraId="0D0CAEBD"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Outline key elements and sensitivities of wetland habitats delineated that require monitoring, and at which locations, and by which means.</w:t>
      </w:r>
    </w:p>
    <w:p w14:paraId="3A984E58"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 xml:space="preserve">Refine and set </w:t>
      </w:r>
      <w:proofErr w:type="spellStart"/>
      <w:r>
        <w:rPr>
          <w:color w:val="323E4F" w:themeColor="text2" w:themeShade="BF"/>
          <w:sz w:val="20"/>
        </w:rPr>
        <w:t>ToR</w:t>
      </w:r>
      <w:proofErr w:type="spellEnd"/>
      <w:r>
        <w:rPr>
          <w:color w:val="323E4F" w:themeColor="text2" w:themeShade="BF"/>
          <w:sz w:val="20"/>
        </w:rPr>
        <w:t xml:space="preserve"> for a wetland monitoring plan.</w:t>
      </w:r>
    </w:p>
    <w:p w14:paraId="00025CF7"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Determine any specific management actions to individual wetland units considering the planned development and the PES and EIS of the wetland receptors.</w:t>
      </w:r>
    </w:p>
    <w:p w14:paraId="75B51EC8" w14:textId="77777777" w:rsidR="000D5AB3" w:rsidRDefault="000D5AB3" w:rsidP="000D5AB3">
      <w:pPr>
        <w:pStyle w:val="BodyText"/>
        <w:spacing w:before="162" w:line="268" w:lineRule="auto"/>
        <w:ind w:left="308" w:right="566"/>
        <w:jc w:val="both"/>
        <w:rPr>
          <w:color w:val="323E4F" w:themeColor="text2" w:themeShade="BF"/>
        </w:rPr>
      </w:pPr>
      <w:r>
        <w:rPr>
          <w:color w:val="323E4F" w:themeColor="text2" w:themeShade="BF"/>
        </w:rPr>
        <w:t>A</w:t>
      </w:r>
      <w:r>
        <w:rPr>
          <w:color w:val="323E4F" w:themeColor="text2" w:themeShade="BF"/>
          <w:spacing w:val="-16"/>
        </w:rPr>
        <w:t xml:space="preserve"> </w:t>
      </w:r>
      <w:r>
        <w:rPr>
          <w:color w:val="323E4F" w:themeColor="text2" w:themeShade="BF"/>
        </w:rPr>
        <w:t>wetland</w:t>
      </w:r>
      <w:r>
        <w:rPr>
          <w:color w:val="323E4F" w:themeColor="text2" w:themeShade="BF"/>
          <w:spacing w:val="-15"/>
        </w:rPr>
        <w:t xml:space="preserve"> </w:t>
      </w:r>
      <w:r>
        <w:rPr>
          <w:color w:val="323E4F" w:themeColor="text2" w:themeShade="BF"/>
        </w:rPr>
        <w:t>monitoring</w:t>
      </w:r>
      <w:r>
        <w:rPr>
          <w:color w:val="323E4F" w:themeColor="text2" w:themeShade="BF"/>
          <w:spacing w:val="-13"/>
        </w:rPr>
        <w:t xml:space="preserve"> </w:t>
      </w:r>
      <w:r>
        <w:rPr>
          <w:color w:val="323E4F" w:themeColor="text2" w:themeShade="BF"/>
        </w:rPr>
        <w:t>plan</w:t>
      </w:r>
      <w:r>
        <w:rPr>
          <w:color w:val="323E4F" w:themeColor="text2" w:themeShade="BF"/>
          <w:spacing w:val="-14"/>
        </w:rPr>
        <w:t xml:space="preserve"> </w:t>
      </w:r>
      <w:r>
        <w:rPr>
          <w:color w:val="323E4F" w:themeColor="text2" w:themeShade="BF"/>
        </w:rPr>
        <w:t>will</w:t>
      </w:r>
      <w:r>
        <w:rPr>
          <w:color w:val="323E4F" w:themeColor="text2" w:themeShade="BF"/>
          <w:spacing w:val="-15"/>
        </w:rPr>
        <w:t xml:space="preserve"> </w:t>
      </w:r>
      <w:r>
        <w:rPr>
          <w:color w:val="323E4F" w:themeColor="text2" w:themeShade="BF"/>
        </w:rPr>
        <w:t>need</w:t>
      </w:r>
      <w:r>
        <w:rPr>
          <w:color w:val="323E4F" w:themeColor="text2" w:themeShade="BF"/>
          <w:spacing w:val="-16"/>
        </w:rPr>
        <w:t xml:space="preserve"> </w:t>
      </w:r>
      <w:r>
        <w:rPr>
          <w:color w:val="323E4F" w:themeColor="text2" w:themeShade="BF"/>
        </w:rPr>
        <w:t>to</w:t>
      </w:r>
      <w:r>
        <w:rPr>
          <w:color w:val="323E4F" w:themeColor="text2" w:themeShade="BF"/>
          <w:spacing w:val="-14"/>
        </w:rPr>
        <w:t xml:space="preserve"> </w:t>
      </w:r>
      <w:r>
        <w:rPr>
          <w:color w:val="323E4F" w:themeColor="text2" w:themeShade="BF"/>
        </w:rPr>
        <w:t>be</w:t>
      </w:r>
      <w:r>
        <w:rPr>
          <w:color w:val="323E4F" w:themeColor="text2" w:themeShade="BF"/>
          <w:spacing w:val="-13"/>
        </w:rPr>
        <w:t xml:space="preserve"> </w:t>
      </w:r>
      <w:r>
        <w:rPr>
          <w:color w:val="323E4F" w:themeColor="text2" w:themeShade="BF"/>
        </w:rPr>
        <w:t>compiled</w:t>
      </w:r>
      <w:r>
        <w:rPr>
          <w:color w:val="323E4F" w:themeColor="text2" w:themeShade="BF"/>
          <w:spacing w:val="-12"/>
        </w:rPr>
        <w:t xml:space="preserve"> </w:t>
      </w:r>
      <w:r>
        <w:rPr>
          <w:color w:val="323E4F" w:themeColor="text2" w:themeShade="BF"/>
        </w:rPr>
        <w:t>once</w:t>
      </w:r>
      <w:r>
        <w:rPr>
          <w:color w:val="323E4F" w:themeColor="text2" w:themeShade="BF"/>
          <w:spacing w:val="-14"/>
        </w:rPr>
        <w:t xml:space="preserve"> </w:t>
      </w:r>
      <w:r>
        <w:rPr>
          <w:color w:val="323E4F" w:themeColor="text2" w:themeShade="BF"/>
        </w:rPr>
        <w:t>wetlands</w:t>
      </w:r>
      <w:r>
        <w:rPr>
          <w:color w:val="323E4F" w:themeColor="text2" w:themeShade="BF"/>
          <w:spacing w:val="-14"/>
        </w:rPr>
        <w:t xml:space="preserve"> </w:t>
      </w:r>
      <w:r>
        <w:rPr>
          <w:color w:val="323E4F" w:themeColor="text2" w:themeShade="BF"/>
        </w:rPr>
        <w:t>are</w:t>
      </w:r>
      <w:r>
        <w:rPr>
          <w:color w:val="323E4F" w:themeColor="text2" w:themeShade="BF"/>
          <w:spacing w:val="-14"/>
        </w:rPr>
        <w:t xml:space="preserve"> </w:t>
      </w:r>
      <w:r>
        <w:rPr>
          <w:color w:val="323E4F" w:themeColor="text2" w:themeShade="BF"/>
        </w:rPr>
        <w:t>delineated</w:t>
      </w:r>
      <w:r>
        <w:rPr>
          <w:color w:val="323E4F" w:themeColor="text2" w:themeShade="BF"/>
          <w:spacing w:val="-13"/>
        </w:rPr>
        <w:t xml:space="preserve"> </w:t>
      </w:r>
      <w:r>
        <w:rPr>
          <w:color w:val="323E4F" w:themeColor="text2" w:themeShade="BF"/>
        </w:rPr>
        <w:t>and</w:t>
      </w:r>
      <w:r>
        <w:rPr>
          <w:color w:val="323E4F" w:themeColor="text2" w:themeShade="BF"/>
          <w:spacing w:val="-14"/>
        </w:rPr>
        <w:t xml:space="preserve"> </w:t>
      </w:r>
      <w:r>
        <w:rPr>
          <w:color w:val="323E4F" w:themeColor="text2" w:themeShade="BF"/>
        </w:rPr>
        <w:t>wetland</w:t>
      </w:r>
      <w:r>
        <w:rPr>
          <w:color w:val="323E4F" w:themeColor="text2" w:themeShade="BF"/>
          <w:spacing w:val="-13"/>
        </w:rPr>
        <w:t xml:space="preserve"> </w:t>
      </w:r>
      <w:r>
        <w:rPr>
          <w:color w:val="323E4F" w:themeColor="text2" w:themeShade="BF"/>
        </w:rPr>
        <w:t>functionality and health determined. The plan must</w:t>
      </w:r>
      <w:r>
        <w:rPr>
          <w:color w:val="323E4F" w:themeColor="text2" w:themeShade="BF"/>
          <w:spacing w:val="-1"/>
        </w:rPr>
        <w:t xml:space="preserve"> </w:t>
      </w:r>
      <w:r>
        <w:rPr>
          <w:color w:val="323E4F" w:themeColor="text2" w:themeShade="BF"/>
        </w:rPr>
        <w:t>include:</w:t>
      </w:r>
    </w:p>
    <w:p w14:paraId="406AE18F"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 xml:space="preserve">Wetland monitoring </w:t>
      </w:r>
      <w:proofErr w:type="gramStart"/>
      <w:r>
        <w:rPr>
          <w:color w:val="323E4F" w:themeColor="text2" w:themeShade="BF"/>
          <w:sz w:val="20"/>
        </w:rPr>
        <w:t>points;</w:t>
      </w:r>
      <w:proofErr w:type="gramEnd"/>
    </w:p>
    <w:p w14:paraId="5F5BF8CC"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Water sampling twice a year at a specific date to account for seasonal flow variations: one in June at low flow and again in December at high flow. These samples should then be compared with the reference analysis. Samples must be taken in freestanding exposed water.</w:t>
      </w:r>
    </w:p>
    <w:p w14:paraId="66649FBF" w14:textId="77777777" w:rsidR="000D5AB3" w:rsidRDefault="000D5AB3" w:rsidP="000D5AB3">
      <w:pPr>
        <w:pStyle w:val="ListParagraph"/>
        <w:numPr>
          <w:ilvl w:val="0"/>
          <w:numId w:val="24"/>
        </w:numPr>
        <w:tabs>
          <w:tab w:val="left" w:pos="709"/>
        </w:tabs>
        <w:spacing w:before="29"/>
        <w:ind w:left="720" w:right="566"/>
        <w:jc w:val="both"/>
        <w:rPr>
          <w:color w:val="323E4F" w:themeColor="text2" w:themeShade="BF"/>
          <w:sz w:val="20"/>
        </w:rPr>
      </w:pPr>
      <w:r>
        <w:rPr>
          <w:color w:val="323E4F" w:themeColor="text2" w:themeShade="BF"/>
          <w:sz w:val="20"/>
        </w:rPr>
        <w:t xml:space="preserve">The following components should be analysed: pH, SO4, K, NaCl, TDS, and TSS. The analysis should be done by an approved laboratory. The report should compare the data with the reference and all the previous data </w:t>
      </w:r>
      <w:proofErr w:type="gramStart"/>
      <w:r>
        <w:rPr>
          <w:color w:val="323E4F" w:themeColor="text2" w:themeShade="BF"/>
          <w:sz w:val="20"/>
        </w:rPr>
        <w:t>in order to</w:t>
      </w:r>
      <w:proofErr w:type="gramEnd"/>
      <w:r>
        <w:rPr>
          <w:color w:val="323E4F" w:themeColor="text2" w:themeShade="BF"/>
          <w:sz w:val="20"/>
        </w:rPr>
        <w:t xml:space="preserve"> ascertain if there is variation that should be addressed in either the effluent management or the wetland condition.</w:t>
      </w:r>
    </w:p>
    <w:p w14:paraId="3D5142F8" w14:textId="77777777" w:rsidR="000D5AB3" w:rsidRDefault="000D5AB3" w:rsidP="000D5AB3">
      <w:pPr>
        <w:pStyle w:val="Heading4"/>
        <w:numPr>
          <w:ilvl w:val="3"/>
          <w:numId w:val="2"/>
        </w:numPr>
        <w:ind w:left="1276" w:hanging="992"/>
        <w:rPr>
          <w:b/>
          <w:bCs w:val="0"/>
          <w:i w:val="0"/>
          <w:iCs/>
          <w:color w:val="323E4F" w:themeColor="text2" w:themeShade="BF"/>
        </w:rPr>
      </w:pPr>
      <w:bookmarkStart w:id="45" w:name="_Toc127283792"/>
      <w:r>
        <w:rPr>
          <w:b/>
          <w:bCs w:val="0"/>
          <w:i w:val="0"/>
          <w:iCs/>
          <w:color w:val="323E4F" w:themeColor="text2" w:themeShade="BF"/>
        </w:rPr>
        <w:t>Phase 2: Monitoring (During Construction)</w:t>
      </w:r>
      <w:bookmarkEnd w:id="45"/>
    </w:p>
    <w:p w14:paraId="7183031A" w14:textId="77777777" w:rsidR="000D5AB3" w:rsidRDefault="000D5AB3" w:rsidP="000D5AB3">
      <w:pPr>
        <w:pStyle w:val="BodyText"/>
        <w:spacing w:before="162" w:line="268" w:lineRule="auto"/>
        <w:ind w:left="308" w:right="566"/>
        <w:jc w:val="both"/>
        <w:rPr>
          <w:color w:val="323E4F" w:themeColor="text2" w:themeShade="BF"/>
        </w:rPr>
      </w:pPr>
      <w:r>
        <w:rPr>
          <w:color w:val="323E4F" w:themeColor="text2" w:themeShade="BF"/>
        </w:rPr>
        <w:t xml:space="preserve">Construction phase monitoring requirements are to be informed/ refined by baseline assessments. Broadly, the following monitoring criteria should be considered when developing a monitoring plan or a </w:t>
      </w:r>
      <w:proofErr w:type="spellStart"/>
      <w:r>
        <w:rPr>
          <w:color w:val="323E4F" w:themeColor="text2" w:themeShade="BF"/>
        </w:rPr>
        <w:t>ToR</w:t>
      </w:r>
      <w:proofErr w:type="spellEnd"/>
      <w:r>
        <w:rPr>
          <w:color w:val="323E4F" w:themeColor="text2" w:themeShade="BF"/>
        </w:rPr>
        <w:t xml:space="preserve"> for a monitoring plan:</w:t>
      </w:r>
    </w:p>
    <w:p w14:paraId="4A1AE293"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The development and migration of headward erosion (head cuts).</w:t>
      </w:r>
    </w:p>
    <w:p w14:paraId="0472EB10"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 xml:space="preserve">Accidental spills of hazardous substances </w:t>
      </w:r>
    </w:p>
    <w:p w14:paraId="47B06721"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Accidental incursions/ disturbances of sensitive no-go areas.</w:t>
      </w:r>
    </w:p>
    <w:p w14:paraId="55713E2B"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Channel incision and bank erosion (channelled wetlands).</w:t>
      </w:r>
    </w:p>
    <w:p w14:paraId="746AE803"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Evidence of excessive sedimentation.</w:t>
      </w:r>
    </w:p>
    <w:p w14:paraId="4453A69D"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Alien plant infestations.</w:t>
      </w:r>
    </w:p>
    <w:p w14:paraId="582BA1B0"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Changes in the structure and composition and vegetation communities over time informed by vegetation surveys, plots, transects and fixed-point photography.</w:t>
      </w:r>
    </w:p>
    <w:p w14:paraId="1CE6AFD0"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Pollution/ water quality.</w:t>
      </w:r>
    </w:p>
    <w:p w14:paraId="58F36DFE"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Assessment of changes to overall wetland health (PES) over time using published assessment tools (</w:t>
      </w:r>
      <w:proofErr w:type="gramStart"/>
      <w:r>
        <w:rPr>
          <w:color w:val="323E4F" w:themeColor="text2" w:themeShade="BF"/>
          <w:sz w:val="20"/>
        </w:rPr>
        <w:t>i.e.</w:t>
      </w:r>
      <w:proofErr w:type="gramEnd"/>
      <w:r>
        <w:rPr>
          <w:color w:val="323E4F" w:themeColor="text2" w:themeShade="BF"/>
          <w:sz w:val="20"/>
        </w:rPr>
        <w:t xml:space="preserve"> WET-Health tool suite developed by Macfarlane et al, 2022) against REC set during baseline assessments for individual wetlands.</w:t>
      </w:r>
    </w:p>
    <w:p w14:paraId="0DCF824B"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Assessment of changes to wetland functionality and service delivery over time using published assessment tools (</w:t>
      </w:r>
      <w:proofErr w:type="gramStart"/>
      <w:r>
        <w:rPr>
          <w:color w:val="323E4F" w:themeColor="text2" w:themeShade="BF"/>
          <w:sz w:val="20"/>
        </w:rPr>
        <w:t>i.e.</w:t>
      </w:r>
      <w:proofErr w:type="gramEnd"/>
      <w:r>
        <w:rPr>
          <w:color w:val="323E4F" w:themeColor="text2" w:themeShade="BF"/>
          <w:sz w:val="20"/>
        </w:rPr>
        <w:t xml:space="preserve"> WET-</w:t>
      </w:r>
      <w:proofErr w:type="spellStart"/>
      <w:r>
        <w:rPr>
          <w:color w:val="323E4F" w:themeColor="text2" w:themeShade="BF"/>
          <w:sz w:val="20"/>
        </w:rPr>
        <w:t>EcoServices</w:t>
      </w:r>
      <w:proofErr w:type="spellEnd"/>
      <w:r>
        <w:rPr>
          <w:color w:val="323E4F" w:themeColor="text2" w:themeShade="BF"/>
          <w:sz w:val="20"/>
        </w:rPr>
        <w:t xml:space="preserve"> developed by Kotze et al, 2021) against REC set during baseline assessments for individual wetlands.</w:t>
      </w:r>
    </w:p>
    <w:p w14:paraId="6CC622A1" w14:textId="77777777" w:rsidR="000D5AB3" w:rsidRDefault="000D5AB3" w:rsidP="000D5AB3">
      <w:pPr>
        <w:pStyle w:val="BodyText"/>
        <w:ind w:left="308" w:right="566"/>
        <w:jc w:val="both"/>
        <w:rPr>
          <w:i/>
          <w:iCs/>
          <w:color w:val="323E4F" w:themeColor="text2" w:themeShade="BF"/>
        </w:rPr>
      </w:pPr>
    </w:p>
    <w:p w14:paraId="082B5ADA" w14:textId="77777777" w:rsidR="000D5AB3" w:rsidRDefault="000D5AB3" w:rsidP="000D5AB3">
      <w:pPr>
        <w:pStyle w:val="BodyText"/>
        <w:ind w:left="308" w:right="566"/>
        <w:jc w:val="both"/>
        <w:rPr>
          <w:color w:val="323E4F" w:themeColor="text2" w:themeShade="BF"/>
        </w:rPr>
      </w:pPr>
      <w:r>
        <w:rPr>
          <w:color w:val="323E4F" w:themeColor="text2" w:themeShade="BF"/>
        </w:rPr>
        <w:t>Monitoring and reporting frequency</w:t>
      </w:r>
    </w:p>
    <w:p w14:paraId="02490117"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 xml:space="preserve">To be determined by the effected wetland units. In principle, basic visual </w:t>
      </w:r>
      <w:proofErr w:type="gramStart"/>
      <w:r>
        <w:rPr>
          <w:color w:val="323E4F" w:themeColor="text2" w:themeShade="BF"/>
          <w:sz w:val="20"/>
        </w:rPr>
        <w:t>monitoring</w:t>
      </w:r>
      <w:proofErr w:type="gramEnd"/>
      <w:r>
        <w:rPr>
          <w:color w:val="323E4F" w:themeColor="text2" w:themeShade="BF"/>
          <w:sz w:val="20"/>
        </w:rPr>
        <w:t xml:space="preserve"> and fixed-point photography on monthly basis in consultation with appointed ECO/ SHEQ, and to be captured in brief monthly memo reports. Detailed wetland monitoring assessments every six months (if and where necessary) and captured in biannual monitoring reports. </w:t>
      </w:r>
    </w:p>
    <w:p w14:paraId="45BB830E"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The actual methods of data collection, sampling intensity, monitoring frequency, monitoring locations/</w:t>
      </w:r>
      <w:proofErr w:type="gramStart"/>
      <w:r>
        <w:rPr>
          <w:color w:val="323E4F" w:themeColor="text2" w:themeShade="BF"/>
          <w:sz w:val="20"/>
        </w:rPr>
        <w:t>sites</w:t>
      </w:r>
      <w:proofErr w:type="gramEnd"/>
      <w:r>
        <w:rPr>
          <w:color w:val="323E4F" w:themeColor="text2" w:themeShade="BF"/>
          <w:sz w:val="20"/>
        </w:rPr>
        <w:t xml:space="preserve"> and reporting requirements would need to be informed by detailed baseline studies. As with the monitoring requirements for rivers, the specialists undertaking the baseline studies should finalise the wetland monitoring requirements.</w:t>
      </w:r>
    </w:p>
    <w:p w14:paraId="459F96AA" w14:textId="77777777" w:rsidR="000D5AB3" w:rsidRDefault="000D5AB3" w:rsidP="000D5AB3">
      <w:pPr>
        <w:pStyle w:val="Heading4"/>
        <w:numPr>
          <w:ilvl w:val="3"/>
          <w:numId w:val="2"/>
        </w:numPr>
        <w:ind w:left="1276" w:hanging="992"/>
        <w:rPr>
          <w:b/>
          <w:bCs w:val="0"/>
          <w:i w:val="0"/>
          <w:iCs/>
          <w:color w:val="323E4F" w:themeColor="text2" w:themeShade="BF"/>
        </w:rPr>
      </w:pPr>
      <w:bookmarkStart w:id="46" w:name="_Toc127283793"/>
      <w:r>
        <w:rPr>
          <w:b/>
          <w:bCs w:val="0"/>
          <w:i w:val="0"/>
          <w:iCs/>
          <w:color w:val="323E4F" w:themeColor="text2" w:themeShade="BF"/>
        </w:rPr>
        <w:t>Phase 3: Monitoring (During Operations)</w:t>
      </w:r>
      <w:bookmarkEnd w:id="46"/>
    </w:p>
    <w:p w14:paraId="1663DBCA" w14:textId="77777777" w:rsidR="000D5AB3" w:rsidRDefault="000D5AB3" w:rsidP="000D5AB3">
      <w:pPr>
        <w:pStyle w:val="BodyText"/>
        <w:spacing w:before="162" w:line="268" w:lineRule="auto"/>
        <w:ind w:left="308" w:right="566"/>
        <w:jc w:val="both"/>
        <w:rPr>
          <w:color w:val="323E4F" w:themeColor="text2" w:themeShade="BF"/>
        </w:rPr>
      </w:pPr>
      <w:r>
        <w:rPr>
          <w:color w:val="323E4F" w:themeColor="text2" w:themeShade="BF"/>
        </w:rPr>
        <w:t xml:space="preserve">Operation phase monitoring requirements are to be informed/ refined by baseline assessments. Broadly, the following monitoring criteria should be considered when developing a monitoring </w:t>
      </w:r>
      <w:r>
        <w:rPr>
          <w:color w:val="323E4F" w:themeColor="text2" w:themeShade="BF"/>
        </w:rPr>
        <w:lastRenderedPageBreak/>
        <w:t xml:space="preserve">plan or a </w:t>
      </w:r>
      <w:proofErr w:type="spellStart"/>
      <w:r>
        <w:rPr>
          <w:color w:val="323E4F" w:themeColor="text2" w:themeShade="BF"/>
        </w:rPr>
        <w:t>ToR</w:t>
      </w:r>
      <w:proofErr w:type="spellEnd"/>
      <w:r>
        <w:rPr>
          <w:color w:val="323E4F" w:themeColor="text2" w:themeShade="BF"/>
        </w:rPr>
        <w:t xml:space="preserve"> for a monitoring plan:</w:t>
      </w:r>
    </w:p>
    <w:p w14:paraId="0FF39AAB"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The development and migration of headward erosion (head cuts).</w:t>
      </w:r>
    </w:p>
    <w:p w14:paraId="0F815423"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Accidental spills of hazardous substances.</w:t>
      </w:r>
    </w:p>
    <w:p w14:paraId="6F857729"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Accidental incursions/ disturbances of sensitive no-go areas.</w:t>
      </w:r>
    </w:p>
    <w:p w14:paraId="6E3965CA"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Channel incision and bank erosion (channelled wetlands).</w:t>
      </w:r>
    </w:p>
    <w:p w14:paraId="2B02E700"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Evidence of excessive sedimentation.</w:t>
      </w:r>
    </w:p>
    <w:p w14:paraId="2964C524"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Alien plant infestations.</w:t>
      </w:r>
    </w:p>
    <w:p w14:paraId="19EBBD43"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Changes in the structure and composition and vegetation communities over time informed by vegetation surveys, plots, transects and/ or fixed-point photography.</w:t>
      </w:r>
    </w:p>
    <w:p w14:paraId="03C87C40"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Pollution/ water quality.</w:t>
      </w:r>
    </w:p>
    <w:p w14:paraId="3D534C9C"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The presence of bad odours</w:t>
      </w:r>
    </w:p>
    <w:p w14:paraId="3FAEE0B4"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 xml:space="preserve">The presence of water sheen, foam, discoloured </w:t>
      </w:r>
      <w:proofErr w:type="gramStart"/>
      <w:r>
        <w:rPr>
          <w:color w:val="323E4F" w:themeColor="text2" w:themeShade="BF"/>
          <w:sz w:val="20"/>
        </w:rPr>
        <w:t>water</w:t>
      </w:r>
      <w:proofErr w:type="gramEnd"/>
      <w:r>
        <w:rPr>
          <w:color w:val="323E4F" w:themeColor="text2" w:themeShade="BF"/>
          <w:sz w:val="20"/>
        </w:rPr>
        <w:t xml:space="preserve"> or any unusual visual observations.</w:t>
      </w:r>
    </w:p>
    <w:p w14:paraId="32EF1FAD"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Assessment of changes to overall wetland health (PES) over time using published assessment tools (</w:t>
      </w:r>
      <w:proofErr w:type="gramStart"/>
      <w:r>
        <w:rPr>
          <w:color w:val="323E4F" w:themeColor="text2" w:themeShade="BF"/>
          <w:sz w:val="20"/>
        </w:rPr>
        <w:t>i.e.</w:t>
      </w:r>
      <w:proofErr w:type="gramEnd"/>
      <w:r>
        <w:rPr>
          <w:color w:val="323E4F" w:themeColor="text2" w:themeShade="BF"/>
          <w:sz w:val="20"/>
        </w:rPr>
        <w:t xml:space="preserve"> WET-Health tool suite developed by Macfarlane et al, 2022) against REC set during baseline assessments for individual wetlands.</w:t>
      </w:r>
    </w:p>
    <w:p w14:paraId="1A9EF1DD"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Assessment of changes to wetland functionality and service delivery over time using published assessment tools (</w:t>
      </w:r>
      <w:proofErr w:type="gramStart"/>
      <w:r>
        <w:rPr>
          <w:color w:val="323E4F" w:themeColor="text2" w:themeShade="BF"/>
          <w:sz w:val="20"/>
        </w:rPr>
        <w:t>i.e.</w:t>
      </w:r>
      <w:proofErr w:type="gramEnd"/>
      <w:r>
        <w:rPr>
          <w:color w:val="323E4F" w:themeColor="text2" w:themeShade="BF"/>
          <w:sz w:val="20"/>
        </w:rPr>
        <w:t xml:space="preserve"> WET-</w:t>
      </w:r>
      <w:proofErr w:type="spellStart"/>
      <w:r>
        <w:rPr>
          <w:color w:val="323E4F" w:themeColor="text2" w:themeShade="BF"/>
          <w:sz w:val="20"/>
        </w:rPr>
        <w:t>EcoServices</w:t>
      </w:r>
      <w:proofErr w:type="spellEnd"/>
      <w:r>
        <w:rPr>
          <w:color w:val="323E4F" w:themeColor="text2" w:themeShade="BF"/>
          <w:sz w:val="20"/>
        </w:rPr>
        <w:t xml:space="preserve"> developed by Kotze et al, 2021) against REC set during baseline assessments for individual wetlands.</w:t>
      </w:r>
    </w:p>
    <w:p w14:paraId="5EB15FBC" w14:textId="77777777" w:rsidR="000D5AB3" w:rsidRDefault="000D5AB3" w:rsidP="000D5AB3">
      <w:pPr>
        <w:pStyle w:val="BodyText"/>
        <w:ind w:left="308" w:right="566"/>
        <w:jc w:val="both"/>
        <w:rPr>
          <w:i/>
          <w:iCs/>
          <w:color w:val="323E4F" w:themeColor="text2" w:themeShade="BF"/>
        </w:rPr>
      </w:pPr>
    </w:p>
    <w:p w14:paraId="55B28ED4" w14:textId="77777777" w:rsidR="000D5AB3" w:rsidRDefault="000D5AB3" w:rsidP="000D5AB3">
      <w:pPr>
        <w:pStyle w:val="BodyText"/>
        <w:ind w:left="308" w:right="566"/>
        <w:jc w:val="both"/>
        <w:rPr>
          <w:color w:val="323E4F" w:themeColor="text2" w:themeShade="BF"/>
        </w:rPr>
      </w:pPr>
      <w:r>
        <w:rPr>
          <w:color w:val="323E4F" w:themeColor="text2" w:themeShade="BF"/>
        </w:rPr>
        <w:t>Monitoring and reporting frequency</w:t>
      </w:r>
    </w:p>
    <w:p w14:paraId="3E1E4B8F"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 xml:space="preserve">To be determined by the effected wetland units. In principle, basic visual </w:t>
      </w:r>
      <w:proofErr w:type="gramStart"/>
      <w:r>
        <w:rPr>
          <w:color w:val="323E4F" w:themeColor="text2" w:themeShade="BF"/>
          <w:sz w:val="20"/>
        </w:rPr>
        <w:t>monitoring</w:t>
      </w:r>
      <w:proofErr w:type="gramEnd"/>
      <w:r>
        <w:rPr>
          <w:color w:val="323E4F" w:themeColor="text2" w:themeShade="BF"/>
          <w:sz w:val="20"/>
        </w:rPr>
        <w:t xml:space="preserve"> and fixed-point photography on monthly basis in consultation with appointed ECO/ SHEQ officer, and to be captured in brief monthly memo reports. Detailed wetland monitoring assessments every six months (if and where necessary) and captured in biannual monitoring reports. </w:t>
      </w:r>
    </w:p>
    <w:p w14:paraId="2B45800C"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The actual methods of data collection, sampling intensity, monitoring frequency, monitoring locations/</w:t>
      </w:r>
      <w:proofErr w:type="gramStart"/>
      <w:r>
        <w:rPr>
          <w:color w:val="323E4F" w:themeColor="text2" w:themeShade="BF"/>
          <w:sz w:val="20"/>
        </w:rPr>
        <w:t>sites</w:t>
      </w:r>
      <w:proofErr w:type="gramEnd"/>
      <w:r>
        <w:rPr>
          <w:color w:val="323E4F" w:themeColor="text2" w:themeShade="BF"/>
          <w:sz w:val="20"/>
        </w:rPr>
        <w:t xml:space="preserve"> and reporting requirements would need to be informed by detailed baseline studies. As with the monitoring requirements for rivers, the specialists undertaking the baseline studies should finalise the wetland monitoring requirements.</w:t>
      </w:r>
    </w:p>
    <w:p w14:paraId="244E10B2" w14:textId="77777777" w:rsidR="000D5AB3" w:rsidRDefault="000D5AB3" w:rsidP="000D5AB3">
      <w:pPr>
        <w:pStyle w:val="BodyText"/>
        <w:spacing w:before="9"/>
        <w:jc w:val="both"/>
        <w:rPr>
          <w:color w:val="323E4F" w:themeColor="text2" w:themeShade="BF"/>
        </w:rPr>
      </w:pPr>
    </w:p>
    <w:p w14:paraId="61E34950" w14:textId="77777777" w:rsidR="000D5AB3" w:rsidRDefault="000D5AB3" w:rsidP="000D5AB3">
      <w:pPr>
        <w:pStyle w:val="Heading3"/>
        <w:numPr>
          <w:ilvl w:val="2"/>
          <w:numId w:val="2"/>
        </w:numPr>
        <w:ind w:left="1134" w:hanging="850"/>
        <w:rPr>
          <w:i w:val="0"/>
        </w:rPr>
      </w:pPr>
      <w:bookmarkStart w:id="47" w:name="_bookmark15"/>
      <w:bookmarkStart w:id="48" w:name="_Toc127283794"/>
      <w:bookmarkEnd w:id="47"/>
      <w:r>
        <w:rPr>
          <w:i w:val="0"/>
        </w:rPr>
        <w:t>Coastal Waters Effluent Discharge Monitoring</w:t>
      </w:r>
      <w:bookmarkEnd w:id="48"/>
    </w:p>
    <w:p w14:paraId="67807B4B" w14:textId="77777777" w:rsidR="000D5AB3" w:rsidRDefault="000D5AB3" w:rsidP="000D5AB3">
      <w:pPr>
        <w:pStyle w:val="BodyText"/>
        <w:spacing w:before="162" w:line="268" w:lineRule="auto"/>
        <w:ind w:left="308" w:right="571"/>
        <w:jc w:val="both"/>
        <w:rPr>
          <w:color w:val="323E4F" w:themeColor="text2" w:themeShade="BF"/>
        </w:rPr>
      </w:pPr>
      <w:r>
        <w:rPr>
          <w:color w:val="323E4F" w:themeColor="text2" w:themeShade="BF"/>
        </w:rPr>
        <w:t>The Marine specialist confirmed that this section only applies to monitoring during the operational phase which is outlined below:</w:t>
      </w:r>
    </w:p>
    <w:p w14:paraId="4706E867" w14:textId="77777777" w:rsidR="000D5AB3" w:rsidRDefault="000D5AB3" w:rsidP="000D5AB3">
      <w:pPr>
        <w:pStyle w:val="Heading4"/>
        <w:numPr>
          <w:ilvl w:val="3"/>
          <w:numId w:val="2"/>
        </w:numPr>
        <w:ind w:left="1276" w:hanging="992"/>
        <w:rPr>
          <w:b/>
          <w:bCs w:val="0"/>
          <w:i w:val="0"/>
          <w:iCs/>
          <w:color w:val="323E4F" w:themeColor="text2" w:themeShade="BF"/>
        </w:rPr>
      </w:pPr>
      <w:bookmarkStart w:id="49" w:name="_Toc127283795"/>
      <w:r>
        <w:rPr>
          <w:b/>
          <w:bCs w:val="0"/>
          <w:i w:val="0"/>
          <w:iCs/>
          <w:color w:val="323E4F" w:themeColor="text2" w:themeShade="BF"/>
        </w:rPr>
        <w:t>Phase 1: Monitoring (During Operations)</w:t>
      </w:r>
      <w:bookmarkEnd w:id="49"/>
      <w:r>
        <w:rPr>
          <w:b/>
          <w:bCs w:val="0"/>
          <w:i w:val="0"/>
          <w:iCs/>
          <w:color w:val="323E4F" w:themeColor="text2" w:themeShade="BF"/>
        </w:rPr>
        <w:t xml:space="preserve"> </w:t>
      </w:r>
    </w:p>
    <w:p w14:paraId="6F0E906E" w14:textId="77777777" w:rsidR="000D5AB3" w:rsidRDefault="000D5AB3" w:rsidP="000D5AB3">
      <w:pPr>
        <w:pStyle w:val="BodyText"/>
        <w:spacing w:before="162" w:line="268" w:lineRule="auto"/>
        <w:ind w:left="308" w:right="571"/>
        <w:jc w:val="both"/>
        <w:rPr>
          <w:color w:val="323E4F" w:themeColor="text2" w:themeShade="BF"/>
        </w:rPr>
      </w:pPr>
      <w:r>
        <w:rPr>
          <w:color w:val="323E4F" w:themeColor="text2" w:themeShade="BF"/>
        </w:rPr>
        <w:t>The following aspects are important with regards to effluent discharge at sea and must inform the environmental monitoring programme/plan requirements:</w:t>
      </w:r>
    </w:p>
    <w:p w14:paraId="1CC7C413" w14:textId="77777777" w:rsidR="000D5AB3" w:rsidRDefault="000D5AB3" w:rsidP="000D5AB3">
      <w:pPr>
        <w:ind w:left="360" w:right="570"/>
        <w:jc w:val="both"/>
        <w:rPr>
          <w:color w:val="323E4F" w:themeColor="text2" w:themeShade="BF"/>
        </w:rPr>
      </w:pPr>
    </w:p>
    <w:p w14:paraId="36B9C6F9"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Effluent quantity (flow) monitoring – the quantity of effluent discharged must be metered by a continuous recording device fitted with an integrated meter which are calibrated in accordance with the manufacturer’s specification.</w:t>
      </w:r>
    </w:p>
    <w:p w14:paraId="10130F88"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 xml:space="preserve">Effluent Quality – The maximum limits / standards prescribed in the Coastal Water Discharge Permit (CWDP). Table 3-1 below must be considered for constituents of the effluent to be discharged. </w:t>
      </w:r>
    </w:p>
    <w:p w14:paraId="46479C6A" w14:textId="77777777" w:rsidR="000D5AB3" w:rsidRDefault="000D5AB3" w:rsidP="000D5AB3">
      <w:pPr>
        <w:rPr>
          <w:b/>
          <w:i/>
          <w:iCs/>
          <w:color w:val="323E4F" w:themeColor="text2" w:themeShade="BF"/>
          <w:szCs w:val="18"/>
        </w:rPr>
      </w:pPr>
    </w:p>
    <w:p w14:paraId="44485757" w14:textId="77777777" w:rsidR="000D5AB3" w:rsidRDefault="000D5AB3" w:rsidP="000D5AB3">
      <w:pPr>
        <w:pStyle w:val="Caption"/>
        <w:ind w:left="810"/>
        <w:rPr>
          <w:color w:val="323E4F" w:themeColor="text2" w:themeShade="BF"/>
        </w:rPr>
      </w:pPr>
      <w:bookmarkStart w:id="50" w:name="_Toc127273887"/>
      <w:r>
        <w:rPr>
          <w:color w:val="323E4F" w:themeColor="text2" w:themeShade="BF"/>
        </w:rPr>
        <w:t xml:space="preserve">Table </w:t>
      </w:r>
      <w:r>
        <w:fldChar w:fldCharType="begin"/>
      </w:r>
      <w:r>
        <w:rPr>
          <w:color w:val="323E4F" w:themeColor="text2" w:themeShade="BF"/>
        </w:rPr>
        <w:instrText xml:space="preserve"> STYLEREF 1 \s </w:instrText>
      </w:r>
      <w:r>
        <w:fldChar w:fldCharType="separate"/>
      </w:r>
      <w:r>
        <w:rPr>
          <w:noProof/>
          <w:color w:val="323E4F" w:themeColor="text2" w:themeShade="BF"/>
        </w:rPr>
        <w:t>3</w:t>
      </w:r>
      <w:r>
        <w:fldChar w:fldCharType="end"/>
      </w:r>
      <w:r>
        <w:rPr>
          <w:color w:val="323E4F" w:themeColor="text2" w:themeShade="BF"/>
        </w:rPr>
        <w:noBreakHyphen/>
      </w:r>
      <w:r>
        <w:fldChar w:fldCharType="begin"/>
      </w:r>
      <w:r>
        <w:rPr>
          <w:color w:val="323E4F" w:themeColor="text2" w:themeShade="BF"/>
        </w:rPr>
        <w:instrText xml:space="preserve"> SEQ Table \* ARABIC \s 1 </w:instrText>
      </w:r>
      <w:r>
        <w:fldChar w:fldCharType="separate"/>
      </w:r>
      <w:r>
        <w:rPr>
          <w:noProof/>
          <w:color w:val="323E4F" w:themeColor="text2" w:themeShade="BF"/>
        </w:rPr>
        <w:t>6</w:t>
      </w:r>
      <w:r>
        <w:fldChar w:fldCharType="end"/>
      </w:r>
      <w:r>
        <w:rPr>
          <w:color w:val="323E4F" w:themeColor="text2" w:themeShade="BF"/>
        </w:rPr>
        <w:t>:</w:t>
      </w:r>
      <w:r>
        <w:rPr>
          <w:color w:val="323E4F" w:themeColor="text2" w:themeShade="BF"/>
        </w:rPr>
        <w:tab/>
        <w:t>Parameters and constituents</w:t>
      </w:r>
      <w:bookmarkEnd w:id="50"/>
    </w:p>
    <w:tbl>
      <w:tblPr>
        <w:tblW w:w="4320" w:type="pct"/>
        <w:tblCellSpacing w:w="9" w:type="dxa"/>
        <w:tblInd w:w="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798"/>
        <w:gridCol w:w="4280"/>
      </w:tblGrid>
      <w:tr w:rsidR="000D5AB3" w14:paraId="7DCCAF4F" w14:textId="77777777" w:rsidTr="000D5AB3">
        <w:trPr>
          <w:trHeight w:val="332"/>
          <w:tblCellSpacing w:w="9" w:type="dxa"/>
        </w:trPr>
        <w:tc>
          <w:tcPr>
            <w:tcW w:w="2335" w:type="pct"/>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64B6D5D" w14:textId="77777777" w:rsidR="000D5AB3" w:rsidRDefault="000D5AB3">
            <w:pPr>
              <w:ind w:left="306"/>
              <w:rPr>
                <w:b/>
                <w:bCs/>
                <w:color w:val="FFFFFF" w:themeColor="background1"/>
                <w:sz w:val="18"/>
                <w:szCs w:val="18"/>
              </w:rPr>
            </w:pPr>
            <w:r>
              <w:rPr>
                <w:b/>
                <w:bCs/>
                <w:color w:val="FFFFFF" w:themeColor="background1"/>
                <w:sz w:val="18"/>
                <w:szCs w:val="18"/>
              </w:rPr>
              <w:t>Substance / parameter</w:t>
            </w:r>
          </w:p>
        </w:tc>
        <w:tc>
          <w:tcPr>
            <w:tcW w:w="2634" w:type="pct"/>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6AF4A93" w14:textId="77777777" w:rsidR="000D5AB3" w:rsidRDefault="000D5AB3">
            <w:pPr>
              <w:ind w:left="306"/>
              <w:rPr>
                <w:b/>
                <w:bCs/>
                <w:color w:val="FFFFFF" w:themeColor="background1"/>
                <w:sz w:val="18"/>
                <w:szCs w:val="18"/>
              </w:rPr>
            </w:pPr>
            <w:r>
              <w:rPr>
                <w:b/>
                <w:bCs/>
                <w:color w:val="FFFFFF" w:themeColor="background1"/>
                <w:sz w:val="18"/>
                <w:szCs w:val="18"/>
              </w:rPr>
              <w:t>Limit to be complied with</w:t>
            </w:r>
          </w:p>
        </w:tc>
      </w:tr>
      <w:tr w:rsidR="000D5AB3" w14:paraId="2A8425E0" w14:textId="77777777" w:rsidTr="000D5AB3">
        <w:trPr>
          <w:trHeight w:val="227"/>
          <w:tblCellSpacing w:w="9" w:type="dxa"/>
        </w:trPr>
        <w:tc>
          <w:tcPr>
            <w:tcW w:w="2335" w:type="pct"/>
            <w:tcBorders>
              <w:top w:val="single" w:sz="4" w:space="0" w:color="auto"/>
              <w:left w:val="single" w:sz="4" w:space="0" w:color="auto"/>
              <w:bottom w:val="single" w:sz="4" w:space="0" w:color="auto"/>
              <w:right w:val="single" w:sz="4" w:space="0" w:color="auto"/>
            </w:tcBorders>
            <w:shd w:val="clear" w:color="auto" w:fill="B1E7FF"/>
            <w:hideMark/>
          </w:tcPr>
          <w:p w14:paraId="306E5599" w14:textId="77777777" w:rsidR="000D5AB3" w:rsidRDefault="000D5AB3">
            <w:pPr>
              <w:ind w:left="306"/>
              <w:rPr>
                <w:color w:val="323E4F" w:themeColor="text2" w:themeShade="BF"/>
                <w:sz w:val="18"/>
                <w:szCs w:val="18"/>
              </w:rPr>
            </w:pPr>
            <w:r>
              <w:rPr>
                <w:color w:val="323E4F" w:themeColor="text2" w:themeShade="BF"/>
                <w:sz w:val="18"/>
                <w:szCs w:val="18"/>
              </w:rPr>
              <w:t>pH</w:t>
            </w:r>
          </w:p>
        </w:tc>
        <w:tc>
          <w:tcPr>
            <w:tcW w:w="2634" w:type="pct"/>
            <w:tcBorders>
              <w:top w:val="single" w:sz="4" w:space="0" w:color="auto"/>
              <w:left w:val="single" w:sz="4" w:space="0" w:color="auto"/>
              <w:bottom w:val="single" w:sz="4" w:space="0" w:color="auto"/>
              <w:right w:val="single" w:sz="4" w:space="0" w:color="auto"/>
            </w:tcBorders>
            <w:shd w:val="clear" w:color="auto" w:fill="B1E7FF"/>
            <w:hideMark/>
          </w:tcPr>
          <w:p w14:paraId="13D697A4" w14:textId="77777777" w:rsidR="000D5AB3" w:rsidRDefault="000D5AB3">
            <w:pPr>
              <w:ind w:left="306"/>
              <w:rPr>
                <w:color w:val="323E4F" w:themeColor="text2" w:themeShade="BF"/>
                <w:sz w:val="18"/>
                <w:szCs w:val="18"/>
              </w:rPr>
            </w:pPr>
            <w:r>
              <w:rPr>
                <w:color w:val="323E4F" w:themeColor="text2" w:themeShade="BF"/>
                <w:sz w:val="18"/>
                <w:szCs w:val="18"/>
              </w:rPr>
              <w:t>2,8 to 8,5</w:t>
            </w:r>
          </w:p>
        </w:tc>
      </w:tr>
      <w:tr w:rsidR="000D5AB3" w14:paraId="471AD037" w14:textId="77777777" w:rsidTr="000D5AB3">
        <w:trPr>
          <w:trHeight w:val="275"/>
          <w:tblCellSpacing w:w="9" w:type="dxa"/>
        </w:trPr>
        <w:tc>
          <w:tcPr>
            <w:tcW w:w="2335" w:type="pct"/>
            <w:tcBorders>
              <w:top w:val="single" w:sz="4" w:space="0" w:color="auto"/>
              <w:left w:val="single" w:sz="4" w:space="0" w:color="auto"/>
              <w:bottom w:val="single" w:sz="4" w:space="0" w:color="auto"/>
              <w:right w:val="single" w:sz="4" w:space="0" w:color="auto"/>
            </w:tcBorders>
            <w:shd w:val="clear" w:color="auto" w:fill="B1E7FF"/>
            <w:hideMark/>
          </w:tcPr>
          <w:p w14:paraId="2AADDE2A" w14:textId="77777777" w:rsidR="000D5AB3" w:rsidRDefault="000D5AB3">
            <w:pPr>
              <w:ind w:left="306"/>
              <w:rPr>
                <w:color w:val="323E4F" w:themeColor="text2" w:themeShade="BF"/>
                <w:sz w:val="18"/>
                <w:szCs w:val="18"/>
              </w:rPr>
            </w:pPr>
            <w:r>
              <w:rPr>
                <w:color w:val="323E4F" w:themeColor="text2" w:themeShade="BF"/>
                <w:sz w:val="18"/>
                <w:szCs w:val="18"/>
              </w:rPr>
              <w:t>Electrical Conductivity</w:t>
            </w:r>
          </w:p>
        </w:tc>
        <w:tc>
          <w:tcPr>
            <w:tcW w:w="2634" w:type="pct"/>
            <w:tcBorders>
              <w:top w:val="single" w:sz="4" w:space="0" w:color="auto"/>
              <w:left w:val="single" w:sz="4" w:space="0" w:color="auto"/>
              <w:bottom w:val="single" w:sz="4" w:space="0" w:color="auto"/>
              <w:right w:val="single" w:sz="4" w:space="0" w:color="auto"/>
            </w:tcBorders>
            <w:shd w:val="clear" w:color="auto" w:fill="B1E7FF"/>
            <w:hideMark/>
          </w:tcPr>
          <w:p w14:paraId="6B30B84A" w14:textId="77777777" w:rsidR="000D5AB3" w:rsidRDefault="000D5AB3">
            <w:pPr>
              <w:ind w:left="306"/>
              <w:rPr>
                <w:color w:val="323E4F" w:themeColor="text2" w:themeShade="BF"/>
                <w:sz w:val="18"/>
                <w:szCs w:val="18"/>
              </w:rPr>
            </w:pPr>
            <w:r>
              <w:rPr>
                <w:color w:val="323E4F" w:themeColor="text2" w:themeShade="BF"/>
                <w:sz w:val="18"/>
                <w:szCs w:val="18"/>
              </w:rPr>
              <w:t>5000 mS/m</w:t>
            </w:r>
          </w:p>
        </w:tc>
      </w:tr>
      <w:tr w:rsidR="000D5AB3" w14:paraId="7B146D61" w14:textId="77777777" w:rsidTr="000D5AB3">
        <w:trPr>
          <w:trHeight w:val="71"/>
          <w:tblCellSpacing w:w="9" w:type="dxa"/>
        </w:trPr>
        <w:tc>
          <w:tcPr>
            <w:tcW w:w="2335" w:type="pct"/>
            <w:tcBorders>
              <w:top w:val="single" w:sz="4" w:space="0" w:color="auto"/>
              <w:left w:val="single" w:sz="4" w:space="0" w:color="auto"/>
              <w:bottom w:val="single" w:sz="4" w:space="0" w:color="auto"/>
              <w:right w:val="single" w:sz="4" w:space="0" w:color="auto"/>
            </w:tcBorders>
            <w:shd w:val="clear" w:color="auto" w:fill="B1E7FF"/>
            <w:hideMark/>
          </w:tcPr>
          <w:p w14:paraId="6AB2A605" w14:textId="77777777" w:rsidR="000D5AB3" w:rsidRDefault="000D5AB3">
            <w:pPr>
              <w:ind w:left="306"/>
              <w:rPr>
                <w:color w:val="323E4F" w:themeColor="text2" w:themeShade="BF"/>
                <w:sz w:val="18"/>
                <w:szCs w:val="18"/>
              </w:rPr>
            </w:pPr>
            <w:r>
              <w:rPr>
                <w:color w:val="323E4F" w:themeColor="text2" w:themeShade="BF"/>
                <w:sz w:val="18"/>
                <w:szCs w:val="18"/>
              </w:rPr>
              <w:t>Temperature</w:t>
            </w:r>
          </w:p>
        </w:tc>
        <w:tc>
          <w:tcPr>
            <w:tcW w:w="2634" w:type="pct"/>
            <w:tcBorders>
              <w:top w:val="single" w:sz="4" w:space="0" w:color="auto"/>
              <w:left w:val="single" w:sz="4" w:space="0" w:color="auto"/>
              <w:bottom w:val="single" w:sz="4" w:space="0" w:color="auto"/>
              <w:right w:val="single" w:sz="4" w:space="0" w:color="auto"/>
            </w:tcBorders>
            <w:shd w:val="clear" w:color="auto" w:fill="B1E7FF"/>
            <w:hideMark/>
          </w:tcPr>
          <w:p w14:paraId="6297F810" w14:textId="77777777" w:rsidR="000D5AB3" w:rsidRDefault="000D5AB3">
            <w:pPr>
              <w:ind w:left="306"/>
              <w:rPr>
                <w:color w:val="323E4F" w:themeColor="text2" w:themeShade="BF"/>
                <w:sz w:val="18"/>
                <w:szCs w:val="18"/>
              </w:rPr>
            </w:pPr>
            <w:r>
              <w:rPr>
                <w:color w:val="323E4F" w:themeColor="text2" w:themeShade="BF"/>
                <w:sz w:val="18"/>
                <w:szCs w:val="18"/>
              </w:rPr>
              <w:t xml:space="preserve">63 </w:t>
            </w:r>
            <w:proofErr w:type="spellStart"/>
            <w:r>
              <w:rPr>
                <w:color w:val="323E4F" w:themeColor="text2" w:themeShade="BF"/>
                <w:sz w:val="18"/>
                <w:szCs w:val="18"/>
                <w:vertAlign w:val="superscript"/>
              </w:rPr>
              <w:t>o</w:t>
            </w:r>
            <w:r>
              <w:rPr>
                <w:color w:val="323E4F" w:themeColor="text2" w:themeShade="BF"/>
                <w:sz w:val="18"/>
                <w:szCs w:val="18"/>
              </w:rPr>
              <w:t>C</w:t>
            </w:r>
            <w:proofErr w:type="spellEnd"/>
          </w:p>
        </w:tc>
      </w:tr>
      <w:tr w:rsidR="000D5AB3" w14:paraId="712544A9" w14:textId="77777777" w:rsidTr="000D5AB3">
        <w:trPr>
          <w:trHeight w:val="71"/>
          <w:tblCellSpacing w:w="9" w:type="dxa"/>
        </w:trPr>
        <w:tc>
          <w:tcPr>
            <w:tcW w:w="2335" w:type="pct"/>
            <w:tcBorders>
              <w:top w:val="single" w:sz="4" w:space="0" w:color="auto"/>
              <w:left w:val="single" w:sz="4" w:space="0" w:color="auto"/>
              <w:bottom w:val="single" w:sz="4" w:space="0" w:color="auto"/>
              <w:right w:val="single" w:sz="4" w:space="0" w:color="auto"/>
            </w:tcBorders>
            <w:shd w:val="clear" w:color="auto" w:fill="B1E7FF"/>
            <w:hideMark/>
          </w:tcPr>
          <w:p w14:paraId="59B50DD6" w14:textId="77777777" w:rsidR="000D5AB3" w:rsidRDefault="000D5AB3">
            <w:pPr>
              <w:ind w:left="306"/>
              <w:rPr>
                <w:color w:val="323E4F" w:themeColor="text2" w:themeShade="BF"/>
                <w:sz w:val="18"/>
                <w:szCs w:val="18"/>
              </w:rPr>
            </w:pPr>
            <w:r>
              <w:rPr>
                <w:color w:val="323E4F" w:themeColor="text2" w:themeShade="BF"/>
                <w:sz w:val="18"/>
                <w:szCs w:val="18"/>
              </w:rPr>
              <w:lastRenderedPageBreak/>
              <w:t>Chemical oxygen demand</w:t>
            </w:r>
          </w:p>
        </w:tc>
        <w:tc>
          <w:tcPr>
            <w:tcW w:w="2634" w:type="pct"/>
            <w:tcBorders>
              <w:top w:val="single" w:sz="4" w:space="0" w:color="auto"/>
              <w:left w:val="single" w:sz="4" w:space="0" w:color="auto"/>
              <w:bottom w:val="single" w:sz="4" w:space="0" w:color="auto"/>
              <w:right w:val="single" w:sz="4" w:space="0" w:color="auto"/>
            </w:tcBorders>
            <w:shd w:val="clear" w:color="auto" w:fill="B1E7FF"/>
            <w:hideMark/>
          </w:tcPr>
          <w:p w14:paraId="11E09E4A" w14:textId="77777777" w:rsidR="000D5AB3" w:rsidRDefault="000D5AB3">
            <w:pPr>
              <w:ind w:left="306"/>
              <w:rPr>
                <w:color w:val="323E4F" w:themeColor="text2" w:themeShade="BF"/>
                <w:sz w:val="18"/>
                <w:szCs w:val="18"/>
              </w:rPr>
            </w:pPr>
            <w:r>
              <w:rPr>
                <w:color w:val="323E4F" w:themeColor="text2" w:themeShade="BF"/>
                <w:sz w:val="18"/>
                <w:szCs w:val="18"/>
              </w:rPr>
              <w:t>20 000 mg/l</w:t>
            </w:r>
          </w:p>
        </w:tc>
      </w:tr>
      <w:tr w:rsidR="000D5AB3" w14:paraId="434ED438" w14:textId="77777777" w:rsidTr="000D5AB3">
        <w:trPr>
          <w:trHeight w:val="71"/>
          <w:tblCellSpacing w:w="9" w:type="dxa"/>
        </w:trPr>
        <w:tc>
          <w:tcPr>
            <w:tcW w:w="2335" w:type="pct"/>
            <w:tcBorders>
              <w:top w:val="single" w:sz="4" w:space="0" w:color="auto"/>
              <w:left w:val="single" w:sz="4" w:space="0" w:color="auto"/>
              <w:bottom w:val="single" w:sz="4" w:space="0" w:color="auto"/>
              <w:right w:val="single" w:sz="4" w:space="0" w:color="auto"/>
            </w:tcBorders>
            <w:shd w:val="clear" w:color="auto" w:fill="B1E7FF"/>
            <w:hideMark/>
          </w:tcPr>
          <w:p w14:paraId="3DC8080C" w14:textId="77777777" w:rsidR="000D5AB3" w:rsidRDefault="000D5AB3">
            <w:pPr>
              <w:ind w:left="306"/>
              <w:rPr>
                <w:color w:val="323E4F" w:themeColor="text2" w:themeShade="BF"/>
                <w:sz w:val="18"/>
                <w:szCs w:val="18"/>
              </w:rPr>
            </w:pPr>
            <w:r>
              <w:rPr>
                <w:color w:val="323E4F" w:themeColor="text2" w:themeShade="BF"/>
                <w:sz w:val="18"/>
                <w:szCs w:val="18"/>
              </w:rPr>
              <w:t>Total suspended solids</w:t>
            </w:r>
          </w:p>
        </w:tc>
        <w:tc>
          <w:tcPr>
            <w:tcW w:w="2634" w:type="pct"/>
            <w:tcBorders>
              <w:top w:val="single" w:sz="4" w:space="0" w:color="auto"/>
              <w:left w:val="single" w:sz="4" w:space="0" w:color="auto"/>
              <w:bottom w:val="single" w:sz="4" w:space="0" w:color="auto"/>
              <w:right w:val="single" w:sz="4" w:space="0" w:color="auto"/>
            </w:tcBorders>
            <w:shd w:val="clear" w:color="auto" w:fill="B1E7FF"/>
            <w:hideMark/>
          </w:tcPr>
          <w:p w14:paraId="3DE9898E" w14:textId="77777777" w:rsidR="000D5AB3" w:rsidRDefault="000D5AB3">
            <w:pPr>
              <w:ind w:left="306"/>
              <w:rPr>
                <w:color w:val="323E4F" w:themeColor="text2" w:themeShade="BF"/>
                <w:sz w:val="18"/>
                <w:szCs w:val="18"/>
              </w:rPr>
            </w:pPr>
            <w:r>
              <w:rPr>
                <w:color w:val="323E4F" w:themeColor="text2" w:themeShade="BF"/>
                <w:sz w:val="18"/>
                <w:szCs w:val="18"/>
              </w:rPr>
              <w:t>600 mg/l</w:t>
            </w:r>
          </w:p>
        </w:tc>
      </w:tr>
      <w:tr w:rsidR="000D5AB3" w14:paraId="3123C275" w14:textId="77777777" w:rsidTr="000D5AB3">
        <w:trPr>
          <w:trHeight w:val="71"/>
          <w:tblCellSpacing w:w="9" w:type="dxa"/>
        </w:trPr>
        <w:tc>
          <w:tcPr>
            <w:tcW w:w="2335" w:type="pct"/>
            <w:tcBorders>
              <w:top w:val="single" w:sz="4" w:space="0" w:color="auto"/>
              <w:left w:val="single" w:sz="4" w:space="0" w:color="auto"/>
              <w:bottom w:val="single" w:sz="4" w:space="0" w:color="auto"/>
              <w:right w:val="single" w:sz="4" w:space="0" w:color="auto"/>
            </w:tcBorders>
            <w:shd w:val="clear" w:color="auto" w:fill="B1E7FF"/>
            <w:hideMark/>
          </w:tcPr>
          <w:p w14:paraId="423034B2" w14:textId="77777777" w:rsidR="000D5AB3" w:rsidRDefault="000D5AB3">
            <w:pPr>
              <w:ind w:left="306"/>
              <w:rPr>
                <w:color w:val="323E4F" w:themeColor="text2" w:themeShade="BF"/>
                <w:sz w:val="18"/>
                <w:szCs w:val="18"/>
              </w:rPr>
            </w:pPr>
            <w:r>
              <w:rPr>
                <w:color w:val="323E4F" w:themeColor="text2" w:themeShade="BF"/>
                <w:sz w:val="18"/>
                <w:szCs w:val="18"/>
              </w:rPr>
              <w:t>Colour</w:t>
            </w:r>
          </w:p>
        </w:tc>
        <w:tc>
          <w:tcPr>
            <w:tcW w:w="2634" w:type="pct"/>
            <w:tcBorders>
              <w:top w:val="single" w:sz="4" w:space="0" w:color="auto"/>
              <w:left w:val="single" w:sz="4" w:space="0" w:color="auto"/>
              <w:bottom w:val="single" w:sz="4" w:space="0" w:color="auto"/>
              <w:right w:val="single" w:sz="4" w:space="0" w:color="auto"/>
            </w:tcBorders>
            <w:shd w:val="clear" w:color="auto" w:fill="B1E7FF"/>
            <w:hideMark/>
          </w:tcPr>
          <w:p w14:paraId="4E626E06" w14:textId="77777777" w:rsidR="000D5AB3" w:rsidRDefault="000D5AB3">
            <w:pPr>
              <w:ind w:left="306"/>
              <w:rPr>
                <w:color w:val="323E4F" w:themeColor="text2" w:themeShade="BF"/>
                <w:sz w:val="18"/>
                <w:szCs w:val="18"/>
              </w:rPr>
            </w:pPr>
            <w:r>
              <w:rPr>
                <w:color w:val="323E4F" w:themeColor="text2" w:themeShade="BF"/>
                <w:sz w:val="18"/>
                <w:szCs w:val="18"/>
              </w:rPr>
              <w:t xml:space="preserve">3000 </w:t>
            </w:r>
            <w:proofErr w:type="spellStart"/>
            <w:r>
              <w:rPr>
                <w:color w:val="323E4F" w:themeColor="text2" w:themeShade="BF"/>
                <w:sz w:val="18"/>
                <w:szCs w:val="18"/>
              </w:rPr>
              <w:t>hazen</w:t>
            </w:r>
            <w:proofErr w:type="spellEnd"/>
            <w:r>
              <w:rPr>
                <w:color w:val="323E4F" w:themeColor="text2" w:themeShade="BF"/>
                <w:sz w:val="18"/>
                <w:szCs w:val="18"/>
              </w:rPr>
              <w:t xml:space="preserve"> units</w:t>
            </w:r>
          </w:p>
        </w:tc>
      </w:tr>
      <w:tr w:rsidR="000D5AB3" w14:paraId="17AEB35C" w14:textId="77777777" w:rsidTr="000D5AB3">
        <w:trPr>
          <w:trHeight w:val="339"/>
          <w:tblCellSpacing w:w="9" w:type="dxa"/>
        </w:trPr>
        <w:tc>
          <w:tcPr>
            <w:tcW w:w="2335" w:type="pct"/>
            <w:tcBorders>
              <w:top w:val="single" w:sz="4" w:space="0" w:color="auto"/>
              <w:left w:val="single" w:sz="4" w:space="0" w:color="auto"/>
              <w:bottom w:val="single" w:sz="4" w:space="0" w:color="auto"/>
              <w:right w:val="single" w:sz="4" w:space="0" w:color="auto"/>
            </w:tcBorders>
            <w:shd w:val="clear" w:color="auto" w:fill="B1E7FF"/>
            <w:hideMark/>
          </w:tcPr>
          <w:p w14:paraId="43E7DA05" w14:textId="77777777" w:rsidR="000D5AB3" w:rsidRDefault="000D5AB3">
            <w:pPr>
              <w:ind w:left="306"/>
              <w:rPr>
                <w:color w:val="323E4F" w:themeColor="text2" w:themeShade="BF"/>
                <w:sz w:val="18"/>
                <w:szCs w:val="18"/>
              </w:rPr>
            </w:pPr>
            <w:r>
              <w:rPr>
                <w:color w:val="323E4F" w:themeColor="text2" w:themeShade="BF"/>
                <w:sz w:val="18"/>
                <w:szCs w:val="18"/>
              </w:rPr>
              <w:t>Lignin</w:t>
            </w:r>
          </w:p>
        </w:tc>
        <w:tc>
          <w:tcPr>
            <w:tcW w:w="2634" w:type="pct"/>
            <w:tcBorders>
              <w:top w:val="single" w:sz="4" w:space="0" w:color="auto"/>
              <w:left w:val="single" w:sz="4" w:space="0" w:color="auto"/>
              <w:bottom w:val="single" w:sz="4" w:space="0" w:color="auto"/>
              <w:right w:val="single" w:sz="4" w:space="0" w:color="auto"/>
            </w:tcBorders>
            <w:shd w:val="clear" w:color="auto" w:fill="B1E7FF"/>
            <w:hideMark/>
          </w:tcPr>
          <w:p w14:paraId="30A3D1A7" w14:textId="77777777" w:rsidR="000D5AB3" w:rsidRDefault="000D5AB3">
            <w:pPr>
              <w:ind w:left="306"/>
              <w:rPr>
                <w:color w:val="323E4F" w:themeColor="text2" w:themeShade="BF"/>
                <w:sz w:val="18"/>
                <w:szCs w:val="18"/>
              </w:rPr>
            </w:pPr>
            <w:r>
              <w:rPr>
                <w:color w:val="323E4F" w:themeColor="text2" w:themeShade="BF"/>
                <w:sz w:val="18"/>
                <w:szCs w:val="18"/>
              </w:rPr>
              <w:t>6000 mg/l</w:t>
            </w:r>
          </w:p>
        </w:tc>
      </w:tr>
      <w:tr w:rsidR="000D5AB3" w14:paraId="5841785F" w14:textId="77777777" w:rsidTr="000D5AB3">
        <w:trPr>
          <w:trHeight w:val="71"/>
          <w:tblCellSpacing w:w="9" w:type="dxa"/>
        </w:trPr>
        <w:tc>
          <w:tcPr>
            <w:tcW w:w="2335" w:type="pct"/>
            <w:tcBorders>
              <w:top w:val="single" w:sz="4" w:space="0" w:color="auto"/>
              <w:left w:val="single" w:sz="4" w:space="0" w:color="auto"/>
              <w:bottom w:val="single" w:sz="4" w:space="0" w:color="auto"/>
              <w:right w:val="single" w:sz="4" w:space="0" w:color="auto"/>
            </w:tcBorders>
            <w:shd w:val="clear" w:color="auto" w:fill="B1E7FF"/>
            <w:hideMark/>
          </w:tcPr>
          <w:p w14:paraId="24239309" w14:textId="77777777" w:rsidR="000D5AB3" w:rsidRDefault="000D5AB3">
            <w:pPr>
              <w:ind w:left="306"/>
              <w:rPr>
                <w:color w:val="323E4F" w:themeColor="text2" w:themeShade="BF"/>
                <w:sz w:val="18"/>
                <w:szCs w:val="18"/>
              </w:rPr>
            </w:pPr>
            <w:r>
              <w:rPr>
                <w:color w:val="323E4F" w:themeColor="text2" w:themeShade="BF"/>
                <w:sz w:val="18"/>
                <w:szCs w:val="18"/>
              </w:rPr>
              <w:t>Total dissolved solids</w:t>
            </w:r>
          </w:p>
        </w:tc>
        <w:tc>
          <w:tcPr>
            <w:tcW w:w="2634" w:type="pct"/>
            <w:tcBorders>
              <w:top w:val="single" w:sz="4" w:space="0" w:color="auto"/>
              <w:left w:val="single" w:sz="4" w:space="0" w:color="auto"/>
              <w:bottom w:val="single" w:sz="4" w:space="0" w:color="auto"/>
              <w:right w:val="single" w:sz="4" w:space="0" w:color="auto"/>
            </w:tcBorders>
            <w:shd w:val="clear" w:color="auto" w:fill="B1E7FF"/>
            <w:hideMark/>
          </w:tcPr>
          <w:p w14:paraId="03CC861B" w14:textId="77777777" w:rsidR="000D5AB3" w:rsidRDefault="000D5AB3">
            <w:pPr>
              <w:ind w:left="306"/>
              <w:rPr>
                <w:color w:val="323E4F" w:themeColor="text2" w:themeShade="BF"/>
                <w:sz w:val="18"/>
                <w:szCs w:val="18"/>
              </w:rPr>
            </w:pPr>
            <w:r>
              <w:rPr>
                <w:color w:val="323E4F" w:themeColor="text2" w:themeShade="BF"/>
                <w:sz w:val="18"/>
                <w:szCs w:val="18"/>
              </w:rPr>
              <w:t>20 000 mg/l</w:t>
            </w:r>
          </w:p>
        </w:tc>
      </w:tr>
    </w:tbl>
    <w:p w14:paraId="62B3C80D" w14:textId="77777777" w:rsidR="000D5AB3" w:rsidRDefault="000D5AB3" w:rsidP="000D5AB3">
      <w:pPr>
        <w:ind w:right="590"/>
        <w:jc w:val="both"/>
        <w:rPr>
          <w:rFonts w:eastAsia="Arial" w:cs="Arial"/>
          <w:color w:val="323E4F" w:themeColor="text2" w:themeShade="BF"/>
          <w:lang w:val="en-ZA" w:eastAsia="en-ZA" w:bidi="en-ZA"/>
        </w:rPr>
      </w:pPr>
    </w:p>
    <w:p w14:paraId="260E7803" w14:textId="77777777" w:rsidR="000D5AB3" w:rsidRDefault="000D5AB3" w:rsidP="000D5AB3">
      <w:pPr>
        <w:pStyle w:val="BodyText"/>
        <w:spacing w:before="162" w:line="268" w:lineRule="auto"/>
        <w:ind w:left="709" w:right="571"/>
        <w:jc w:val="both"/>
        <w:rPr>
          <w:color w:val="323E4F" w:themeColor="text2" w:themeShade="BF"/>
        </w:rPr>
      </w:pPr>
      <w:r>
        <w:rPr>
          <w:color w:val="323E4F" w:themeColor="text2" w:themeShade="BF"/>
        </w:rPr>
        <w:t xml:space="preserve">The quality of effluent discharged </w:t>
      </w:r>
      <w:r>
        <w:rPr>
          <w:i/>
          <w:iCs/>
          <w:color w:val="323E4F" w:themeColor="text2" w:themeShade="BF"/>
        </w:rPr>
        <w:t>via</w:t>
      </w:r>
      <w:r>
        <w:rPr>
          <w:color w:val="323E4F" w:themeColor="text2" w:themeShade="BF"/>
        </w:rPr>
        <w:t xml:space="preserve"> the outfall pipeline must be sampled as follows:</w:t>
      </w:r>
    </w:p>
    <w:p w14:paraId="141EC40A"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 xml:space="preserve">A 24-hour composite sample (continuous monitoring) of the effluent discharged must be </w:t>
      </w:r>
      <w:proofErr w:type="gramStart"/>
      <w:r>
        <w:rPr>
          <w:color w:val="323E4F" w:themeColor="text2" w:themeShade="BF"/>
          <w:sz w:val="20"/>
        </w:rPr>
        <w:t>taken</w:t>
      </w:r>
      <w:proofErr w:type="gramEnd"/>
      <w:r>
        <w:rPr>
          <w:color w:val="323E4F" w:themeColor="text2" w:themeShade="BF"/>
          <w:sz w:val="20"/>
        </w:rPr>
        <w:t xml:space="preserve"> </w:t>
      </w:r>
    </w:p>
    <w:p w14:paraId="7B5368E7"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 xml:space="preserve">In the event that the sampler mentioned above is not functional, it must be supplemented by the stand-by composite sampler or daily (grab) </w:t>
      </w:r>
      <w:proofErr w:type="gramStart"/>
      <w:r>
        <w:rPr>
          <w:color w:val="323E4F" w:themeColor="text2" w:themeShade="BF"/>
          <w:sz w:val="20"/>
        </w:rPr>
        <w:t>sample</w:t>
      </w:r>
      <w:proofErr w:type="gramEnd"/>
    </w:p>
    <w:p w14:paraId="49EC6BBD"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 xml:space="preserve">The date, time and monitoring point of each sample taken must be recorded together with the results of the analysis for grab </w:t>
      </w:r>
      <w:proofErr w:type="gramStart"/>
      <w:r>
        <w:rPr>
          <w:color w:val="323E4F" w:themeColor="text2" w:themeShade="BF"/>
          <w:sz w:val="20"/>
        </w:rPr>
        <w:t>sample</w:t>
      </w:r>
      <w:proofErr w:type="gramEnd"/>
    </w:p>
    <w:p w14:paraId="0DEE1B63" w14:textId="77777777" w:rsidR="000D5AB3" w:rsidRDefault="000D5AB3" w:rsidP="000D5AB3">
      <w:pPr>
        <w:ind w:left="360" w:right="590"/>
        <w:jc w:val="both"/>
        <w:rPr>
          <w:color w:val="323E4F" w:themeColor="text2" w:themeShade="BF"/>
        </w:rPr>
      </w:pPr>
    </w:p>
    <w:p w14:paraId="029D63C2"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 xml:space="preserve">Inspection of the sea daily for visibility of plume and foam incidence on the shore which includes facilitation and maintenance of reports by the </w:t>
      </w:r>
      <w:proofErr w:type="gramStart"/>
      <w:r>
        <w:rPr>
          <w:color w:val="323E4F" w:themeColor="text2" w:themeShade="BF"/>
          <w:sz w:val="20"/>
        </w:rPr>
        <w:t>divers</w:t>
      </w:r>
      <w:proofErr w:type="gramEnd"/>
    </w:p>
    <w:p w14:paraId="6B08C531"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Dispersion modelling – Establishment of the plume behaviour, assimilative capacity of the receiving environment and a reasonable mixing zone</w:t>
      </w:r>
    </w:p>
    <w:p w14:paraId="4A81E017"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Environmental Quality objectives – the following Parameters and target value / concentrations must be met:</w:t>
      </w:r>
    </w:p>
    <w:p w14:paraId="737EA380" w14:textId="77777777" w:rsidR="000D5AB3" w:rsidRDefault="000D5AB3" w:rsidP="000D5AB3">
      <w:pPr>
        <w:ind w:right="590"/>
        <w:jc w:val="both"/>
        <w:rPr>
          <w:color w:val="323E4F" w:themeColor="text2" w:themeShade="BF"/>
        </w:rPr>
      </w:pPr>
    </w:p>
    <w:p w14:paraId="5C535AD6" w14:textId="77777777" w:rsidR="000D5AB3" w:rsidRDefault="000D5AB3" w:rsidP="000D5AB3">
      <w:pPr>
        <w:pStyle w:val="Caption"/>
        <w:ind w:left="720"/>
        <w:rPr>
          <w:color w:val="323E4F" w:themeColor="text2" w:themeShade="BF"/>
        </w:rPr>
      </w:pPr>
      <w:bookmarkStart w:id="51" w:name="_Toc127273888"/>
      <w:r>
        <w:rPr>
          <w:color w:val="323E4F" w:themeColor="text2" w:themeShade="BF"/>
        </w:rPr>
        <w:t xml:space="preserve">Table </w:t>
      </w:r>
      <w:r>
        <w:fldChar w:fldCharType="begin"/>
      </w:r>
      <w:r>
        <w:rPr>
          <w:color w:val="323E4F" w:themeColor="text2" w:themeShade="BF"/>
        </w:rPr>
        <w:instrText xml:space="preserve"> STYLEREF 1 \s </w:instrText>
      </w:r>
      <w:r>
        <w:fldChar w:fldCharType="separate"/>
      </w:r>
      <w:r>
        <w:rPr>
          <w:noProof/>
          <w:color w:val="323E4F" w:themeColor="text2" w:themeShade="BF"/>
        </w:rPr>
        <w:t>3</w:t>
      </w:r>
      <w:r>
        <w:fldChar w:fldCharType="end"/>
      </w:r>
      <w:r>
        <w:rPr>
          <w:color w:val="323E4F" w:themeColor="text2" w:themeShade="BF"/>
        </w:rPr>
        <w:noBreakHyphen/>
      </w:r>
      <w:r>
        <w:fldChar w:fldCharType="begin"/>
      </w:r>
      <w:r>
        <w:rPr>
          <w:color w:val="323E4F" w:themeColor="text2" w:themeShade="BF"/>
        </w:rPr>
        <w:instrText xml:space="preserve"> SEQ Table \* ARABIC \s 1 </w:instrText>
      </w:r>
      <w:r>
        <w:fldChar w:fldCharType="separate"/>
      </w:r>
      <w:r>
        <w:rPr>
          <w:noProof/>
          <w:color w:val="323E4F" w:themeColor="text2" w:themeShade="BF"/>
        </w:rPr>
        <w:t>7</w:t>
      </w:r>
      <w:r>
        <w:fldChar w:fldCharType="end"/>
      </w:r>
      <w:r>
        <w:rPr>
          <w:color w:val="323E4F" w:themeColor="text2" w:themeShade="BF"/>
        </w:rPr>
        <w:t>:</w:t>
      </w:r>
      <w:r>
        <w:rPr>
          <w:color w:val="323E4F" w:themeColor="text2" w:themeShade="BF"/>
        </w:rPr>
        <w:tab/>
        <w:t>Parameters and target value/concentrations</w:t>
      </w:r>
      <w:bookmarkEnd w:id="51"/>
    </w:p>
    <w:tbl>
      <w:tblPr>
        <w:tblW w:w="4363" w:type="pct"/>
        <w:tblCellSpacing w:w="9"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475"/>
        <w:gridCol w:w="5684"/>
      </w:tblGrid>
      <w:tr w:rsidR="000D5AB3" w14:paraId="0CF23E80" w14:textId="77777777" w:rsidTr="000D5AB3">
        <w:trPr>
          <w:trHeight w:val="332"/>
          <w:tblCellSpacing w:w="9" w:type="dxa"/>
        </w:trPr>
        <w:tc>
          <w:tcPr>
            <w:tcW w:w="1501" w:type="pct"/>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04D0AEF8" w14:textId="77777777" w:rsidR="000D5AB3" w:rsidRDefault="000D5AB3">
            <w:pPr>
              <w:ind w:left="360"/>
              <w:rPr>
                <w:b/>
                <w:bCs/>
                <w:color w:val="FFFFFF" w:themeColor="background1"/>
                <w:sz w:val="18"/>
                <w:szCs w:val="18"/>
              </w:rPr>
            </w:pPr>
            <w:r>
              <w:rPr>
                <w:b/>
                <w:bCs/>
                <w:color w:val="FFFFFF" w:themeColor="background1"/>
                <w:sz w:val="18"/>
                <w:szCs w:val="18"/>
              </w:rPr>
              <w:t>Substance / parameter</w:t>
            </w:r>
          </w:p>
        </w:tc>
        <w:tc>
          <w:tcPr>
            <w:tcW w:w="3469" w:type="pct"/>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4D510CC" w14:textId="77777777" w:rsidR="000D5AB3" w:rsidRDefault="000D5AB3">
            <w:pPr>
              <w:ind w:left="360"/>
              <w:rPr>
                <w:b/>
                <w:bCs/>
                <w:color w:val="FFFFFF" w:themeColor="background1"/>
                <w:sz w:val="18"/>
                <w:szCs w:val="18"/>
              </w:rPr>
            </w:pPr>
            <w:r>
              <w:rPr>
                <w:b/>
                <w:bCs/>
                <w:color w:val="FFFFFF" w:themeColor="background1"/>
                <w:sz w:val="18"/>
                <w:szCs w:val="18"/>
              </w:rPr>
              <w:t>Target Value / Concentration</w:t>
            </w:r>
          </w:p>
        </w:tc>
      </w:tr>
      <w:tr w:rsidR="000D5AB3" w14:paraId="1329E63E" w14:textId="77777777" w:rsidTr="000D5AB3">
        <w:trPr>
          <w:trHeight w:val="348"/>
          <w:tblCellSpacing w:w="9" w:type="dxa"/>
        </w:trPr>
        <w:tc>
          <w:tcPr>
            <w:tcW w:w="1501" w:type="pct"/>
            <w:tcBorders>
              <w:top w:val="single" w:sz="4" w:space="0" w:color="auto"/>
              <w:left w:val="single" w:sz="4" w:space="0" w:color="auto"/>
              <w:bottom w:val="single" w:sz="4" w:space="0" w:color="auto"/>
              <w:right w:val="single" w:sz="4" w:space="0" w:color="auto"/>
            </w:tcBorders>
            <w:shd w:val="clear" w:color="auto" w:fill="B1E7FF"/>
            <w:hideMark/>
          </w:tcPr>
          <w:p w14:paraId="4454668D" w14:textId="77777777" w:rsidR="000D5AB3" w:rsidRDefault="000D5AB3">
            <w:pPr>
              <w:ind w:left="360"/>
              <w:rPr>
                <w:color w:val="323E4F" w:themeColor="text2" w:themeShade="BF"/>
                <w:sz w:val="18"/>
                <w:szCs w:val="18"/>
              </w:rPr>
            </w:pPr>
            <w:r>
              <w:rPr>
                <w:color w:val="323E4F" w:themeColor="text2" w:themeShade="BF"/>
                <w:sz w:val="18"/>
                <w:szCs w:val="18"/>
              </w:rPr>
              <w:t>pH</w:t>
            </w:r>
          </w:p>
        </w:tc>
        <w:tc>
          <w:tcPr>
            <w:tcW w:w="3469" w:type="pct"/>
            <w:tcBorders>
              <w:top w:val="single" w:sz="4" w:space="0" w:color="auto"/>
              <w:left w:val="single" w:sz="4" w:space="0" w:color="auto"/>
              <w:bottom w:val="single" w:sz="4" w:space="0" w:color="auto"/>
              <w:right w:val="single" w:sz="4" w:space="0" w:color="auto"/>
            </w:tcBorders>
            <w:shd w:val="clear" w:color="auto" w:fill="B1E7FF"/>
            <w:hideMark/>
          </w:tcPr>
          <w:p w14:paraId="74EF15F2" w14:textId="77777777" w:rsidR="000D5AB3" w:rsidRDefault="000D5AB3">
            <w:pPr>
              <w:ind w:left="360"/>
              <w:rPr>
                <w:color w:val="323E4F" w:themeColor="text2" w:themeShade="BF"/>
                <w:sz w:val="18"/>
                <w:szCs w:val="18"/>
              </w:rPr>
            </w:pPr>
            <w:r>
              <w:rPr>
                <w:color w:val="323E4F" w:themeColor="text2" w:themeShade="BF"/>
                <w:sz w:val="18"/>
                <w:szCs w:val="18"/>
              </w:rPr>
              <w:t>7,3 - 8,4</w:t>
            </w:r>
          </w:p>
        </w:tc>
      </w:tr>
      <w:tr w:rsidR="000D5AB3" w14:paraId="3EBDAC02" w14:textId="77777777" w:rsidTr="000D5AB3">
        <w:trPr>
          <w:trHeight w:val="348"/>
          <w:tblCellSpacing w:w="9" w:type="dxa"/>
        </w:trPr>
        <w:tc>
          <w:tcPr>
            <w:tcW w:w="1501" w:type="pct"/>
            <w:tcBorders>
              <w:top w:val="single" w:sz="4" w:space="0" w:color="auto"/>
              <w:left w:val="single" w:sz="4" w:space="0" w:color="auto"/>
              <w:bottom w:val="single" w:sz="4" w:space="0" w:color="auto"/>
              <w:right w:val="single" w:sz="4" w:space="0" w:color="auto"/>
            </w:tcBorders>
            <w:shd w:val="clear" w:color="auto" w:fill="B1E7FF"/>
            <w:hideMark/>
          </w:tcPr>
          <w:p w14:paraId="49729FC8" w14:textId="77777777" w:rsidR="000D5AB3" w:rsidRDefault="000D5AB3">
            <w:pPr>
              <w:ind w:left="360"/>
              <w:rPr>
                <w:color w:val="323E4F" w:themeColor="text2" w:themeShade="BF"/>
                <w:sz w:val="18"/>
                <w:szCs w:val="18"/>
              </w:rPr>
            </w:pPr>
            <w:r>
              <w:rPr>
                <w:color w:val="323E4F" w:themeColor="text2" w:themeShade="BF"/>
                <w:sz w:val="18"/>
                <w:szCs w:val="18"/>
              </w:rPr>
              <w:t>Salinity</w:t>
            </w:r>
          </w:p>
        </w:tc>
        <w:tc>
          <w:tcPr>
            <w:tcW w:w="3469" w:type="pct"/>
            <w:tcBorders>
              <w:top w:val="single" w:sz="4" w:space="0" w:color="auto"/>
              <w:left w:val="single" w:sz="4" w:space="0" w:color="auto"/>
              <w:bottom w:val="single" w:sz="4" w:space="0" w:color="auto"/>
              <w:right w:val="single" w:sz="4" w:space="0" w:color="auto"/>
            </w:tcBorders>
            <w:shd w:val="clear" w:color="auto" w:fill="B1E7FF"/>
            <w:hideMark/>
          </w:tcPr>
          <w:p w14:paraId="4D688B88" w14:textId="77777777" w:rsidR="000D5AB3" w:rsidRDefault="000D5AB3">
            <w:pPr>
              <w:ind w:left="360"/>
              <w:rPr>
                <w:color w:val="323E4F" w:themeColor="text2" w:themeShade="BF"/>
                <w:sz w:val="18"/>
                <w:szCs w:val="18"/>
              </w:rPr>
            </w:pPr>
            <w:r>
              <w:rPr>
                <w:color w:val="323E4F" w:themeColor="text2" w:themeShade="BF"/>
                <w:sz w:val="18"/>
                <w:szCs w:val="18"/>
              </w:rPr>
              <w:t xml:space="preserve">33 – 36 </w:t>
            </w:r>
            <w:proofErr w:type="spellStart"/>
            <w:r>
              <w:rPr>
                <w:color w:val="323E4F" w:themeColor="text2" w:themeShade="BF"/>
                <w:sz w:val="18"/>
                <w:szCs w:val="18"/>
              </w:rPr>
              <w:t>psu</w:t>
            </w:r>
            <w:proofErr w:type="spellEnd"/>
          </w:p>
        </w:tc>
      </w:tr>
      <w:tr w:rsidR="000D5AB3" w14:paraId="4CAC904E" w14:textId="77777777" w:rsidTr="000D5AB3">
        <w:trPr>
          <w:trHeight w:val="71"/>
          <w:tblCellSpacing w:w="9" w:type="dxa"/>
        </w:trPr>
        <w:tc>
          <w:tcPr>
            <w:tcW w:w="1501" w:type="pct"/>
            <w:tcBorders>
              <w:top w:val="single" w:sz="4" w:space="0" w:color="auto"/>
              <w:left w:val="single" w:sz="4" w:space="0" w:color="auto"/>
              <w:bottom w:val="single" w:sz="4" w:space="0" w:color="auto"/>
              <w:right w:val="single" w:sz="4" w:space="0" w:color="auto"/>
            </w:tcBorders>
            <w:shd w:val="clear" w:color="auto" w:fill="B1E7FF"/>
            <w:hideMark/>
          </w:tcPr>
          <w:p w14:paraId="0D7CAD22" w14:textId="77777777" w:rsidR="000D5AB3" w:rsidRDefault="000D5AB3">
            <w:pPr>
              <w:ind w:left="360"/>
              <w:rPr>
                <w:color w:val="323E4F" w:themeColor="text2" w:themeShade="BF"/>
                <w:sz w:val="18"/>
                <w:szCs w:val="18"/>
              </w:rPr>
            </w:pPr>
            <w:r>
              <w:rPr>
                <w:color w:val="323E4F" w:themeColor="text2" w:themeShade="BF"/>
                <w:sz w:val="18"/>
                <w:szCs w:val="18"/>
              </w:rPr>
              <w:t>Temperature</w:t>
            </w:r>
          </w:p>
        </w:tc>
        <w:tc>
          <w:tcPr>
            <w:tcW w:w="3469" w:type="pct"/>
            <w:tcBorders>
              <w:top w:val="single" w:sz="4" w:space="0" w:color="auto"/>
              <w:left w:val="single" w:sz="4" w:space="0" w:color="auto"/>
              <w:bottom w:val="single" w:sz="4" w:space="0" w:color="auto"/>
              <w:right w:val="single" w:sz="4" w:space="0" w:color="auto"/>
            </w:tcBorders>
            <w:shd w:val="clear" w:color="auto" w:fill="B1E7FF"/>
            <w:hideMark/>
          </w:tcPr>
          <w:p w14:paraId="030AB41E" w14:textId="77777777" w:rsidR="000D5AB3" w:rsidRDefault="000D5AB3">
            <w:pPr>
              <w:ind w:left="360"/>
              <w:rPr>
                <w:color w:val="323E4F" w:themeColor="text2" w:themeShade="BF"/>
                <w:sz w:val="18"/>
                <w:szCs w:val="18"/>
              </w:rPr>
            </w:pPr>
            <w:r>
              <w:rPr>
                <w:color w:val="323E4F" w:themeColor="text2" w:themeShade="BF"/>
                <w:sz w:val="18"/>
                <w:szCs w:val="18"/>
              </w:rPr>
              <w:t xml:space="preserve">1 </w:t>
            </w:r>
            <w:proofErr w:type="spellStart"/>
            <w:r>
              <w:rPr>
                <w:color w:val="323E4F" w:themeColor="text2" w:themeShade="BF"/>
                <w:sz w:val="18"/>
                <w:szCs w:val="18"/>
                <w:vertAlign w:val="superscript"/>
              </w:rPr>
              <w:t>o</w:t>
            </w:r>
            <w:r>
              <w:rPr>
                <w:color w:val="323E4F" w:themeColor="text2" w:themeShade="BF"/>
                <w:sz w:val="18"/>
                <w:szCs w:val="18"/>
              </w:rPr>
              <w:t>C</w:t>
            </w:r>
            <w:proofErr w:type="spellEnd"/>
          </w:p>
        </w:tc>
      </w:tr>
      <w:tr w:rsidR="000D5AB3" w14:paraId="1474435A" w14:textId="77777777" w:rsidTr="000D5AB3">
        <w:trPr>
          <w:trHeight w:val="71"/>
          <w:tblCellSpacing w:w="9" w:type="dxa"/>
        </w:trPr>
        <w:tc>
          <w:tcPr>
            <w:tcW w:w="1501" w:type="pct"/>
            <w:tcBorders>
              <w:top w:val="single" w:sz="4" w:space="0" w:color="auto"/>
              <w:left w:val="single" w:sz="4" w:space="0" w:color="auto"/>
              <w:bottom w:val="single" w:sz="4" w:space="0" w:color="auto"/>
              <w:right w:val="single" w:sz="4" w:space="0" w:color="auto"/>
            </w:tcBorders>
            <w:shd w:val="clear" w:color="auto" w:fill="B1E7FF"/>
            <w:hideMark/>
          </w:tcPr>
          <w:p w14:paraId="1328DD07" w14:textId="77777777" w:rsidR="000D5AB3" w:rsidRDefault="000D5AB3">
            <w:pPr>
              <w:ind w:left="360"/>
              <w:rPr>
                <w:color w:val="323E4F" w:themeColor="text2" w:themeShade="BF"/>
                <w:sz w:val="18"/>
                <w:szCs w:val="18"/>
              </w:rPr>
            </w:pPr>
            <w:r>
              <w:rPr>
                <w:color w:val="323E4F" w:themeColor="text2" w:themeShade="BF"/>
                <w:sz w:val="18"/>
                <w:szCs w:val="18"/>
              </w:rPr>
              <w:t>Suspended solids</w:t>
            </w:r>
          </w:p>
        </w:tc>
        <w:tc>
          <w:tcPr>
            <w:tcW w:w="3469" w:type="pct"/>
            <w:tcBorders>
              <w:top w:val="single" w:sz="4" w:space="0" w:color="auto"/>
              <w:left w:val="single" w:sz="4" w:space="0" w:color="auto"/>
              <w:bottom w:val="single" w:sz="4" w:space="0" w:color="auto"/>
              <w:right w:val="single" w:sz="4" w:space="0" w:color="auto"/>
            </w:tcBorders>
            <w:shd w:val="clear" w:color="auto" w:fill="B1E7FF"/>
            <w:hideMark/>
          </w:tcPr>
          <w:p w14:paraId="21B4141C" w14:textId="77777777" w:rsidR="000D5AB3" w:rsidRDefault="000D5AB3">
            <w:pPr>
              <w:ind w:left="360"/>
              <w:rPr>
                <w:color w:val="323E4F" w:themeColor="text2" w:themeShade="BF"/>
                <w:sz w:val="18"/>
                <w:szCs w:val="18"/>
              </w:rPr>
            </w:pPr>
            <w:r>
              <w:rPr>
                <w:color w:val="323E4F" w:themeColor="text2" w:themeShade="BF"/>
                <w:sz w:val="18"/>
                <w:szCs w:val="18"/>
              </w:rPr>
              <w:t>The concentration of suspended solids should not be increased by more than 10% of the ambient concentration</w:t>
            </w:r>
          </w:p>
        </w:tc>
      </w:tr>
      <w:tr w:rsidR="000D5AB3" w14:paraId="040D3165" w14:textId="77777777" w:rsidTr="000D5AB3">
        <w:trPr>
          <w:trHeight w:val="71"/>
          <w:tblCellSpacing w:w="9" w:type="dxa"/>
        </w:trPr>
        <w:tc>
          <w:tcPr>
            <w:tcW w:w="1501" w:type="pct"/>
            <w:tcBorders>
              <w:top w:val="single" w:sz="4" w:space="0" w:color="auto"/>
              <w:left w:val="single" w:sz="4" w:space="0" w:color="auto"/>
              <w:bottom w:val="single" w:sz="4" w:space="0" w:color="auto"/>
              <w:right w:val="single" w:sz="4" w:space="0" w:color="auto"/>
            </w:tcBorders>
            <w:shd w:val="clear" w:color="auto" w:fill="B1E7FF"/>
            <w:hideMark/>
          </w:tcPr>
          <w:p w14:paraId="4B488A9E" w14:textId="77777777" w:rsidR="000D5AB3" w:rsidRDefault="000D5AB3">
            <w:pPr>
              <w:ind w:left="360"/>
              <w:rPr>
                <w:color w:val="323E4F" w:themeColor="text2" w:themeShade="BF"/>
                <w:sz w:val="18"/>
                <w:szCs w:val="18"/>
              </w:rPr>
            </w:pPr>
            <w:r>
              <w:rPr>
                <w:color w:val="323E4F" w:themeColor="text2" w:themeShade="BF"/>
                <w:sz w:val="18"/>
                <w:szCs w:val="18"/>
              </w:rPr>
              <w:t>Colour</w:t>
            </w:r>
          </w:p>
        </w:tc>
        <w:tc>
          <w:tcPr>
            <w:tcW w:w="3469" w:type="pct"/>
            <w:tcBorders>
              <w:top w:val="single" w:sz="4" w:space="0" w:color="auto"/>
              <w:left w:val="single" w:sz="4" w:space="0" w:color="auto"/>
              <w:bottom w:val="single" w:sz="4" w:space="0" w:color="auto"/>
              <w:right w:val="single" w:sz="4" w:space="0" w:color="auto"/>
            </w:tcBorders>
            <w:shd w:val="clear" w:color="auto" w:fill="B1E7FF"/>
            <w:hideMark/>
          </w:tcPr>
          <w:p w14:paraId="38FAAEB5" w14:textId="77777777" w:rsidR="000D5AB3" w:rsidRDefault="000D5AB3">
            <w:pPr>
              <w:ind w:left="360"/>
              <w:rPr>
                <w:color w:val="323E4F" w:themeColor="text2" w:themeShade="BF"/>
                <w:sz w:val="18"/>
                <w:szCs w:val="18"/>
              </w:rPr>
            </w:pPr>
            <w:r>
              <w:rPr>
                <w:color w:val="323E4F" w:themeColor="text2" w:themeShade="BF"/>
                <w:sz w:val="18"/>
                <w:szCs w:val="18"/>
              </w:rPr>
              <w:t>Colour acting singly or in combination should not reduce the depth of the euphotic zone by more than 10%</w:t>
            </w:r>
          </w:p>
        </w:tc>
      </w:tr>
      <w:tr w:rsidR="000D5AB3" w14:paraId="610D6E6F" w14:textId="77777777" w:rsidTr="000D5AB3">
        <w:trPr>
          <w:trHeight w:val="71"/>
          <w:tblCellSpacing w:w="9" w:type="dxa"/>
        </w:trPr>
        <w:tc>
          <w:tcPr>
            <w:tcW w:w="1501" w:type="pct"/>
            <w:tcBorders>
              <w:top w:val="single" w:sz="4" w:space="0" w:color="auto"/>
              <w:left w:val="single" w:sz="4" w:space="0" w:color="auto"/>
              <w:bottom w:val="single" w:sz="4" w:space="0" w:color="auto"/>
              <w:right w:val="single" w:sz="4" w:space="0" w:color="auto"/>
            </w:tcBorders>
            <w:shd w:val="clear" w:color="auto" w:fill="B1E7FF"/>
            <w:hideMark/>
          </w:tcPr>
          <w:p w14:paraId="092CA8CA" w14:textId="77777777" w:rsidR="000D5AB3" w:rsidRDefault="000D5AB3">
            <w:pPr>
              <w:ind w:left="360"/>
              <w:rPr>
                <w:color w:val="323E4F" w:themeColor="text2" w:themeShade="BF"/>
                <w:sz w:val="18"/>
                <w:szCs w:val="18"/>
              </w:rPr>
            </w:pPr>
            <w:r>
              <w:rPr>
                <w:color w:val="323E4F" w:themeColor="text2" w:themeShade="BF"/>
                <w:sz w:val="18"/>
                <w:szCs w:val="18"/>
              </w:rPr>
              <w:t>Total dissolved oxygen</w:t>
            </w:r>
          </w:p>
        </w:tc>
        <w:tc>
          <w:tcPr>
            <w:tcW w:w="3469" w:type="pct"/>
            <w:tcBorders>
              <w:top w:val="single" w:sz="4" w:space="0" w:color="auto"/>
              <w:left w:val="single" w:sz="4" w:space="0" w:color="auto"/>
              <w:bottom w:val="single" w:sz="4" w:space="0" w:color="auto"/>
              <w:right w:val="single" w:sz="4" w:space="0" w:color="auto"/>
            </w:tcBorders>
            <w:shd w:val="clear" w:color="auto" w:fill="B1E7FF"/>
            <w:hideMark/>
          </w:tcPr>
          <w:p w14:paraId="11541099" w14:textId="77777777" w:rsidR="000D5AB3" w:rsidRDefault="000D5AB3">
            <w:pPr>
              <w:ind w:left="360"/>
              <w:rPr>
                <w:color w:val="323E4F" w:themeColor="text2" w:themeShade="BF"/>
                <w:sz w:val="18"/>
                <w:szCs w:val="18"/>
              </w:rPr>
            </w:pPr>
            <w:r>
              <w:rPr>
                <w:color w:val="323E4F" w:themeColor="text2" w:themeShade="BF"/>
                <w:sz w:val="18"/>
                <w:szCs w:val="18"/>
              </w:rPr>
              <w:t>Should not fall below 5 mg/l 99% of the time and above 6 mg/l 95% other time</w:t>
            </w:r>
          </w:p>
        </w:tc>
      </w:tr>
    </w:tbl>
    <w:p w14:paraId="5B5282A5" w14:textId="77777777" w:rsidR="000D5AB3" w:rsidRDefault="000D5AB3" w:rsidP="000D5AB3">
      <w:pPr>
        <w:rPr>
          <w:rFonts w:eastAsia="Arial" w:cs="Arial"/>
          <w:color w:val="323E4F" w:themeColor="text2" w:themeShade="BF"/>
          <w:sz w:val="22"/>
          <w:szCs w:val="22"/>
          <w:lang w:val="en-ZA" w:eastAsia="en-ZA" w:bidi="en-ZA"/>
        </w:rPr>
      </w:pPr>
    </w:p>
    <w:p w14:paraId="076AEA7B"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Monitoring Points – Monitoring points must be approved by the DFFE. At present these can be indicated as follow:</w:t>
      </w:r>
    </w:p>
    <w:p w14:paraId="2BB231CC"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 xml:space="preserve">Continuous monitoring for quality of effluent discharged into the outfall at the location specified in the </w:t>
      </w:r>
      <w:proofErr w:type="gramStart"/>
      <w:r>
        <w:rPr>
          <w:color w:val="323E4F" w:themeColor="text2" w:themeShade="BF"/>
          <w:sz w:val="20"/>
        </w:rPr>
        <w:t>CWDP;</w:t>
      </w:r>
      <w:proofErr w:type="gramEnd"/>
    </w:p>
    <w:p w14:paraId="6E2D3307"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 xml:space="preserve">Composite (24 hr daily) sample for quality of effluent at the location specified within the </w:t>
      </w:r>
      <w:proofErr w:type="gramStart"/>
      <w:r>
        <w:rPr>
          <w:color w:val="323E4F" w:themeColor="text2" w:themeShade="BF"/>
          <w:sz w:val="20"/>
        </w:rPr>
        <w:t>CWDP;</w:t>
      </w:r>
      <w:proofErr w:type="gramEnd"/>
    </w:p>
    <w:p w14:paraId="570B7E2A"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Grab sampling for benthic sediment at coordinates specified in the CWDP; and</w:t>
      </w:r>
    </w:p>
    <w:p w14:paraId="6EF3FD60"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 xml:space="preserve">Any other monitoring stations and coordinates prescribed by the conditions of the </w:t>
      </w:r>
      <w:proofErr w:type="gramStart"/>
      <w:r>
        <w:rPr>
          <w:color w:val="323E4F" w:themeColor="text2" w:themeShade="BF"/>
          <w:sz w:val="20"/>
        </w:rPr>
        <w:t>CWDP</w:t>
      </w:r>
      <w:proofErr w:type="gramEnd"/>
      <w:r>
        <w:rPr>
          <w:color w:val="323E4F" w:themeColor="text2" w:themeShade="BF"/>
          <w:sz w:val="20"/>
        </w:rPr>
        <w:t xml:space="preserve"> </w:t>
      </w:r>
    </w:p>
    <w:p w14:paraId="214C5033" w14:textId="77777777" w:rsidR="000D5AB3" w:rsidRDefault="000D5AB3" w:rsidP="000D5AB3">
      <w:pPr>
        <w:ind w:right="590"/>
        <w:jc w:val="both"/>
        <w:rPr>
          <w:color w:val="323E4F" w:themeColor="text2" w:themeShade="BF"/>
        </w:rPr>
      </w:pPr>
    </w:p>
    <w:p w14:paraId="07AD85FA" w14:textId="77777777" w:rsidR="000D5AB3" w:rsidRDefault="000D5AB3" w:rsidP="000D5AB3">
      <w:pPr>
        <w:pStyle w:val="ListParagraph"/>
        <w:numPr>
          <w:ilvl w:val="0"/>
          <w:numId w:val="24"/>
        </w:numPr>
        <w:tabs>
          <w:tab w:val="left" w:pos="630"/>
        </w:tabs>
        <w:spacing w:before="29"/>
        <w:ind w:left="630" w:right="566" w:hanging="270"/>
        <w:jc w:val="both"/>
        <w:rPr>
          <w:color w:val="323E4F" w:themeColor="text2" w:themeShade="BF"/>
          <w:sz w:val="20"/>
        </w:rPr>
      </w:pPr>
      <w:r>
        <w:rPr>
          <w:color w:val="323E4F" w:themeColor="text2" w:themeShade="BF"/>
          <w:sz w:val="20"/>
        </w:rPr>
        <w:t>General – the environmental monitoring programme must include, as a minimum, the following aspects:</w:t>
      </w:r>
    </w:p>
    <w:p w14:paraId="26F98C4E"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 xml:space="preserve">Monitoring the effectiveness of management strategies and actions to ensure compliance with the CWDP </w:t>
      </w:r>
      <w:proofErr w:type="gramStart"/>
      <w:r>
        <w:rPr>
          <w:color w:val="323E4F" w:themeColor="text2" w:themeShade="BF"/>
          <w:sz w:val="20"/>
        </w:rPr>
        <w:t>conditions</w:t>
      </w:r>
      <w:proofErr w:type="gramEnd"/>
    </w:p>
    <w:p w14:paraId="4E8866EC"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lastRenderedPageBreak/>
        <w:t xml:space="preserve">Monitoring the trends, status and changes in the receiving environment related to the health of the </w:t>
      </w:r>
      <w:proofErr w:type="spellStart"/>
      <w:r>
        <w:rPr>
          <w:color w:val="323E4F" w:themeColor="text2" w:themeShade="BF"/>
          <w:sz w:val="20"/>
        </w:rPr>
        <w:t>Aliwal</w:t>
      </w:r>
      <w:proofErr w:type="spellEnd"/>
      <w:r>
        <w:rPr>
          <w:color w:val="323E4F" w:themeColor="text2" w:themeShade="BF"/>
          <w:sz w:val="20"/>
        </w:rPr>
        <w:t xml:space="preserve"> Shoal Marine Protected Area, other important ecosystems and designated beneficial </w:t>
      </w:r>
      <w:proofErr w:type="gramStart"/>
      <w:r>
        <w:rPr>
          <w:color w:val="323E4F" w:themeColor="text2" w:themeShade="BF"/>
          <w:sz w:val="20"/>
        </w:rPr>
        <w:t>uses</w:t>
      </w:r>
      <w:proofErr w:type="gramEnd"/>
    </w:p>
    <w:p w14:paraId="61E15CB9"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 xml:space="preserve">An effluent improvement plan to reduce the impacts of effluent in the marine </w:t>
      </w:r>
      <w:proofErr w:type="gramStart"/>
      <w:r>
        <w:rPr>
          <w:color w:val="323E4F" w:themeColor="text2" w:themeShade="BF"/>
          <w:sz w:val="20"/>
        </w:rPr>
        <w:t>environment</w:t>
      </w:r>
      <w:proofErr w:type="gramEnd"/>
    </w:p>
    <w:p w14:paraId="1DAF221D"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Proposed dimensions of the sampling grid for an annual marine impact assessment, indicating the number and location of proposed sampling points</w:t>
      </w:r>
    </w:p>
    <w:p w14:paraId="62BC8481"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 xml:space="preserve">Whether the environmental quality limits are, where applicable, complied with in the area from the end of the mixing </w:t>
      </w:r>
      <w:proofErr w:type="gramStart"/>
      <w:r>
        <w:rPr>
          <w:color w:val="323E4F" w:themeColor="text2" w:themeShade="BF"/>
          <w:sz w:val="20"/>
        </w:rPr>
        <w:t>zone</w:t>
      </w:r>
      <w:proofErr w:type="gramEnd"/>
    </w:p>
    <w:p w14:paraId="75343E20"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A benthic macrofauna assessment to monitor changes in its composition within the vicinity of the marine outfall. Water toxicity testing must be conducted.</w:t>
      </w:r>
    </w:p>
    <w:p w14:paraId="704035BA" w14:textId="77777777" w:rsidR="000D5AB3" w:rsidRDefault="000D5AB3" w:rsidP="000D5AB3">
      <w:pPr>
        <w:ind w:right="570"/>
        <w:jc w:val="both"/>
        <w:rPr>
          <w:rFonts w:eastAsia="Calibri"/>
          <w:color w:val="323E4F" w:themeColor="text2" w:themeShade="BF"/>
          <w:lang w:eastAsia="en-US"/>
        </w:rPr>
      </w:pPr>
    </w:p>
    <w:p w14:paraId="6A5A142F" w14:textId="77777777" w:rsidR="000D5AB3" w:rsidRDefault="000D5AB3" w:rsidP="000D5AB3">
      <w:pPr>
        <w:pStyle w:val="ListParagraph"/>
        <w:numPr>
          <w:ilvl w:val="0"/>
          <w:numId w:val="24"/>
        </w:numPr>
        <w:tabs>
          <w:tab w:val="left" w:pos="630"/>
        </w:tabs>
        <w:spacing w:before="29"/>
        <w:ind w:left="630" w:right="566" w:hanging="270"/>
        <w:jc w:val="both"/>
        <w:rPr>
          <w:rFonts w:eastAsia="Calibri"/>
          <w:color w:val="323E4F" w:themeColor="text2" w:themeShade="BF"/>
          <w:sz w:val="20"/>
          <w:szCs w:val="20"/>
          <w:lang w:eastAsia="en-US" w:bidi="ar-SA"/>
        </w:rPr>
      </w:pPr>
      <w:r>
        <w:rPr>
          <w:color w:val="323E4F" w:themeColor="text2" w:themeShade="BF"/>
          <w:sz w:val="20"/>
        </w:rPr>
        <w:t>Reporting</w:t>
      </w:r>
      <w:r>
        <w:rPr>
          <w:rFonts w:eastAsia="Calibri"/>
          <w:color w:val="323E4F" w:themeColor="text2" w:themeShade="BF"/>
          <w:sz w:val="20"/>
          <w:szCs w:val="20"/>
          <w:lang w:eastAsia="en-US" w:bidi="ar-SA"/>
        </w:rPr>
        <w:t xml:space="preserve"> - With regards to Effluent Discharge (Offshore), all </w:t>
      </w:r>
      <w:r>
        <w:rPr>
          <w:color w:val="323E4F" w:themeColor="text2" w:themeShade="BF"/>
          <w:sz w:val="20"/>
          <w:szCs w:val="20"/>
        </w:rPr>
        <w:t>reporting</w:t>
      </w:r>
      <w:r>
        <w:rPr>
          <w:rFonts w:eastAsia="Calibri"/>
          <w:color w:val="323E4F" w:themeColor="text2" w:themeShade="BF"/>
          <w:sz w:val="20"/>
          <w:szCs w:val="20"/>
          <w:lang w:eastAsia="en-US" w:bidi="ar-SA"/>
        </w:rPr>
        <w:t xml:space="preserve"> requirements must be aligned with the CWDP conditions. The following can be raised as important in this regard:</w:t>
      </w:r>
    </w:p>
    <w:p w14:paraId="1CC53368"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 xml:space="preserve">Reporting to the DFFE must occur on the prescribed forms or format agreed to by the competent </w:t>
      </w:r>
      <w:proofErr w:type="gramStart"/>
      <w:r>
        <w:rPr>
          <w:color w:val="323E4F" w:themeColor="text2" w:themeShade="BF"/>
          <w:sz w:val="20"/>
        </w:rPr>
        <w:t>authority</w:t>
      </w:r>
      <w:proofErr w:type="gramEnd"/>
    </w:p>
    <w:p w14:paraId="5451D893"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Monthly reporting on the following will be required:</w:t>
      </w:r>
    </w:p>
    <w:p w14:paraId="62EE574B" w14:textId="77777777" w:rsidR="000D5AB3" w:rsidRDefault="000D5AB3" w:rsidP="000D5AB3">
      <w:pPr>
        <w:numPr>
          <w:ilvl w:val="0"/>
          <w:numId w:val="28"/>
        </w:numPr>
        <w:autoSpaceDN w:val="0"/>
        <w:spacing w:after="160" w:line="256" w:lineRule="auto"/>
        <w:ind w:left="1560" w:right="590" w:hanging="180"/>
        <w:contextualSpacing/>
        <w:jc w:val="both"/>
        <w:rPr>
          <w:rFonts w:eastAsia="Calibri"/>
          <w:color w:val="323E4F" w:themeColor="text2" w:themeShade="BF"/>
          <w:lang w:eastAsia="en-US"/>
        </w:rPr>
      </w:pPr>
      <w:r>
        <w:rPr>
          <w:rFonts w:eastAsia="Calibri"/>
          <w:color w:val="323E4F" w:themeColor="text2" w:themeShade="BF"/>
          <w:lang w:eastAsia="en-US"/>
        </w:rPr>
        <w:t xml:space="preserve">The exact volume discharged, showing average daily, weekly and monthly discharge </w:t>
      </w:r>
      <w:proofErr w:type="gramStart"/>
      <w:r>
        <w:rPr>
          <w:rFonts w:eastAsia="Calibri"/>
          <w:color w:val="323E4F" w:themeColor="text2" w:themeShade="BF"/>
          <w:lang w:eastAsia="en-US"/>
        </w:rPr>
        <w:t>volumes</w:t>
      </w:r>
      <w:proofErr w:type="gramEnd"/>
    </w:p>
    <w:p w14:paraId="6C97B48E" w14:textId="77777777" w:rsidR="000D5AB3" w:rsidRDefault="000D5AB3" w:rsidP="000D5AB3">
      <w:pPr>
        <w:numPr>
          <w:ilvl w:val="0"/>
          <w:numId w:val="28"/>
        </w:numPr>
        <w:autoSpaceDN w:val="0"/>
        <w:spacing w:line="256" w:lineRule="auto"/>
        <w:ind w:left="1560" w:right="590" w:hanging="180"/>
        <w:contextualSpacing/>
        <w:jc w:val="both"/>
        <w:rPr>
          <w:rFonts w:eastAsia="Calibri"/>
          <w:color w:val="323E4F" w:themeColor="text2" w:themeShade="BF"/>
          <w:lang w:eastAsia="en-US"/>
        </w:rPr>
      </w:pPr>
      <w:r>
        <w:rPr>
          <w:rFonts w:eastAsia="Calibri"/>
          <w:color w:val="323E4F" w:themeColor="text2" w:themeShade="BF"/>
          <w:lang w:eastAsia="en-US"/>
        </w:rPr>
        <w:t xml:space="preserve">Incidences that have occurred during emergency, malfunction or upset </w:t>
      </w:r>
      <w:proofErr w:type="gramStart"/>
      <w:r>
        <w:rPr>
          <w:rFonts w:eastAsia="Calibri"/>
          <w:color w:val="323E4F" w:themeColor="text2" w:themeShade="BF"/>
          <w:lang w:eastAsia="en-US"/>
        </w:rPr>
        <w:t>conditions</w:t>
      </w:r>
      <w:proofErr w:type="gramEnd"/>
    </w:p>
    <w:p w14:paraId="12F6A366" w14:textId="77777777" w:rsidR="000D5AB3" w:rsidRDefault="000D5AB3" w:rsidP="000D5AB3">
      <w:pPr>
        <w:numPr>
          <w:ilvl w:val="0"/>
          <w:numId w:val="28"/>
        </w:numPr>
        <w:autoSpaceDN w:val="0"/>
        <w:spacing w:line="256" w:lineRule="auto"/>
        <w:ind w:left="1560" w:right="590" w:hanging="180"/>
        <w:contextualSpacing/>
        <w:jc w:val="both"/>
        <w:rPr>
          <w:rFonts w:eastAsia="Calibri"/>
          <w:color w:val="323E4F" w:themeColor="text2" w:themeShade="BF"/>
          <w:lang w:eastAsia="en-US"/>
        </w:rPr>
      </w:pPr>
      <w:r>
        <w:rPr>
          <w:rFonts w:eastAsia="Calibri"/>
          <w:color w:val="323E4F" w:themeColor="text2" w:themeShade="BF"/>
          <w:lang w:eastAsia="en-US"/>
        </w:rPr>
        <w:t xml:space="preserve">All </w:t>
      </w:r>
      <w:proofErr w:type="gramStart"/>
      <w:r>
        <w:rPr>
          <w:rFonts w:eastAsia="Calibri"/>
          <w:color w:val="323E4F" w:themeColor="text2" w:themeShade="BF"/>
          <w:lang w:eastAsia="en-US"/>
        </w:rPr>
        <w:t>minutes</w:t>
      </w:r>
      <w:proofErr w:type="gramEnd"/>
      <w:r>
        <w:rPr>
          <w:rFonts w:eastAsia="Calibri"/>
          <w:color w:val="323E4F" w:themeColor="text2" w:themeShade="BF"/>
          <w:lang w:eastAsia="en-US"/>
        </w:rPr>
        <w:t xml:space="preserve"> emanating from the effluent discharge monitoring forum, where established</w:t>
      </w:r>
    </w:p>
    <w:p w14:paraId="1AE7449E" w14:textId="77777777" w:rsidR="000D5AB3" w:rsidRDefault="000D5AB3" w:rsidP="000D5AB3">
      <w:pPr>
        <w:numPr>
          <w:ilvl w:val="0"/>
          <w:numId w:val="28"/>
        </w:numPr>
        <w:autoSpaceDN w:val="0"/>
        <w:spacing w:line="256" w:lineRule="auto"/>
        <w:ind w:left="1560" w:right="590" w:hanging="180"/>
        <w:contextualSpacing/>
        <w:jc w:val="both"/>
        <w:rPr>
          <w:rFonts w:eastAsia="Calibri"/>
          <w:color w:val="323E4F" w:themeColor="text2" w:themeShade="BF"/>
          <w:lang w:eastAsia="en-US"/>
        </w:rPr>
      </w:pPr>
      <w:r>
        <w:rPr>
          <w:rFonts w:eastAsia="Calibri"/>
          <w:color w:val="323E4F" w:themeColor="text2" w:themeShade="BF"/>
          <w:lang w:eastAsia="en-US"/>
        </w:rPr>
        <w:t xml:space="preserve">The results / findings of the of the specific conditions contained within the </w:t>
      </w:r>
      <w:proofErr w:type="gramStart"/>
      <w:r>
        <w:rPr>
          <w:rFonts w:eastAsia="Calibri"/>
          <w:color w:val="323E4F" w:themeColor="text2" w:themeShade="BF"/>
          <w:lang w:eastAsia="en-US"/>
        </w:rPr>
        <w:t>CWDP</w:t>
      </w:r>
      <w:proofErr w:type="gramEnd"/>
    </w:p>
    <w:p w14:paraId="35401C98"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Reporting every two (2) years:</w:t>
      </w:r>
    </w:p>
    <w:p w14:paraId="7795B9B9" w14:textId="77777777" w:rsidR="000D5AB3" w:rsidRDefault="000D5AB3" w:rsidP="000D5AB3">
      <w:pPr>
        <w:numPr>
          <w:ilvl w:val="0"/>
          <w:numId w:val="30"/>
        </w:numPr>
        <w:autoSpaceDN w:val="0"/>
        <w:spacing w:after="160" w:line="256" w:lineRule="auto"/>
        <w:ind w:left="1418" w:right="590" w:hanging="90"/>
        <w:contextualSpacing/>
        <w:jc w:val="both"/>
        <w:rPr>
          <w:rFonts w:eastAsia="Calibri"/>
          <w:color w:val="323E4F" w:themeColor="text2" w:themeShade="BF"/>
          <w:lang w:eastAsia="en-US"/>
        </w:rPr>
      </w:pPr>
      <w:r>
        <w:rPr>
          <w:rFonts w:eastAsia="Calibri"/>
          <w:color w:val="323E4F" w:themeColor="text2" w:themeShade="BF"/>
          <w:lang w:eastAsia="en-US"/>
        </w:rPr>
        <w:t xml:space="preserve"> A report on the stability, mechanical </w:t>
      </w:r>
      <w:proofErr w:type="gramStart"/>
      <w:r>
        <w:rPr>
          <w:rFonts w:eastAsia="Calibri"/>
          <w:color w:val="323E4F" w:themeColor="text2" w:themeShade="BF"/>
          <w:lang w:eastAsia="en-US"/>
        </w:rPr>
        <w:t>integrity</w:t>
      </w:r>
      <w:proofErr w:type="gramEnd"/>
      <w:r>
        <w:rPr>
          <w:rFonts w:eastAsia="Calibri"/>
          <w:color w:val="323E4F" w:themeColor="text2" w:themeShade="BF"/>
          <w:lang w:eastAsia="en-US"/>
        </w:rPr>
        <w:t xml:space="preserve"> and physical operation of the pipeline; and</w:t>
      </w:r>
    </w:p>
    <w:p w14:paraId="4602EB7D" w14:textId="77777777" w:rsidR="000D5AB3" w:rsidRDefault="000D5AB3" w:rsidP="000D5AB3">
      <w:pPr>
        <w:numPr>
          <w:ilvl w:val="0"/>
          <w:numId w:val="30"/>
        </w:numPr>
        <w:autoSpaceDN w:val="0"/>
        <w:spacing w:line="256" w:lineRule="auto"/>
        <w:ind w:left="1418" w:right="590" w:hanging="90"/>
        <w:contextualSpacing/>
        <w:jc w:val="both"/>
        <w:rPr>
          <w:rFonts w:eastAsia="Calibri"/>
          <w:color w:val="323E4F" w:themeColor="text2" w:themeShade="BF"/>
          <w:lang w:eastAsia="en-US"/>
        </w:rPr>
      </w:pPr>
      <w:r>
        <w:rPr>
          <w:rFonts w:eastAsia="Calibri"/>
          <w:color w:val="323E4F" w:themeColor="text2" w:themeShade="BF"/>
          <w:lang w:eastAsia="en-US"/>
        </w:rPr>
        <w:t xml:space="preserve"> A report on the monitoring trends and incidents as well as the results of a marine impact assessment</w:t>
      </w:r>
    </w:p>
    <w:p w14:paraId="7910E8DB"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Reporting to the compliance review committee (as and when requested by the Department):</w:t>
      </w:r>
    </w:p>
    <w:p w14:paraId="18C22095" w14:textId="77777777" w:rsidR="000D5AB3" w:rsidRDefault="000D5AB3" w:rsidP="000D5AB3">
      <w:pPr>
        <w:numPr>
          <w:ilvl w:val="0"/>
          <w:numId w:val="32"/>
        </w:numPr>
        <w:autoSpaceDN w:val="0"/>
        <w:spacing w:after="160" w:line="256" w:lineRule="auto"/>
        <w:ind w:left="1418" w:right="590" w:hanging="142"/>
        <w:contextualSpacing/>
        <w:jc w:val="both"/>
        <w:rPr>
          <w:rFonts w:eastAsia="Calibri"/>
          <w:color w:val="323E4F" w:themeColor="text2" w:themeShade="BF"/>
          <w:lang w:eastAsia="en-US"/>
        </w:rPr>
      </w:pPr>
      <w:r>
        <w:rPr>
          <w:rFonts w:eastAsia="Calibri"/>
          <w:color w:val="323E4F" w:themeColor="text2" w:themeShade="BF"/>
          <w:lang w:eastAsia="en-US"/>
        </w:rPr>
        <w:t xml:space="preserve">A report detailing compliance with effluent quantity, effluent quality, monitoring and sampling analysis, including once-off dispersion </w:t>
      </w:r>
      <w:proofErr w:type="gramStart"/>
      <w:r>
        <w:rPr>
          <w:rFonts w:eastAsia="Calibri"/>
          <w:color w:val="323E4F" w:themeColor="text2" w:themeShade="BF"/>
          <w:lang w:eastAsia="en-US"/>
        </w:rPr>
        <w:t>modelling;</w:t>
      </w:r>
      <w:proofErr w:type="gramEnd"/>
    </w:p>
    <w:p w14:paraId="6A68B3E4" w14:textId="77777777" w:rsidR="000D5AB3" w:rsidRDefault="000D5AB3" w:rsidP="000D5AB3">
      <w:pPr>
        <w:numPr>
          <w:ilvl w:val="0"/>
          <w:numId w:val="32"/>
        </w:numPr>
        <w:autoSpaceDN w:val="0"/>
        <w:spacing w:line="256" w:lineRule="auto"/>
        <w:ind w:left="1418" w:right="590" w:hanging="142"/>
        <w:contextualSpacing/>
        <w:jc w:val="both"/>
        <w:rPr>
          <w:rFonts w:eastAsia="Calibri"/>
          <w:color w:val="323E4F" w:themeColor="text2" w:themeShade="BF"/>
          <w:lang w:eastAsia="en-US"/>
        </w:rPr>
      </w:pPr>
      <w:r>
        <w:rPr>
          <w:rFonts w:eastAsia="Calibri"/>
          <w:color w:val="323E4F" w:themeColor="text2" w:themeShade="BF"/>
          <w:lang w:eastAsia="en-US"/>
        </w:rPr>
        <w:t>Presentation of thresholds and breaches of constituents.</w:t>
      </w:r>
    </w:p>
    <w:p w14:paraId="4DCA21C5" w14:textId="77777777" w:rsidR="000D5AB3" w:rsidRDefault="000D5AB3" w:rsidP="000D5AB3">
      <w:pPr>
        <w:numPr>
          <w:ilvl w:val="0"/>
          <w:numId w:val="32"/>
        </w:numPr>
        <w:autoSpaceDN w:val="0"/>
        <w:spacing w:line="256" w:lineRule="auto"/>
        <w:ind w:left="1418" w:right="590" w:hanging="142"/>
        <w:contextualSpacing/>
        <w:jc w:val="both"/>
        <w:rPr>
          <w:rFonts w:eastAsia="Calibri"/>
          <w:color w:val="323E4F" w:themeColor="text2" w:themeShade="BF"/>
          <w:lang w:eastAsia="en-US"/>
        </w:rPr>
      </w:pPr>
      <w:r>
        <w:rPr>
          <w:rFonts w:eastAsia="Calibri"/>
          <w:color w:val="323E4F" w:themeColor="text2" w:themeShade="BF"/>
          <w:lang w:eastAsia="en-US"/>
        </w:rPr>
        <w:t>Calibration certificates for flow meter and recording devices; and</w:t>
      </w:r>
    </w:p>
    <w:p w14:paraId="5E7E6AA4" w14:textId="77777777" w:rsidR="000D5AB3" w:rsidRDefault="000D5AB3" w:rsidP="000D5AB3">
      <w:pPr>
        <w:numPr>
          <w:ilvl w:val="0"/>
          <w:numId w:val="32"/>
        </w:numPr>
        <w:autoSpaceDN w:val="0"/>
        <w:spacing w:line="256" w:lineRule="auto"/>
        <w:ind w:left="1418" w:right="590" w:hanging="142"/>
        <w:contextualSpacing/>
        <w:jc w:val="both"/>
        <w:rPr>
          <w:rFonts w:eastAsia="Calibri"/>
          <w:color w:val="323E4F" w:themeColor="text2" w:themeShade="BF"/>
          <w:lang w:eastAsia="en-US"/>
        </w:rPr>
      </w:pPr>
      <w:r>
        <w:rPr>
          <w:rFonts w:eastAsia="Calibri"/>
          <w:color w:val="323E4F" w:themeColor="text2" w:themeShade="BF"/>
          <w:lang w:eastAsia="en-US"/>
        </w:rPr>
        <w:t xml:space="preserve">Any investigations carried out at the compliance review and upon submission of a renewal / new </w:t>
      </w:r>
      <w:proofErr w:type="gramStart"/>
      <w:r>
        <w:rPr>
          <w:rFonts w:eastAsia="Calibri"/>
          <w:color w:val="323E4F" w:themeColor="text2" w:themeShade="BF"/>
          <w:lang w:eastAsia="en-US"/>
        </w:rPr>
        <w:t>application</w:t>
      </w:r>
      <w:proofErr w:type="gramEnd"/>
      <w:r>
        <w:rPr>
          <w:rFonts w:eastAsia="Calibri"/>
          <w:color w:val="323E4F" w:themeColor="text2" w:themeShade="BF"/>
          <w:lang w:eastAsia="en-US"/>
        </w:rPr>
        <w:t xml:space="preserve">  </w:t>
      </w:r>
    </w:p>
    <w:p w14:paraId="32CDFAE2" w14:textId="77777777" w:rsidR="000D5AB3" w:rsidRDefault="000D5AB3" w:rsidP="000D5AB3">
      <w:pPr>
        <w:pStyle w:val="ListParagraph"/>
        <w:numPr>
          <w:ilvl w:val="1"/>
          <w:numId w:val="24"/>
        </w:numPr>
        <w:tabs>
          <w:tab w:val="left" w:pos="668"/>
        </w:tabs>
        <w:spacing w:before="29"/>
        <w:ind w:left="1134" w:right="581"/>
        <w:jc w:val="both"/>
        <w:rPr>
          <w:color w:val="323E4F" w:themeColor="text2" w:themeShade="BF"/>
          <w:sz w:val="20"/>
        </w:rPr>
      </w:pPr>
      <w:r>
        <w:rPr>
          <w:color w:val="323E4F" w:themeColor="text2" w:themeShade="BF"/>
          <w:sz w:val="20"/>
        </w:rPr>
        <w:t>Bi-annual appointment of an independent external auditor is required to determine compliance with the limits and conditions set within the CWDP. The audit reports will have to be distributed electronically to appropriate stakeholders (</w:t>
      </w:r>
      <w:proofErr w:type="gramStart"/>
      <w:r>
        <w:rPr>
          <w:color w:val="323E4F" w:themeColor="text2" w:themeShade="BF"/>
          <w:sz w:val="20"/>
        </w:rPr>
        <w:t>e.g.</w:t>
      </w:r>
      <w:proofErr w:type="gramEnd"/>
      <w:r>
        <w:rPr>
          <w:color w:val="323E4F" w:themeColor="text2" w:themeShade="BF"/>
          <w:sz w:val="20"/>
        </w:rPr>
        <w:t xml:space="preserve"> DFFE, SAPPI).</w:t>
      </w:r>
    </w:p>
    <w:p w14:paraId="231E79C2" w14:textId="77777777" w:rsidR="000D5AB3" w:rsidRDefault="000D5AB3" w:rsidP="000D5AB3">
      <w:pPr>
        <w:ind w:right="590"/>
        <w:jc w:val="both"/>
        <w:rPr>
          <w:color w:val="323E4F" w:themeColor="text2" w:themeShade="BF"/>
        </w:rPr>
      </w:pPr>
    </w:p>
    <w:p w14:paraId="6331D028" w14:textId="77777777" w:rsidR="000D5AB3" w:rsidRDefault="000D5AB3" w:rsidP="000D5AB3">
      <w:pPr>
        <w:pStyle w:val="Heading2"/>
        <w:numPr>
          <w:ilvl w:val="1"/>
          <w:numId w:val="2"/>
        </w:numPr>
        <w:ind w:hanging="292"/>
        <w:rPr>
          <w:color w:val="323E4F" w:themeColor="text2" w:themeShade="BF"/>
        </w:rPr>
      </w:pPr>
      <w:bookmarkStart w:id="52" w:name="_Toc127283796"/>
      <w:r>
        <w:rPr>
          <w:color w:val="323E4F" w:themeColor="text2" w:themeShade="BF"/>
        </w:rPr>
        <w:t>Terrestrial Monitoring Programme</w:t>
      </w:r>
      <w:bookmarkEnd w:id="52"/>
    </w:p>
    <w:p w14:paraId="090B6FB8" w14:textId="77777777" w:rsidR="000D5AB3" w:rsidRDefault="000D5AB3" w:rsidP="000D5AB3">
      <w:pPr>
        <w:pStyle w:val="BodyText"/>
        <w:spacing w:before="162" w:line="268" w:lineRule="auto"/>
        <w:ind w:left="308" w:right="571"/>
        <w:jc w:val="both"/>
        <w:rPr>
          <w:color w:val="323E4F" w:themeColor="text2" w:themeShade="BF"/>
        </w:rPr>
      </w:pPr>
      <w:r>
        <w:rPr>
          <w:color w:val="323E4F" w:themeColor="text2" w:themeShade="BF"/>
        </w:rPr>
        <w:t xml:space="preserve">The below terms of reference should serve as a broad guideline to future specialists appointed during the ESIA phase and beyond, however, can be revised based on the discretion of relevant specialists appointed to be better tailored to the context encountered following on from initial field-based assessments that will inform the ESIA. </w:t>
      </w:r>
    </w:p>
    <w:p w14:paraId="16C98983" w14:textId="77777777" w:rsidR="000D5AB3" w:rsidRDefault="000D5AB3" w:rsidP="000D5AB3">
      <w:pPr>
        <w:ind w:right="590"/>
        <w:jc w:val="both"/>
        <w:rPr>
          <w:color w:val="323E4F" w:themeColor="text2" w:themeShade="BF"/>
        </w:rPr>
      </w:pPr>
    </w:p>
    <w:p w14:paraId="4CAD2BC0" w14:textId="77777777" w:rsidR="000D5AB3" w:rsidRDefault="000D5AB3" w:rsidP="000D5AB3">
      <w:pPr>
        <w:pStyle w:val="BodyText"/>
        <w:spacing w:line="268" w:lineRule="auto"/>
        <w:ind w:left="308" w:right="566"/>
        <w:jc w:val="both"/>
        <w:rPr>
          <w:color w:val="323E4F" w:themeColor="text2" w:themeShade="BF"/>
        </w:rPr>
      </w:pPr>
      <w:r>
        <w:rPr>
          <w:color w:val="323E4F" w:themeColor="text2" w:themeShade="BF"/>
        </w:rPr>
        <w:t xml:space="preserve">From a terrestrial </w:t>
      </w:r>
      <w:proofErr w:type="gramStart"/>
      <w:r>
        <w:rPr>
          <w:color w:val="323E4F" w:themeColor="text2" w:themeShade="BF"/>
        </w:rPr>
        <w:t>ecosystems</w:t>
      </w:r>
      <w:proofErr w:type="gramEnd"/>
      <w:r>
        <w:rPr>
          <w:color w:val="323E4F" w:themeColor="text2" w:themeShade="BF"/>
        </w:rPr>
        <w:t xml:space="preserve"> perspective, a suitably qualified and experienced botanist as well as </w:t>
      </w:r>
      <w:proofErr w:type="spellStart"/>
      <w:r>
        <w:rPr>
          <w:color w:val="323E4F" w:themeColor="text2" w:themeShade="BF"/>
        </w:rPr>
        <w:t>taxon</w:t>
      </w:r>
      <w:proofErr w:type="spellEnd"/>
      <w:r>
        <w:rPr>
          <w:color w:val="323E4F" w:themeColor="text2" w:themeShade="BF"/>
        </w:rPr>
        <w:t xml:space="preserve"> specific faunal specialists (professionally registered with SACNASP in ecological science) would need to be appointed to compile a vegetation monitoring plan and various faunal species monitoring plans respectively.   These plans should seek to monitor potential long-term impacts that the STP discharge has on receiving terrestrial ecosystems and floral and faunal </w:t>
      </w:r>
      <w:r>
        <w:rPr>
          <w:color w:val="323E4F" w:themeColor="text2" w:themeShade="BF"/>
        </w:rPr>
        <w:lastRenderedPageBreak/>
        <w:t>species of conservation concern (SCC) that stand to be negatively affected. The plan should form part of an auditing and compliance programme for the project using a set of agreed performance standards and conditions set out in the Environmental Authorisation (EA) and Water Use Licence (WUL) for the planned development project. Importantly the monitoring plans must report habitat and biota scenarios modelled as part of the impact assessment phase of the project. If the actual impacts observed during construction and operation do not align with what was modelled during the impact assessment phase, interventions can be actioned in line with adaptive management principles.</w:t>
      </w:r>
      <w:r>
        <w:t xml:space="preserve"> </w:t>
      </w:r>
      <w:r>
        <w:rPr>
          <w:color w:val="323E4F" w:themeColor="text2" w:themeShade="BF"/>
        </w:rPr>
        <w:t>Monitoring plans should define performance thresholds or triggers for adaptive mitigation and management so that they achieve the objectives in terms of IFC PS6.</w:t>
      </w:r>
    </w:p>
    <w:p w14:paraId="2A743154" w14:textId="77777777" w:rsidR="000D5AB3" w:rsidRDefault="000D5AB3" w:rsidP="000D5AB3">
      <w:pPr>
        <w:pStyle w:val="BodyText"/>
        <w:spacing w:before="5"/>
        <w:jc w:val="both"/>
        <w:rPr>
          <w:color w:val="323E4F" w:themeColor="text2" w:themeShade="BF"/>
          <w:sz w:val="22"/>
        </w:rPr>
      </w:pPr>
    </w:p>
    <w:p w14:paraId="46952F6B" w14:textId="77777777" w:rsidR="000D5AB3" w:rsidRDefault="000D5AB3" w:rsidP="000D5AB3">
      <w:pPr>
        <w:pStyle w:val="BodyText"/>
        <w:spacing w:line="268" w:lineRule="auto"/>
        <w:ind w:left="308" w:right="566"/>
        <w:jc w:val="both"/>
        <w:rPr>
          <w:color w:val="323E4F" w:themeColor="text2" w:themeShade="BF"/>
        </w:rPr>
      </w:pPr>
      <w:r>
        <w:rPr>
          <w:color w:val="323E4F" w:themeColor="text2" w:themeShade="BF"/>
        </w:rPr>
        <w:t>Each monitoring plan should, at a minimum, contain the following</w:t>
      </w:r>
      <w:r>
        <w:t xml:space="preserve"> </w:t>
      </w:r>
      <w:r>
        <w:rPr>
          <w:color w:val="323E4F" w:themeColor="text2" w:themeShade="BF"/>
        </w:rPr>
        <w:t xml:space="preserve">for pre-construction, </w:t>
      </w:r>
      <w:proofErr w:type="gramStart"/>
      <w:r>
        <w:rPr>
          <w:color w:val="323E4F" w:themeColor="text2" w:themeShade="BF"/>
        </w:rPr>
        <w:t>construction</w:t>
      </w:r>
      <w:proofErr w:type="gramEnd"/>
      <w:r>
        <w:rPr>
          <w:color w:val="323E4F" w:themeColor="text2" w:themeShade="BF"/>
        </w:rPr>
        <w:t xml:space="preserve"> and operational phases:</w:t>
      </w:r>
    </w:p>
    <w:p w14:paraId="6448F5C8"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Purpose of monitoring programme </w:t>
      </w:r>
    </w:p>
    <w:p w14:paraId="5E09F8A8"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Aim and Objectives of the monitoring </w:t>
      </w:r>
      <w:proofErr w:type="gramStart"/>
      <w:r w:rsidRPr="00EA6A6E">
        <w:rPr>
          <w:color w:val="323E4F" w:themeColor="text2" w:themeShade="BF"/>
          <w:sz w:val="20"/>
          <w:szCs w:val="20"/>
        </w:rPr>
        <w:t>programme</w:t>
      </w:r>
      <w:proofErr w:type="gramEnd"/>
    </w:p>
    <w:p w14:paraId="3F9540AA"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Key risk and development impacts informing the monitoring </w:t>
      </w:r>
      <w:proofErr w:type="gramStart"/>
      <w:r w:rsidRPr="00EA6A6E">
        <w:rPr>
          <w:color w:val="323E4F" w:themeColor="text2" w:themeShade="BF"/>
          <w:sz w:val="20"/>
          <w:szCs w:val="20"/>
        </w:rPr>
        <w:t>plan</w:t>
      </w:r>
      <w:proofErr w:type="gramEnd"/>
    </w:p>
    <w:p w14:paraId="5BDE885B"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Potential threats and pollution pathways to be </w:t>
      </w:r>
      <w:proofErr w:type="gramStart"/>
      <w:r w:rsidRPr="00EA6A6E">
        <w:rPr>
          <w:color w:val="323E4F" w:themeColor="text2" w:themeShade="BF"/>
          <w:sz w:val="20"/>
          <w:szCs w:val="20"/>
        </w:rPr>
        <w:t>monitored</w:t>
      </w:r>
      <w:proofErr w:type="gramEnd"/>
    </w:p>
    <w:p w14:paraId="0321F9A8"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Roles and responsibilities for monitoring</w:t>
      </w:r>
    </w:p>
    <w:p w14:paraId="49735967"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Confirmation of funding for monitoring</w:t>
      </w:r>
    </w:p>
    <w:p w14:paraId="6939A72C"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Monitoring site selection and rationale</w:t>
      </w:r>
    </w:p>
    <w:p w14:paraId="63CF4342"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Monitoring variables, </w:t>
      </w:r>
      <w:proofErr w:type="gramStart"/>
      <w:r w:rsidRPr="00EA6A6E">
        <w:rPr>
          <w:color w:val="323E4F" w:themeColor="text2" w:themeShade="BF"/>
          <w:sz w:val="20"/>
          <w:szCs w:val="20"/>
        </w:rPr>
        <w:t>methods</w:t>
      </w:r>
      <w:proofErr w:type="gramEnd"/>
      <w:r w:rsidRPr="00EA6A6E">
        <w:rPr>
          <w:color w:val="323E4F" w:themeColor="text2" w:themeShade="BF"/>
          <w:sz w:val="20"/>
          <w:szCs w:val="20"/>
        </w:rPr>
        <w:t xml:space="preserve"> and techniques</w:t>
      </w:r>
    </w:p>
    <w:p w14:paraId="215439FB"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Reporting requirements</w:t>
      </w:r>
    </w:p>
    <w:p w14:paraId="37412774"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Trend analysis of results </w:t>
      </w:r>
    </w:p>
    <w:p w14:paraId="59935BBD"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Use of monitoring results to inform impact </w:t>
      </w:r>
      <w:proofErr w:type="gramStart"/>
      <w:r w:rsidRPr="00EA6A6E">
        <w:rPr>
          <w:color w:val="323E4F" w:themeColor="text2" w:themeShade="BF"/>
          <w:sz w:val="20"/>
          <w:szCs w:val="20"/>
        </w:rPr>
        <w:t>management</w:t>
      </w:r>
      <w:proofErr w:type="gramEnd"/>
    </w:p>
    <w:p w14:paraId="05335042"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Review of the monitoring plan &amp; adaptive management cycle.</w:t>
      </w:r>
    </w:p>
    <w:p w14:paraId="1C9AAB5A" w14:textId="77777777" w:rsidR="000D5AB3" w:rsidRDefault="000D5AB3" w:rsidP="000D5AB3">
      <w:pPr>
        <w:pStyle w:val="Heading4"/>
        <w:numPr>
          <w:ilvl w:val="3"/>
          <w:numId w:val="2"/>
        </w:numPr>
        <w:ind w:left="1276" w:hanging="992"/>
        <w:rPr>
          <w:b/>
          <w:bCs w:val="0"/>
          <w:i w:val="0"/>
          <w:iCs/>
          <w:color w:val="323E4F" w:themeColor="text2" w:themeShade="BF"/>
        </w:rPr>
      </w:pPr>
      <w:bookmarkStart w:id="53" w:name="_Toc127283797"/>
      <w:r>
        <w:rPr>
          <w:b/>
          <w:bCs w:val="0"/>
          <w:i w:val="0"/>
          <w:iCs/>
          <w:color w:val="323E4F" w:themeColor="text2" w:themeShade="BF"/>
        </w:rPr>
        <w:t>Phase 1: Pre-Construction Baseline</w:t>
      </w:r>
      <w:bookmarkEnd w:id="53"/>
    </w:p>
    <w:p w14:paraId="74AC5816" w14:textId="77777777" w:rsidR="000D5AB3" w:rsidRDefault="000D5AB3" w:rsidP="000D5AB3">
      <w:pPr>
        <w:pStyle w:val="BodyText"/>
        <w:spacing w:before="162" w:line="268" w:lineRule="auto"/>
        <w:ind w:left="308" w:right="571"/>
        <w:jc w:val="both"/>
        <w:rPr>
          <w:color w:val="323E4F" w:themeColor="text2" w:themeShade="BF"/>
        </w:rPr>
      </w:pPr>
      <w:r>
        <w:rPr>
          <w:color w:val="323E4F" w:themeColor="text2" w:themeShade="BF"/>
        </w:rPr>
        <w:t>A vegetation monitoring plan and monitoring plans for faunal SCC confirmed/flagged as highly likely to occur in the study area will need to be compiled once the initial specialist assessments to inform the ESIA process have been completed and the Site Ecological Importance (SEI) of all terrestrial sensitivities have been determined. The vegetation monitoring plan must include:</w:t>
      </w:r>
    </w:p>
    <w:p w14:paraId="12BC2D45"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Fixed vegetation plots in sensitive areas likely to be affected by the proposed development. </w:t>
      </w:r>
    </w:p>
    <w:p w14:paraId="58216B7C"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Changes in plant species richness, composition/cover and diversity of these vegetation plots must be measured using an appropriate methodology by a qualified botanist and the baseline must account for seasonal variation with one summer and one winter survey of plots conducted. Fixed point photography of the plots should also be conducted as an additional rapid visual tool to document changes and any potential impacts.</w:t>
      </w:r>
    </w:p>
    <w:p w14:paraId="15254F76" w14:textId="77777777" w:rsidR="000D5AB3" w:rsidRDefault="000D5AB3" w:rsidP="000D5AB3">
      <w:pPr>
        <w:pStyle w:val="BodyText"/>
        <w:spacing w:before="162" w:line="268" w:lineRule="auto"/>
        <w:ind w:left="308" w:right="571"/>
        <w:jc w:val="both"/>
        <w:rPr>
          <w:color w:val="323E4F" w:themeColor="text2" w:themeShade="BF"/>
        </w:rPr>
      </w:pPr>
      <w:r>
        <w:rPr>
          <w:color w:val="323E4F" w:themeColor="text2" w:themeShade="BF"/>
        </w:rPr>
        <w:t xml:space="preserve">Several faunal SCC have been flagged at a desktop level as likely to occur within the study area, the list may be refined by faunal specialists appointed during the ESIA phase of the project, however in the event it is indicated that any of the SCC are likely to occur, and an appropriate monitoring plan is deemed necessary by the respective </w:t>
      </w:r>
      <w:proofErr w:type="spellStart"/>
      <w:r>
        <w:rPr>
          <w:color w:val="323E4F" w:themeColor="text2" w:themeShade="BF"/>
        </w:rPr>
        <w:t>taxon</w:t>
      </w:r>
      <w:proofErr w:type="spellEnd"/>
      <w:r>
        <w:rPr>
          <w:color w:val="323E4F" w:themeColor="text2" w:themeShade="BF"/>
        </w:rPr>
        <w:t xml:space="preserve"> specific specialist, potential monitoring plans should include: </w:t>
      </w:r>
    </w:p>
    <w:p w14:paraId="53662C6C"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A monitoring plan for avifauna (given 8 bird SCC have been flagged at the desktop level). Transect or point counts at fixed locations should be used to monitor bird species (see SANBI, (2020) </w:t>
      </w:r>
      <w:r w:rsidRPr="00EA6A6E">
        <w:rPr>
          <w:sz w:val="20"/>
          <w:szCs w:val="20"/>
        </w:rPr>
        <w:footnoteReference w:id="4"/>
      </w:r>
      <w:r w:rsidRPr="00EA6A6E">
        <w:rPr>
          <w:color w:val="323E4F" w:themeColor="text2" w:themeShade="BF"/>
          <w:sz w:val="20"/>
          <w:szCs w:val="20"/>
        </w:rPr>
        <w:t xml:space="preserve"> for further detail on the appropriate methodology) at least some of </w:t>
      </w:r>
      <w:proofErr w:type="gramStart"/>
      <w:r w:rsidRPr="00EA6A6E">
        <w:rPr>
          <w:color w:val="323E4F" w:themeColor="text2" w:themeShade="BF"/>
          <w:sz w:val="20"/>
          <w:szCs w:val="20"/>
        </w:rPr>
        <w:t>these point</w:t>
      </w:r>
      <w:proofErr w:type="gramEnd"/>
      <w:r w:rsidRPr="00EA6A6E">
        <w:rPr>
          <w:color w:val="323E4F" w:themeColor="text2" w:themeShade="BF"/>
          <w:sz w:val="20"/>
          <w:szCs w:val="20"/>
        </w:rPr>
        <w:t xml:space="preserve"> count or transect count locations should coincide with the location of the fixed vegetation plots selected. Sampling frequency of fixed sampling points by specialists should account for capturing seasonal variation with at least bi-annual sampling undertaken. </w:t>
      </w:r>
    </w:p>
    <w:p w14:paraId="11C2FAD0"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A monitoring plan for mammals should be developed (if the 3 mammal SCC flagged at the </w:t>
      </w:r>
      <w:r w:rsidRPr="00EA6A6E">
        <w:rPr>
          <w:color w:val="323E4F" w:themeColor="text2" w:themeShade="BF"/>
          <w:sz w:val="20"/>
          <w:szCs w:val="20"/>
        </w:rPr>
        <w:lastRenderedPageBreak/>
        <w:t>desktop level are likely to occur). One or a combination of the following approaches should be used by the appointed specialist to monitor mammal species: Camera trapping, spoor and scat observations, diurnal, passive acoustic surveys and nocturnal transects/meanders on foot and diurnal and nocturnal drives (SANBI, 2020).</w:t>
      </w:r>
    </w:p>
    <w:p w14:paraId="001CAD4C"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A monitoring plan for herpetofauna (given 7 reptiles and 2 amphibian species have been flagged at the desktop level). Nocturnal surveys within a fixed radius </w:t>
      </w:r>
      <w:proofErr w:type="gramStart"/>
      <w:r w:rsidRPr="00EA6A6E">
        <w:rPr>
          <w:color w:val="323E4F" w:themeColor="text2" w:themeShade="BF"/>
          <w:sz w:val="20"/>
          <w:szCs w:val="20"/>
        </w:rPr>
        <w:t>e.g.</w:t>
      </w:r>
      <w:proofErr w:type="gramEnd"/>
      <w:r w:rsidRPr="00EA6A6E">
        <w:rPr>
          <w:color w:val="323E4F" w:themeColor="text2" w:themeShade="BF"/>
          <w:sz w:val="20"/>
          <w:szCs w:val="20"/>
        </w:rPr>
        <w:t xml:space="preserve"> 50m of selected fixed sampling points for herpetofauna which involves active search methods including active acoustic surveys for frog species should be included in the monitoring plan. In addition, Passive (intercept) trapping using pitfall traps for detecting cryptic SCC that cannot easily be located through active searching should be included if deemed necessary by the appointed herpetologist (refer to SANBI (2020) for further detail). At least some of the monitoring points selected should coincide with the location of the fixed vegetation plots selected.  Sampling frequency of fixed sampling points by specialists should account for capturing seasonal variation with at least bi-annual sampling undertaken.</w:t>
      </w:r>
    </w:p>
    <w:p w14:paraId="6730E4C5"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A monitoring plan for millipedes (given 4 millipedes species have been flagged at the desktop level). Active searching methods, leaf litter and soil scraping plot surveys and/or passive pitfall trapping in selected forest habitat should be used to monitor millipede SCC flagged, the combination of methods employed will be at the discretion of the appointed specialist (refer to SANBI (2020) for further detail). If active searching is used as the primary method, active search effort should be quantified in terms of the amount of time spent searching a particular habitat area, or in units such as numbers of rocks/logs turned, or numbers of soil scrapes carried out (refer to SANBI 2020).Ideally, the location of some of the leaf litter and soil scraping plot surveys should be located adjacent to some of the fixed vegetation plots. </w:t>
      </w:r>
    </w:p>
    <w:p w14:paraId="59C54131"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A monitoring plan for molluscs (given 4 mollusc species have been flagged at the desktop level). One of the leaf litter and soil scraping plot survey methods outlined in SANBI, (2020) should be used to monitor mollusc SCC flagged along with the litter sampling method outlined for </w:t>
      </w:r>
      <w:proofErr w:type="spellStart"/>
      <w:r w:rsidRPr="00EA6A6E">
        <w:rPr>
          <w:color w:val="323E4F" w:themeColor="text2" w:themeShade="BF"/>
          <w:sz w:val="20"/>
          <w:szCs w:val="20"/>
        </w:rPr>
        <w:t>micromolluscs</w:t>
      </w:r>
      <w:proofErr w:type="spellEnd"/>
      <w:r w:rsidRPr="00EA6A6E">
        <w:rPr>
          <w:color w:val="323E4F" w:themeColor="text2" w:themeShade="BF"/>
          <w:sz w:val="20"/>
          <w:szCs w:val="20"/>
        </w:rPr>
        <w:t xml:space="preserve"> if deemed necessary by the appointed specialist. </w:t>
      </w:r>
    </w:p>
    <w:p w14:paraId="7F62E50A"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A monitoring plan for grasshoppers and katydids (given 1 of each has been flagged at the desktop level). One or a combination of the following approaches should be used by the appointed specialist to monitor grasshopper and katydid species: Active searching, sweep netting, beating and/or nocturnal auditory searches (refer to SANB (2020) for further detail). If active searching is used as the primary method, active search effort should be quantified in terms of the amount of time spent searching a particular habitat area, or in units such as numbers of rocks/logs turned, or numbers of soil scrapes carried out (refer to SANBI 2020). If beating or sweep netting are employed sampling should be standardised (</w:t>
      </w:r>
      <w:proofErr w:type="gramStart"/>
      <w:r w:rsidRPr="00EA6A6E">
        <w:rPr>
          <w:color w:val="323E4F" w:themeColor="text2" w:themeShade="BF"/>
          <w:sz w:val="20"/>
          <w:szCs w:val="20"/>
        </w:rPr>
        <w:t>e.g.</w:t>
      </w:r>
      <w:proofErr w:type="gramEnd"/>
      <w:r w:rsidRPr="00EA6A6E">
        <w:rPr>
          <w:color w:val="323E4F" w:themeColor="text2" w:themeShade="BF"/>
          <w:sz w:val="20"/>
          <w:szCs w:val="20"/>
        </w:rPr>
        <w:t xml:space="preserve"> 50 or 100 beats/sweeps per sample) and replicated to enable sampling effort to be quantified.</w:t>
      </w:r>
    </w:p>
    <w:p w14:paraId="0FF9B496" w14:textId="77777777" w:rsidR="000D5AB3" w:rsidRPr="00EA6A6E" w:rsidRDefault="000D5AB3" w:rsidP="00EA6A6E">
      <w:pPr>
        <w:pStyle w:val="ListParagraph"/>
        <w:numPr>
          <w:ilvl w:val="0"/>
          <w:numId w:val="45"/>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A monitoring plan for butterflies (given 1 has been flagged at the desktop level). One or a combination of the following approaches should be used by the appointed specialist to monitor butterfly species: Active searching, targeted netting, </w:t>
      </w:r>
      <w:proofErr w:type="gramStart"/>
      <w:r w:rsidRPr="00EA6A6E">
        <w:rPr>
          <w:color w:val="323E4F" w:themeColor="text2" w:themeShade="BF"/>
          <w:sz w:val="20"/>
          <w:szCs w:val="20"/>
        </w:rPr>
        <w:t>strip</w:t>
      </w:r>
      <w:proofErr w:type="gramEnd"/>
      <w:r w:rsidRPr="00EA6A6E">
        <w:rPr>
          <w:color w:val="323E4F" w:themeColor="text2" w:themeShade="BF"/>
          <w:sz w:val="20"/>
          <w:szCs w:val="20"/>
        </w:rPr>
        <w:t xml:space="preserve"> or point transects. If active searching is used as the primary method, active search effort should be quantified in terms of the amount of time spent searching a particular habitat area, or in units such as numbers of rocks/logs turned, or numbers of soil scrapes carried out (refer to SANBI 2020). For strip or point transects it is important to survey transects in each habitat for a predetermined </w:t>
      </w:r>
      <w:proofErr w:type="gramStart"/>
      <w:r w:rsidRPr="00EA6A6E">
        <w:rPr>
          <w:color w:val="323E4F" w:themeColor="text2" w:themeShade="BF"/>
          <w:sz w:val="20"/>
          <w:szCs w:val="20"/>
        </w:rPr>
        <w:t>time period</w:t>
      </w:r>
      <w:proofErr w:type="gramEnd"/>
      <w:r w:rsidRPr="00EA6A6E">
        <w:rPr>
          <w:color w:val="323E4F" w:themeColor="text2" w:themeShade="BF"/>
          <w:sz w:val="20"/>
          <w:szCs w:val="20"/>
        </w:rPr>
        <w:t xml:space="preserve"> to allow for comparison (refer to SANBI 2020). </w:t>
      </w:r>
    </w:p>
    <w:p w14:paraId="79918D05" w14:textId="77777777" w:rsidR="000D5AB3" w:rsidRDefault="000D5AB3" w:rsidP="000D5AB3">
      <w:pPr>
        <w:pStyle w:val="BodyText"/>
        <w:spacing w:before="162" w:line="268" w:lineRule="auto"/>
        <w:ind w:left="308" w:right="571"/>
        <w:jc w:val="both"/>
        <w:rPr>
          <w:color w:val="323E4F" w:themeColor="text2" w:themeShade="BF"/>
        </w:rPr>
      </w:pPr>
      <w:r>
        <w:rPr>
          <w:color w:val="323E4F" w:themeColor="text2" w:themeShade="BF"/>
        </w:rPr>
        <w:t xml:space="preserve">All monitoring plans developed by relevant </w:t>
      </w:r>
      <w:proofErr w:type="spellStart"/>
      <w:r>
        <w:rPr>
          <w:color w:val="323E4F" w:themeColor="text2" w:themeShade="BF"/>
        </w:rPr>
        <w:t>taxon</w:t>
      </w:r>
      <w:proofErr w:type="spellEnd"/>
      <w:r>
        <w:rPr>
          <w:color w:val="323E4F" w:themeColor="text2" w:themeShade="BF"/>
        </w:rPr>
        <w:t xml:space="preserve"> specific specialists should be designed to measure any changes in floral/faunal diversity at fixed monitoring points over time and should be cognisant of this when selecting the appropriate sampling methods for the project. </w:t>
      </w:r>
    </w:p>
    <w:p w14:paraId="5FDBF14D" w14:textId="77777777" w:rsidR="000D5AB3" w:rsidRDefault="000D5AB3" w:rsidP="000D5AB3">
      <w:pPr>
        <w:pStyle w:val="Heading4"/>
        <w:numPr>
          <w:ilvl w:val="3"/>
          <w:numId w:val="2"/>
        </w:numPr>
        <w:ind w:left="1276" w:hanging="992"/>
        <w:rPr>
          <w:b/>
          <w:bCs w:val="0"/>
          <w:i w:val="0"/>
          <w:iCs/>
          <w:color w:val="323E4F" w:themeColor="text2" w:themeShade="BF"/>
        </w:rPr>
      </w:pPr>
      <w:bookmarkStart w:id="54" w:name="_Toc127283798"/>
      <w:r>
        <w:rPr>
          <w:b/>
          <w:bCs w:val="0"/>
          <w:i w:val="0"/>
          <w:iCs/>
          <w:color w:val="323E4F" w:themeColor="text2" w:themeShade="BF"/>
        </w:rPr>
        <w:t>Phase 2: Monitoring (During Construction)</w:t>
      </w:r>
      <w:bookmarkEnd w:id="54"/>
    </w:p>
    <w:p w14:paraId="13C4F3D0" w14:textId="77777777" w:rsidR="000D5AB3" w:rsidRPr="00EA6A6E" w:rsidRDefault="000D5AB3" w:rsidP="000D5AB3">
      <w:pPr>
        <w:pStyle w:val="BodyText"/>
        <w:spacing w:before="162" w:line="268" w:lineRule="auto"/>
        <w:ind w:left="308" w:right="571"/>
        <w:jc w:val="both"/>
        <w:rPr>
          <w:color w:val="323E4F" w:themeColor="text2" w:themeShade="BF"/>
        </w:rPr>
      </w:pPr>
      <w:r w:rsidRPr="00EA6A6E">
        <w:rPr>
          <w:color w:val="323E4F" w:themeColor="text2" w:themeShade="BF"/>
        </w:rPr>
        <w:t xml:space="preserve">Monitoring during the construction phase should include any monitoring of vegetation and faunal SCC necessary based on the monitoring plans described above with any trends and changes from baseline conditions highlighted in the relevant monitoring reports along with any adaptive management recommendations that should be implemented if additional mitigation is required. </w:t>
      </w:r>
      <w:r w:rsidRPr="00EA6A6E">
        <w:rPr>
          <w:color w:val="323E4F" w:themeColor="text2" w:themeShade="BF"/>
        </w:rPr>
        <w:lastRenderedPageBreak/>
        <w:t xml:space="preserve">In addition, compliance with mitigation outlined in the </w:t>
      </w:r>
      <w:proofErr w:type="spellStart"/>
      <w:r w:rsidRPr="00EA6A6E">
        <w:rPr>
          <w:color w:val="323E4F" w:themeColor="text2" w:themeShade="BF"/>
        </w:rPr>
        <w:t>EMPr</w:t>
      </w:r>
      <w:proofErr w:type="spellEnd"/>
      <w:r w:rsidRPr="00EA6A6E">
        <w:rPr>
          <w:color w:val="323E4F" w:themeColor="text2" w:themeShade="BF"/>
        </w:rPr>
        <w:t xml:space="preserve">/SEMP for the project will also need to be monitored by a suitably qualified/trained ECO (Environmental Control Officer) with any additional supporting EO’s (Environmental Officers) having the required competency skills and experience to ensure that monitoring is undertaken effectively and appropriately. Compliance monitoring during the construction phase should include the following: </w:t>
      </w:r>
    </w:p>
    <w:p w14:paraId="05CA2811" w14:textId="77777777" w:rsidR="000D5AB3" w:rsidRPr="00EA6A6E" w:rsidRDefault="000D5AB3" w:rsidP="00EA6A6E">
      <w:pPr>
        <w:pStyle w:val="ListParagraph"/>
        <w:numPr>
          <w:ilvl w:val="0"/>
          <w:numId w:val="42"/>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A photographic record of the state of the development footprint and adjoining no-go areas prior to the commencement of clearing/construction must be kept for reference and rehabilitation monitoring purposes. </w:t>
      </w:r>
    </w:p>
    <w:p w14:paraId="376FBBD0" w14:textId="77777777" w:rsidR="000D5AB3" w:rsidRPr="00EA6A6E" w:rsidRDefault="000D5AB3" w:rsidP="00EA6A6E">
      <w:pPr>
        <w:pStyle w:val="ListParagraph"/>
        <w:numPr>
          <w:ilvl w:val="0"/>
          <w:numId w:val="42"/>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The ECO must undertake bi-monthly compliance monitoring audits. Aspects that must be monitored include:  </w:t>
      </w:r>
    </w:p>
    <w:p w14:paraId="5484F7C6" w14:textId="77777777" w:rsidR="000D5AB3" w:rsidRPr="00EA6A6E" w:rsidRDefault="000D5AB3" w:rsidP="00EA6A6E">
      <w:pPr>
        <w:pStyle w:val="ListParagraph"/>
        <w:numPr>
          <w:ilvl w:val="0"/>
          <w:numId w:val="43"/>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The condition of the demarcation fence. </w:t>
      </w:r>
    </w:p>
    <w:p w14:paraId="0C223F46" w14:textId="77777777" w:rsidR="000D5AB3" w:rsidRPr="00EA6A6E" w:rsidRDefault="000D5AB3" w:rsidP="00EA6A6E">
      <w:pPr>
        <w:pStyle w:val="ListParagraph"/>
        <w:numPr>
          <w:ilvl w:val="0"/>
          <w:numId w:val="43"/>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Evidence of any no-go area incursions. </w:t>
      </w:r>
    </w:p>
    <w:p w14:paraId="18E219D4" w14:textId="77777777" w:rsidR="000D5AB3" w:rsidRPr="00EA6A6E" w:rsidRDefault="000D5AB3" w:rsidP="00EA6A6E">
      <w:pPr>
        <w:pStyle w:val="ListParagraph"/>
        <w:numPr>
          <w:ilvl w:val="0"/>
          <w:numId w:val="43"/>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The condition of the temporary runoff, erosion and sediment control measures and evidence of any failures. </w:t>
      </w:r>
    </w:p>
    <w:p w14:paraId="350592BD" w14:textId="77777777" w:rsidR="000D5AB3" w:rsidRPr="00EA6A6E" w:rsidRDefault="000D5AB3" w:rsidP="00EA6A6E">
      <w:pPr>
        <w:pStyle w:val="ListParagraph"/>
        <w:numPr>
          <w:ilvl w:val="0"/>
          <w:numId w:val="43"/>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Evidence of sedimentary deposits / plumes and elevated rates of sedimentation (</w:t>
      </w:r>
      <w:proofErr w:type="gramStart"/>
      <w:r w:rsidRPr="00EA6A6E">
        <w:rPr>
          <w:color w:val="323E4F" w:themeColor="text2" w:themeShade="BF"/>
          <w:sz w:val="20"/>
          <w:szCs w:val="20"/>
        </w:rPr>
        <w:t>i.e.</w:t>
      </w:r>
      <w:proofErr w:type="gramEnd"/>
      <w:r w:rsidRPr="00EA6A6E">
        <w:rPr>
          <w:color w:val="323E4F" w:themeColor="text2" w:themeShade="BF"/>
          <w:sz w:val="20"/>
          <w:szCs w:val="20"/>
        </w:rPr>
        <w:t xml:space="preserve"> vegetation smothering / burial). </w:t>
      </w:r>
    </w:p>
    <w:p w14:paraId="31DB2365" w14:textId="77777777" w:rsidR="000D5AB3" w:rsidRPr="00EA6A6E" w:rsidRDefault="000D5AB3" w:rsidP="00EA6A6E">
      <w:pPr>
        <w:pStyle w:val="ListParagraph"/>
        <w:numPr>
          <w:ilvl w:val="0"/>
          <w:numId w:val="43"/>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Evidence of gully or bed/bank erosion. </w:t>
      </w:r>
    </w:p>
    <w:p w14:paraId="3EE99F26" w14:textId="77777777" w:rsidR="000D5AB3" w:rsidRPr="00EA6A6E" w:rsidRDefault="000D5AB3" w:rsidP="00EA6A6E">
      <w:pPr>
        <w:pStyle w:val="ListParagraph"/>
        <w:numPr>
          <w:ilvl w:val="0"/>
          <w:numId w:val="43"/>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The condition of waste bins and the presence of litter within the working area.</w:t>
      </w:r>
    </w:p>
    <w:p w14:paraId="238B5D42" w14:textId="77777777" w:rsidR="000D5AB3" w:rsidRPr="00EA6A6E" w:rsidRDefault="000D5AB3" w:rsidP="00EA6A6E">
      <w:pPr>
        <w:pStyle w:val="ListParagraph"/>
        <w:numPr>
          <w:ilvl w:val="0"/>
          <w:numId w:val="43"/>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Evidence of solid waste within the no-go areas. </w:t>
      </w:r>
    </w:p>
    <w:p w14:paraId="34856865" w14:textId="77777777" w:rsidR="000D5AB3" w:rsidRPr="00EA6A6E" w:rsidRDefault="000D5AB3" w:rsidP="00EA6A6E">
      <w:pPr>
        <w:pStyle w:val="ListParagraph"/>
        <w:numPr>
          <w:ilvl w:val="0"/>
          <w:numId w:val="43"/>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Evidence of hazardous materials spills and soil contamination. </w:t>
      </w:r>
    </w:p>
    <w:p w14:paraId="7D02C61A" w14:textId="77777777" w:rsidR="000D5AB3" w:rsidRPr="00EA6A6E" w:rsidRDefault="000D5AB3" w:rsidP="00EA6A6E">
      <w:pPr>
        <w:pStyle w:val="ListParagraph"/>
        <w:numPr>
          <w:ilvl w:val="0"/>
          <w:numId w:val="43"/>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Presence of alien invasive and weedy vegetation within the working area. </w:t>
      </w:r>
    </w:p>
    <w:p w14:paraId="6E76C45C" w14:textId="77777777" w:rsidR="000D5AB3" w:rsidRPr="00EA6A6E" w:rsidRDefault="000D5AB3" w:rsidP="00EA6A6E">
      <w:pPr>
        <w:pStyle w:val="ListParagraph"/>
        <w:numPr>
          <w:ilvl w:val="0"/>
          <w:numId w:val="43"/>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Rehabilitation and re-vegetation methods and success. </w:t>
      </w:r>
    </w:p>
    <w:p w14:paraId="5D57F36F" w14:textId="77777777" w:rsidR="000D5AB3" w:rsidRPr="00EA6A6E" w:rsidRDefault="000D5AB3" w:rsidP="000D5AB3">
      <w:pPr>
        <w:pStyle w:val="ListParagraph"/>
        <w:tabs>
          <w:tab w:val="left" w:pos="709"/>
        </w:tabs>
        <w:spacing w:before="29"/>
        <w:ind w:left="720" w:right="581" w:firstLine="0"/>
        <w:jc w:val="both"/>
        <w:rPr>
          <w:color w:val="323E4F" w:themeColor="text2" w:themeShade="BF"/>
          <w:sz w:val="20"/>
          <w:szCs w:val="20"/>
        </w:rPr>
      </w:pPr>
    </w:p>
    <w:p w14:paraId="1222C677" w14:textId="77777777" w:rsidR="000D5AB3" w:rsidRPr="00EA6A6E" w:rsidRDefault="000D5AB3" w:rsidP="00EA6A6E">
      <w:pPr>
        <w:pStyle w:val="ListParagraph"/>
        <w:numPr>
          <w:ilvl w:val="0"/>
          <w:numId w:val="42"/>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Once the construction and rehabilitation has been completed, the ECO should conduct a close out site audit 1 month after the completion of rehabilitation.</w:t>
      </w:r>
    </w:p>
    <w:p w14:paraId="5B246E3D" w14:textId="77777777" w:rsidR="000D5AB3" w:rsidRDefault="000D5AB3" w:rsidP="000D5AB3">
      <w:pPr>
        <w:pStyle w:val="Heading4"/>
        <w:numPr>
          <w:ilvl w:val="3"/>
          <w:numId w:val="2"/>
        </w:numPr>
        <w:ind w:left="1276" w:hanging="992"/>
        <w:rPr>
          <w:b/>
          <w:bCs w:val="0"/>
          <w:i w:val="0"/>
          <w:iCs/>
          <w:color w:val="323E4F" w:themeColor="text2" w:themeShade="BF"/>
        </w:rPr>
      </w:pPr>
      <w:bookmarkStart w:id="55" w:name="_Toc127283799"/>
      <w:r>
        <w:rPr>
          <w:b/>
          <w:bCs w:val="0"/>
          <w:i w:val="0"/>
          <w:iCs/>
          <w:color w:val="323E4F" w:themeColor="text2" w:themeShade="BF"/>
        </w:rPr>
        <w:t>Phase 3: Monitoring (During Operations)</w:t>
      </w:r>
      <w:bookmarkEnd w:id="55"/>
    </w:p>
    <w:p w14:paraId="1FA5FE0B" w14:textId="77777777" w:rsidR="000D5AB3" w:rsidRPr="00EA6A6E" w:rsidRDefault="000D5AB3" w:rsidP="000D5AB3">
      <w:pPr>
        <w:pStyle w:val="BodyText"/>
        <w:spacing w:before="162" w:line="268" w:lineRule="auto"/>
        <w:ind w:left="308" w:right="571"/>
        <w:jc w:val="both"/>
        <w:rPr>
          <w:color w:val="323E4F" w:themeColor="text2" w:themeShade="BF"/>
        </w:rPr>
      </w:pPr>
      <w:r w:rsidRPr="00EA6A6E">
        <w:rPr>
          <w:color w:val="323E4F" w:themeColor="text2" w:themeShade="BF"/>
        </w:rPr>
        <w:t xml:space="preserve">Monitoring during the operational phase should include a continuation of monitoring of vegetation and faunal SCC necessary based on the monitoring plans described above with any trends and changes from baseline conditions highlighted in the relevant monitoring reports along with any adaptive management recommendations that should be implemented if additional mitigation is required. In addition, compliance with mitigation outlined in the </w:t>
      </w:r>
      <w:proofErr w:type="spellStart"/>
      <w:r w:rsidRPr="00EA6A6E">
        <w:rPr>
          <w:color w:val="323E4F" w:themeColor="text2" w:themeShade="BF"/>
        </w:rPr>
        <w:t>EMPr</w:t>
      </w:r>
      <w:proofErr w:type="spellEnd"/>
      <w:r w:rsidRPr="00EA6A6E">
        <w:rPr>
          <w:color w:val="323E4F" w:themeColor="text2" w:themeShade="BF"/>
        </w:rPr>
        <w:t xml:space="preserve">/SEMP for the project will also need to be monitored by a suitably qualified/trained ECO (Environmental Control Officer) with any additional supporting EO’s (Environmental Officers) having the required competency skills and experience to ensure that monitoring is undertaken effectively and appropriately. Compliance monitoring during the operational phase should include the following: </w:t>
      </w:r>
    </w:p>
    <w:p w14:paraId="3E0FA458" w14:textId="77777777" w:rsidR="000D5AB3" w:rsidRPr="00EA6A6E" w:rsidRDefault="000D5AB3" w:rsidP="00EA6A6E">
      <w:pPr>
        <w:pStyle w:val="ListParagraph"/>
        <w:numPr>
          <w:ilvl w:val="0"/>
          <w:numId w:val="42"/>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Erosion and/or sedimentation issues </w:t>
      </w:r>
    </w:p>
    <w:p w14:paraId="79208E38" w14:textId="77777777" w:rsidR="000D5AB3" w:rsidRPr="00EA6A6E" w:rsidRDefault="000D5AB3" w:rsidP="00EA6A6E">
      <w:pPr>
        <w:pStyle w:val="ListParagraph"/>
        <w:numPr>
          <w:ilvl w:val="0"/>
          <w:numId w:val="42"/>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Invasive alien plant monitoring </w:t>
      </w:r>
    </w:p>
    <w:p w14:paraId="70FCFAC5" w14:textId="77777777" w:rsidR="000D5AB3" w:rsidRPr="00EA6A6E" w:rsidRDefault="000D5AB3" w:rsidP="00EA6A6E">
      <w:pPr>
        <w:pStyle w:val="ListParagraph"/>
        <w:numPr>
          <w:ilvl w:val="0"/>
          <w:numId w:val="42"/>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Evidence of solid waste within no-go areas. </w:t>
      </w:r>
    </w:p>
    <w:p w14:paraId="342D3E4B" w14:textId="77777777" w:rsidR="000D5AB3" w:rsidRPr="00EA6A6E" w:rsidRDefault="000D5AB3" w:rsidP="00EA6A6E">
      <w:pPr>
        <w:pStyle w:val="ListParagraph"/>
        <w:numPr>
          <w:ilvl w:val="0"/>
          <w:numId w:val="42"/>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Evidence of spills and soil contamination. </w:t>
      </w:r>
    </w:p>
    <w:p w14:paraId="46BB9E49" w14:textId="77777777" w:rsidR="000D5AB3" w:rsidRPr="00EA6A6E" w:rsidRDefault="000D5AB3" w:rsidP="00EA6A6E">
      <w:pPr>
        <w:pStyle w:val="ListParagraph"/>
        <w:numPr>
          <w:ilvl w:val="0"/>
          <w:numId w:val="42"/>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Evidence of any no-go area incursions and</w:t>
      </w:r>
    </w:p>
    <w:p w14:paraId="26B42499" w14:textId="77777777" w:rsidR="000D5AB3" w:rsidRPr="00EA6A6E" w:rsidRDefault="000D5AB3" w:rsidP="00EA6A6E">
      <w:pPr>
        <w:pStyle w:val="ListParagraph"/>
        <w:numPr>
          <w:ilvl w:val="0"/>
          <w:numId w:val="42"/>
        </w:numPr>
        <w:tabs>
          <w:tab w:val="left" w:pos="709"/>
        </w:tabs>
        <w:spacing w:before="29"/>
        <w:ind w:right="581"/>
        <w:jc w:val="both"/>
        <w:rPr>
          <w:color w:val="323E4F" w:themeColor="text2" w:themeShade="BF"/>
        </w:rPr>
      </w:pPr>
      <w:r w:rsidRPr="00EA6A6E">
        <w:rPr>
          <w:color w:val="323E4F" w:themeColor="text2" w:themeShade="BF"/>
          <w:sz w:val="20"/>
          <w:szCs w:val="20"/>
        </w:rPr>
        <w:t xml:space="preserve">Evidence of any accidental clearing in no-go areas during maintenance of sewage conveyance systems and STP and monitoring rehabilitation and re-vegetation methods and success if accidental clearing occurs. </w:t>
      </w:r>
    </w:p>
    <w:p w14:paraId="67ECBF65" w14:textId="77777777" w:rsidR="000D5AB3" w:rsidRDefault="000D5AB3" w:rsidP="000D5AB3">
      <w:pPr>
        <w:pStyle w:val="ListParagraph"/>
        <w:tabs>
          <w:tab w:val="left" w:pos="709"/>
        </w:tabs>
        <w:spacing w:before="29"/>
        <w:ind w:left="720" w:right="581" w:firstLine="0"/>
        <w:jc w:val="both"/>
        <w:rPr>
          <w:color w:val="323E4F" w:themeColor="text2" w:themeShade="BF"/>
          <w:sz w:val="20"/>
        </w:rPr>
      </w:pPr>
    </w:p>
    <w:p w14:paraId="00778047" w14:textId="77777777" w:rsidR="000D5AB3" w:rsidRDefault="000D5AB3" w:rsidP="000D5AB3">
      <w:pPr>
        <w:pStyle w:val="Heading3"/>
        <w:numPr>
          <w:ilvl w:val="2"/>
          <w:numId w:val="2"/>
        </w:numPr>
        <w:ind w:left="1134" w:hanging="850"/>
        <w:rPr>
          <w:i w:val="0"/>
        </w:rPr>
      </w:pPr>
      <w:bookmarkStart w:id="56" w:name="_Toc127283800"/>
      <w:r>
        <w:rPr>
          <w:i w:val="0"/>
        </w:rPr>
        <w:t>Invasive Alien Species Monitoring Programme</w:t>
      </w:r>
      <w:bookmarkEnd w:id="56"/>
    </w:p>
    <w:p w14:paraId="0380DD91" w14:textId="77777777" w:rsidR="000D5AB3" w:rsidRPr="00EA6A6E" w:rsidRDefault="000D5AB3" w:rsidP="000D5AB3">
      <w:pPr>
        <w:pStyle w:val="BodyText"/>
        <w:spacing w:before="162" w:line="268" w:lineRule="auto"/>
        <w:ind w:left="308" w:right="571"/>
        <w:jc w:val="both"/>
        <w:rPr>
          <w:color w:val="323E4F" w:themeColor="text2" w:themeShade="BF"/>
        </w:rPr>
      </w:pPr>
      <w:r w:rsidRPr="00EA6A6E">
        <w:rPr>
          <w:color w:val="323E4F" w:themeColor="text2" w:themeShade="BF"/>
        </w:rPr>
        <w:t>An Invasive Alien Species (IAP) eradication and control programme must be developed for areas disturbed during construction (terrestrial and riparian) and will need to comprise of the following three (3) phases:</w:t>
      </w:r>
    </w:p>
    <w:p w14:paraId="01C0B8E1" w14:textId="77777777" w:rsidR="000D5AB3" w:rsidRPr="00EA6A6E" w:rsidRDefault="000D5AB3" w:rsidP="000D5AB3">
      <w:pPr>
        <w:pStyle w:val="BodyText"/>
        <w:numPr>
          <w:ilvl w:val="0"/>
          <w:numId w:val="34"/>
        </w:numPr>
        <w:spacing w:before="162" w:line="268" w:lineRule="auto"/>
        <w:ind w:left="709" w:right="571"/>
        <w:jc w:val="both"/>
        <w:rPr>
          <w:color w:val="323E4F" w:themeColor="text2" w:themeShade="BF"/>
        </w:rPr>
      </w:pPr>
      <w:r w:rsidRPr="00EA6A6E">
        <w:rPr>
          <w:i/>
          <w:iCs/>
          <w:color w:val="323E4F" w:themeColor="text2" w:themeShade="BF"/>
        </w:rPr>
        <w:lastRenderedPageBreak/>
        <w:t>Initial control phase</w:t>
      </w:r>
      <w:r w:rsidRPr="00EA6A6E">
        <w:rPr>
          <w:color w:val="323E4F" w:themeColor="text2" w:themeShade="BF"/>
        </w:rPr>
        <w:t>: This involves the initial, intensive clearing and drastic reduction of existing alien plant infestations at the site. Must be undertaken during the construction period.</w:t>
      </w:r>
    </w:p>
    <w:p w14:paraId="59814D5C" w14:textId="77777777" w:rsidR="000D5AB3" w:rsidRPr="00EA6A6E" w:rsidRDefault="000D5AB3" w:rsidP="000D5AB3">
      <w:pPr>
        <w:pStyle w:val="BodyText"/>
        <w:numPr>
          <w:ilvl w:val="0"/>
          <w:numId w:val="34"/>
        </w:numPr>
        <w:spacing w:before="162" w:line="268" w:lineRule="auto"/>
        <w:ind w:left="709" w:right="571"/>
        <w:jc w:val="both"/>
        <w:rPr>
          <w:color w:val="323E4F" w:themeColor="text2" w:themeShade="BF"/>
        </w:rPr>
      </w:pPr>
      <w:r w:rsidRPr="00EA6A6E">
        <w:rPr>
          <w:i/>
          <w:iCs/>
          <w:color w:val="323E4F" w:themeColor="text2" w:themeShade="BF"/>
        </w:rPr>
        <w:t>Follow-up control phase</w:t>
      </w:r>
      <w:r w:rsidRPr="00EA6A6E">
        <w:rPr>
          <w:color w:val="323E4F" w:themeColor="text2" w:themeShade="BF"/>
        </w:rPr>
        <w:t>: The follow-up phase involves the control of seedlings, root suckers and coppice growth after the initial control phase to control re-growth of alien seed. Must be undertaken during the construction phase through to the rehabilitation phase.</w:t>
      </w:r>
    </w:p>
    <w:p w14:paraId="5081B723" w14:textId="77777777" w:rsidR="000D5AB3" w:rsidRPr="00EA6A6E" w:rsidRDefault="000D5AB3" w:rsidP="000D5AB3">
      <w:pPr>
        <w:pStyle w:val="BodyText"/>
        <w:numPr>
          <w:ilvl w:val="0"/>
          <w:numId w:val="34"/>
        </w:numPr>
        <w:spacing w:before="162" w:line="268" w:lineRule="auto"/>
        <w:ind w:left="709" w:right="571"/>
        <w:jc w:val="both"/>
        <w:rPr>
          <w:color w:val="323E4F" w:themeColor="text2" w:themeShade="BF"/>
        </w:rPr>
      </w:pPr>
      <w:r w:rsidRPr="00EA6A6E">
        <w:rPr>
          <w:i/>
          <w:iCs/>
          <w:color w:val="323E4F" w:themeColor="text2" w:themeShade="BF"/>
        </w:rPr>
        <w:t>Maintenance control phase</w:t>
      </w:r>
      <w:r w:rsidRPr="00EA6A6E">
        <w:rPr>
          <w:color w:val="323E4F" w:themeColor="text2" w:themeShade="BF"/>
        </w:rPr>
        <w:t xml:space="preserve">: This final phase involves a programmed control of alien plants to sustain or maintain low alien plant numbers by suppressing regeneration. Depending on the success of the initial phases this maintenance phase may be carried out at intervals ranging from quarterly clean ups to once-a-year clean-ups. Must be undertaken during the operational phase of the proposed development. </w:t>
      </w:r>
    </w:p>
    <w:p w14:paraId="1B5BAAA2" w14:textId="77777777" w:rsidR="000D5AB3" w:rsidRPr="00EA6A6E" w:rsidRDefault="000D5AB3" w:rsidP="000D5AB3">
      <w:pPr>
        <w:pStyle w:val="BodyText"/>
        <w:spacing w:before="162" w:line="268" w:lineRule="auto"/>
        <w:ind w:left="308" w:right="571"/>
        <w:jc w:val="both"/>
        <w:rPr>
          <w:color w:val="323E4F" w:themeColor="text2" w:themeShade="BF"/>
        </w:rPr>
      </w:pPr>
      <w:r w:rsidRPr="00EA6A6E">
        <w:rPr>
          <w:color w:val="323E4F" w:themeColor="text2" w:themeShade="BF"/>
        </w:rPr>
        <w:t xml:space="preserve">A Method Statement for IAP </w:t>
      </w:r>
      <w:proofErr w:type="gramStart"/>
      <w:r w:rsidRPr="00EA6A6E">
        <w:rPr>
          <w:color w:val="323E4F" w:themeColor="text2" w:themeShade="BF"/>
        </w:rPr>
        <w:t>clearing</w:t>
      </w:r>
      <w:proofErr w:type="gramEnd"/>
      <w:r w:rsidRPr="00EA6A6E">
        <w:rPr>
          <w:color w:val="323E4F" w:themeColor="text2" w:themeShade="BF"/>
        </w:rPr>
        <w:t xml:space="preserve"> and control must be compiled and detail the requirements and strategy for IAP eradication and control within disturbed terrestrial areas of the site. </w:t>
      </w:r>
    </w:p>
    <w:p w14:paraId="26ADD86D" w14:textId="77777777" w:rsidR="000D5AB3" w:rsidRPr="00EA6A6E" w:rsidRDefault="000D5AB3" w:rsidP="000D5AB3">
      <w:pPr>
        <w:pStyle w:val="BodyText"/>
        <w:spacing w:before="162" w:line="268" w:lineRule="auto"/>
        <w:ind w:left="308" w:right="571"/>
        <w:jc w:val="both"/>
        <w:rPr>
          <w:color w:val="323E4F" w:themeColor="text2" w:themeShade="BF"/>
        </w:rPr>
      </w:pPr>
      <w:r w:rsidRPr="00EA6A6E">
        <w:rPr>
          <w:color w:val="323E4F" w:themeColor="text2" w:themeShade="BF"/>
        </w:rPr>
        <w:t>A monitoring, maintenance and follow-up control programme will need to be prepared detailed methods and frequency for IAP monitoring and control.</w:t>
      </w:r>
    </w:p>
    <w:p w14:paraId="7654A3B0" w14:textId="77777777" w:rsidR="000D5AB3" w:rsidRDefault="000D5AB3" w:rsidP="000D5AB3">
      <w:pPr>
        <w:pStyle w:val="BodyText"/>
        <w:spacing w:before="162" w:line="268" w:lineRule="auto"/>
        <w:ind w:right="571"/>
        <w:jc w:val="both"/>
        <w:rPr>
          <w:color w:val="323E4F" w:themeColor="text2" w:themeShade="BF"/>
        </w:rPr>
      </w:pPr>
    </w:p>
    <w:p w14:paraId="28188BD4" w14:textId="77777777" w:rsidR="000D5AB3" w:rsidRDefault="000D5AB3" w:rsidP="000D5AB3">
      <w:pPr>
        <w:pStyle w:val="Heading3"/>
        <w:numPr>
          <w:ilvl w:val="2"/>
          <w:numId w:val="2"/>
        </w:numPr>
        <w:ind w:left="1134" w:hanging="850"/>
        <w:rPr>
          <w:i w:val="0"/>
        </w:rPr>
      </w:pPr>
      <w:bookmarkStart w:id="57" w:name="_Toc127283801"/>
      <w:r>
        <w:rPr>
          <w:i w:val="0"/>
        </w:rPr>
        <w:t>Rehabilitation and Revegetation Programme</w:t>
      </w:r>
      <w:bookmarkEnd w:id="57"/>
    </w:p>
    <w:p w14:paraId="50B90547" w14:textId="77777777" w:rsidR="000D5AB3" w:rsidRDefault="000D5AB3" w:rsidP="000D5AB3">
      <w:pPr>
        <w:pStyle w:val="BodyText"/>
        <w:spacing w:before="162" w:line="268" w:lineRule="auto"/>
        <w:ind w:left="308" w:right="571"/>
        <w:jc w:val="both"/>
        <w:rPr>
          <w:color w:val="323E4F" w:themeColor="text2" w:themeShade="BF"/>
        </w:rPr>
      </w:pPr>
      <w:r>
        <w:rPr>
          <w:color w:val="323E4F" w:themeColor="text2" w:themeShade="BF"/>
        </w:rPr>
        <w:t xml:space="preserve">A programme for monitoring any rehabilitation and revegetation initiatives must be prepared. Such a programme must detail the frequency, </w:t>
      </w:r>
      <w:proofErr w:type="gramStart"/>
      <w:r>
        <w:rPr>
          <w:color w:val="323E4F" w:themeColor="text2" w:themeShade="BF"/>
        </w:rPr>
        <w:t>type</w:t>
      </w:r>
      <w:proofErr w:type="gramEnd"/>
      <w:r>
        <w:rPr>
          <w:color w:val="323E4F" w:themeColor="text2" w:themeShade="BF"/>
        </w:rPr>
        <w:t xml:space="preserve"> and location of monitoring requirements.</w:t>
      </w:r>
    </w:p>
    <w:p w14:paraId="650C56A6" w14:textId="77777777" w:rsidR="000D5AB3" w:rsidRDefault="000D5AB3" w:rsidP="000D5AB3">
      <w:pPr>
        <w:pStyle w:val="BodyText"/>
        <w:spacing w:before="162" w:line="268" w:lineRule="auto"/>
        <w:ind w:left="308" w:right="571"/>
        <w:jc w:val="both"/>
        <w:rPr>
          <w:color w:val="323E4F" w:themeColor="text2" w:themeShade="BF"/>
        </w:rPr>
      </w:pPr>
      <w:r>
        <w:rPr>
          <w:color w:val="323E4F" w:themeColor="text2" w:themeShade="BF"/>
        </w:rPr>
        <w:t>A detailed rehabilitation plan must be compiled that addresses the following issues:</w:t>
      </w:r>
    </w:p>
    <w:p w14:paraId="256500B0" w14:textId="77777777" w:rsidR="000D5AB3" w:rsidRPr="00EA6A6E" w:rsidRDefault="000D5AB3" w:rsidP="00EA6A6E">
      <w:pPr>
        <w:pStyle w:val="ListParagraph"/>
        <w:numPr>
          <w:ilvl w:val="0"/>
          <w:numId w:val="44"/>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Identification and estimation of the location and extent of areas requiring </w:t>
      </w:r>
      <w:proofErr w:type="gramStart"/>
      <w:r w:rsidRPr="00EA6A6E">
        <w:rPr>
          <w:color w:val="323E4F" w:themeColor="text2" w:themeShade="BF"/>
          <w:sz w:val="20"/>
          <w:szCs w:val="20"/>
        </w:rPr>
        <w:t>revegetation;</w:t>
      </w:r>
      <w:proofErr w:type="gramEnd"/>
    </w:p>
    <w:p w14:paraId="2ED8265F" w14:textId="77777777" w:rsidR="000D5AB3" w:rsidRPr="00EA6A6E" w:rsidRDefault="000D5AB3" w:rsidP="00EA6A6E">
      <w:pPr>
        <w:pStyle w:val="ListParagraph"/>
        <w:numPr>
          <w:ilvl w:val="0"/>
          <w:numId w:val="44"/>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Development of a detailed planting strategy and planting method (with spacing and densities) that is specific to different vegetation communities and sub-</w:t>
      </w:r>
      <w:proofErr w:type="gramStart"/>
      <w:r w:rsidRPr="00EA6A6E">
        <w:rPr>
          <w:color w:val="323E4F" w:themeColor="text2" w:themeShade="BF"/>
          <w:sz w:val="20"/>
          <w:szCs w:val="20"/>
        </w:rPr>
        <w:t>communities;</w:t>
      </w:r>
      <w:proofErr w:type="gramEnd"/>
    </w:p>
    <w:p w14:paraId="3544DA76" w14:textId="77777777" w:rsidR="000D5AB3" w:rsidRPr="00EA6A6E" w:rsidRDefault="000D5AB3" w:rsidP="00EA6A6E">
      <w:pPr>
        <w:pStyle w:val="ListParagraph"/>
        <w:numPr>
          <w:ilvl w:val="0"/>
          <w:numId w:val="44"/>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 xml:space="preserve">Review and finalisation of methods and equipment for IAP </w:t>
      </w:r>
      <w:proofErr w:type="gramStart"/>
      <w:r w:rsidRPr="00EA6A6E">
        <w:rPr>
          <w:color w:val="323E4F" w:themeColor="text2" w:themeShade="BF"/>
          <w:sz w:val="20"/>
          <w:szCs w:val="20"/>
        </w:rPr>
        <w:t>clearing;</w:t>
      </w:r>
      <w:proofErr w:type="gramEnd"/>
    </w:p>
    <w:p w14:paraId="2D7DB371" w14:textId="77777777" w:rsidR="000D5AB3" w:rsidRPr="00EA6A6E" w:rsidRDefault="000D5AB3" w:rsidP="00EA6A6E">
      <w:pPr>
        <w:pStyle w:val="ListParagraph"/>
        <w:numPr>
          <w:ilvl w:val="0"/>
          <w:numId w:val="44"/>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Review and finalisation of slope/soil stabilisation measures and resources based on slope and soil types; and</w:t>
      </w:r>
    </w:p>
    <w:p w14:paraId="4A59AFF8" w14:textId="77777777" w:rsidR="000D5AB3" w:rsidRPr="00EA6A6E" w:rsidRDefault="000D5AB3" w:rsidP="00EA6A6E">
      <w:pPr>
        <w:pStyle w:val="ListParagraph"/>
        <w:numPr>
          <w:ilvl w:val="0"/>
          <w:numId w:val="44"/>
        </w:numPr>
        <w:tabs>
          <w:tab w:val="left" w:pos="709"/>
        </w:tabs>
        <w:spacing w:before="29"/>
        <w:ind w:right="581"/>
        <w:jc w:val="both"/>
        <w:rPr>
          <w:color w:val="323E4F" w:themeColor="text2" w:themeShade="BF"/>
          <w:sz w:val="20"/>
          <w:szCs w:val="20"/>
        </w:rPr>
      </w:pPr>
      <w:r w:rsidRPr="00EA6A6E">
        <w:rPr>
          <w:color w:val="323E4F" w:themeColor="text2" w:themeShade="BF"/>
          <w:sz w:val="20"/>
          <w:szCs w:val="20"/>
        </w:rPr>
        <w:t>Bill of quantities and costs for all interventions (including re-vegetation).</w:t>
      </w:r>
    </w:p>
    <w:p w14:paraId="1DC0F184" w14:textId="0046F4C1" w:rsidR="00FD666A" w:rsidRPr="00DC2ECE" w:rsidRDefault="00FD666A" w:rsidP="00EE2172">
      <w:pPr>
        <w:rPr>
          <w:lang w:val="en-US"/>
        </w:rPr>
      </w:pPr>
    </w:p>
    <w:sectPr w:rsidR="00FD666A" w:rsidRPr="00DC2EC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A3913" w14:textId="77777777" w:rsidR="00FB3743" w:rsidRDefault="00FB3743" w:rsidP="000D5AB3">
      <w:pPr>
        <w:spacing w:line="240" w:lineRule="auto"/>
      </w:pPr>
      <w:r>
        <w:separator/>
      </w:r>
    </w:p>
  </w:endnote>
  <w:endnote w:type="continuationSeparator" w:id="0">
    <w:p w14:paraId="6E67FB50" w14:textId="77777777" w:rsidR="00FB3743" w:rsidRDefault="00FB3743" w:rsidP="000D5A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0CAC0" w14:textId="77777777" w:rsidR="00F94828" w:rsidRDefault="00F948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9418295"/>
      <w:docPartObj>
        <w:docPartGallery w:val="Page Numbers (Bottom of Page)"/>
        <w:docPartUnique/>
      </w:docPartObj>
    </w:sdtPr>
    <w:sdtEndPr>
      <w:rPr>
        <w:color w:val="7F7F7F" w:themeColor="background1" w:themeShade="7F"/>
        <w:spacing w:val="60"/>
      </w:rPr>
    </w:sdtEndPr>
    <w:sdtContent>
      <w:p w14:paraId="626E6B5E" w14:textId="0C7E3FCA" w:rsidR="00DC2ECE" w:rsidRDefault="00DC2EC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8DE8053" w14:textId="77777777" w:rsidR="00DC2ECE" w:rsidRDefault="00DC2E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B1A48" w14:textId="77777777" w:rsidR="00F94828" w:rsidRDefault="00F94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CDCE3" w14:textId="77777777" w:rsidR="00FB3743" w:rsidRDefault="00FB3743" w:rsidP="000D5AB3">
      <w:pPr>
        <w:spacing w:line="240" w:lineRule="auto"/>
      </w:pPr>
      <w:r>
        <w:separator/>
      </w:r>
    </w:p>
  </w:footnote>
  <w:footnote w:type="continuationSeparator" w:id="0">
    <w:p w14:paraId="3B47D374" w14:textId="77777777" w:rsidR="00FB3743" w:rsidRDefault="00FB3743" w:rsidP="000D5AB3">
      <w:pPr>
        <w:spacing w:line="240" w:lineRule="auto"/>
      </w:pPr>
      <w:r>
        <w:continuationSeparator/>
      </w:r>
    </w:p>
  </w:footnote>
  <w:footnote w:id="1">
    <w:p w14:paraId="2AF0A074" w14:textId="77777777" w:rsidR="00EA6A6E" w:rsidRPr="00EA6A6E" w:rsidRDefault="00EA6A6E" w:rsidP="00EA6A6E">
      <w:pPr>
        <w:pStyle w:val="BodyText"/>
      </w:pPr>
      <w:r w:rsidRPr="00EA6A6E">
        <w:rPr>
          <w:rStyle w:val="FootnoteReference"/>
        </w:rPr>
        <w:footnoteRef/>
      </w:r>
      <w:r w:rsidRPr="00EA6A6E">
        <w:t xml:space="preserve"> </w:t>
      </w:r>
      <w:r w:rsidRPr="00EA6A6E">
        <w:rPr>
          <w:i/>
          <w:iCs/>
          <w:sz w:val="16"/>
          <w:szCs w:val="16"/>
        </w:rPr>
        <w:t>It must be noted that since the undertaking of the ESSS, the Magabeni STP and associated Sewage Conveyance System which includes infrastructure such as pumpstations has been removed from the Scope of Work as provided for in the Technical Specification which was updated during 2022.</w:t>
      </w:r>
    </w:p>
    <w:p w14:paraId="6C485BAD" w14:textId="77777777" w:rsidR="00EA6A6E" w:rsidRPr="00EA6A6E" w:rsidRDefault="00EA6A6E" w:rsidP="00EA6A6E">
      <w:pPr>
        <w:pStyle w:val="FootnoteText"/>
      </w:pPr>
    </w:p>
  </w:footnote>
  <w:footnote w:id="2">
    <w:p w14:paraId="4BBA324D" w14:textId="77777777" w:rsidR="000D5AB3" w:rsidRPr="00EA6A6E" w:rsidRDefault="000D5AB3" w:rsidP="000D5AB3">
      <w:pPr>
        <w:pStyle w:val="FootnoteText"/>
        <w:rPr>
          <w:rFonts w:ascii="Century Gothic" w:hAnsi="Century Gothic"/>
          <w:sz w:val="16"/>
          <w:szCs w:val="16"/>
          <w:lang w:val="en-US"/>
        </w:rPr>
      </w:pPr>
      <w:r w:rsidRPr="00EA6A6E">
        <w:rPr>
          <w:rStyle w:val="FootnoteReference"/>
          <w:rFonts w:ascii="Century Gothic" w:hAnsi="Century Gothic"/>
          <w:sz w:val="16"/>
          <w:szCs w:val="16"/>
        </w:rPr>
        <w:footnoteRef/>
      </w:r>
      <w:r w:rsidRPr="00EA6A6E">
        <w:rPr>
          <w:rFonts w:ascii="Century Gothic" w:hAnsi="Century Gothic"/>
          <w:sz w:val="16"/>
          <w:szCs w:val="16"/>
        </w:rPr>
        <w:t xml:space="preserve"> </w:t>
      </w:r>
      <w:r w:rsidRPr="00EA6A6E">
        <w:rPr>
          <w:rFonts w:ascii="Century Gothic" w:hAnsi="Century Gothic"/>
          <w:sz w:val="16"/>
          <w:szCs w:val="16"/>
          <w:lang w:val="en-US"/>
        </w:rPr>
        <w:t>Recommended Ecological Category</w:t>
      </w:r>
    </w:p>
  </w:footnote>
  <w:footnote w:id="3">
    <w:p w14:paraId="41289468" w14:textId="77777777" w:rsidR="000D5AB3" w:rsidRPr="00EA6A6E" w:rsidRDefault="000D5AB3" w:rsidP="000D5AB3">
      <w:pPr>
        <w:pStyle w:val="FootnoteText"/>
        <w:rPr>
          <w:rFonts w:ascii="Century Gothic" w:hAnsi="Century Gothic"/>
          <w:sz w:val="16"/>
          <w:szCs w:val="16"/>
          <w:lang w:val="en-US"/>
        </w:rPr>
      </w:pPr>
      <w:r w:rsidRPr="00EA6A6E">
        <w:rPr>
          <w:rStyle w:val="FootnoteReference"/>
          <w:rFonts w:ascii="Century Gothic" w:hAnsi="Century Gothic"/>
          <w:sz w:val="16"/>
          <w:szCs w:val="16"/>
        </w:rPr>
        <w:footnoteRef/>
      </w:r>
      <w:r w:rsidRPr="00EA6A6E">
        <w:rPr>
          <w:rFonts w:ascii="Century Gothic" w:hAnsi="Century Gothic"/>
          <w:sz w:val="16"/>
          <w:szCs w:val="16"/>
        </w:rPr>
        <w:t xml:space="preserve"> </w:t>
      </w:r>
      <w:r w:rsidRPr="00EA6A6E">
        <w:rPr>
          <w:rFonts w:ascii="Century Gothic" w:hAnsi="Century Gothic"/>
          <w:sz w:val="16"/>
          <w:szCs w:val="16"/>
          <w:lang w:val="en-US"/>
        </w:rPr>
        <w:t>Alternative Ecological Category (scenario based)</w:t>
      </w:r>
    </w:p>
  </w:footnote>
  <w:footnote w:id="4">
    <w:p w14:paraId="4CD22ADA" w14:textId="77777777" w:rsidR="000D5AB3" w:rsidRPr="00EA6A6E" w:rsidRDefault="000D5AB3" w:rsidP="000D5AB3">
      <w:pPr>
        <w:pStyle w:val="FootnoteText"/>
      </w:pPr>
      <w:r w:rsidRPr="00EA6A6E">
        <w:rPr>
          <w:rStyle w:val="FootnoteReference"/>
          <w:sz w:val="16"/>
        </w:rPr>
        <w:footnoteRef/>
      </w:r>
      <w:r w:rsidRPr="00EA6A6E">
        <w:rPr>
          <w:sz w:val="16"/>
        </w:rPr>
        <w:t xml:space="preserve"> Refer to the Species Environmental Assessment Guideline. Guidelines for the implementation of the Terrestrial Fauna and Terrestrial Flora Species Protocols for environmental impact assessments in South Africa (SANBI 2020) for further detail.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B1E3C" w14:textId="77777777" w:rsidR="00F94828" w:rsidRDefault="00F948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15F13" w14:textId="6963CE09" w:rsidR="00DC2ECE" w:rsidRPr="00FD274A" w:rsidRDefault="00FD274A" w:rsidP="00FD274A">
    <w:pPr>
      <w:pStyle w:val="Header"/>
      <w:pBdr>
        <w:bottom w:val="single" w:sz="4" w:space="1" w:color="BFBFBF" w:themeColor="background1" w:themeShade="BF"/>
      </w:pBdr>
      <w:jc w:val="right"/>
      <w:rPr>
        <w:color w:val="BFBFBF" w:themeColor="background1" w:themeShade="BF"/>
        <w:sz w:val="18"/>
        <w:szCs w:val="18"/>
      </w:rPr>
    </w:pPr>
    <w:r w:rsidRPr="00FD274A">
      <w:rPr>
        <w:color w:val="BFBFBF" w:themeColor="background1" w:themeShade="BF"/>
        <w:sz w:val="18"/>
        <w:szCs w:val="18"/>
      </w:rPr>
      <w:t xml:space="preserve">Umkomaas - </w:t>
    </w:r>
    <w:proofErr w:type="spellStart"/>
    <w:r w:rsidRPr="00FD274A">
      <w:rPr>
        <w:color w:val="BFBFBF" w:themeColor="background1" w:themeShade="BF"/>
        <w:sz w:val="18"/>
        <w:szCs w:val="18"/>
      </w:rPr>
      <w:t>ToRs</w:t>
    </w:r>
    <w:proofErr w:type="spellEnd"/>
    <w:r w:rsidRPr="00FD274A">
      <w:rPr>
        <w:color w:val="BFBFBF" w:themeColor="background1" w:themeShade="BF"/>
        <w:sz w:val="18"/>
        <w:szCs w:val="18"/>
      </w:rPr>
      <w:t xml:space="preserve"> for Environmental Monitoring Programme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24EF4" w14:textId="77777777" w:rsidR="00F94828" w:rsidRDefault="00F948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1925"/>
    <w:multiLevelType w:val="hybridMultilevel"/>
    <w:tmpl w:val="8F205D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4E350B"/>
    <w:multiLevelType w:val="hybridMultilevel"/>
    <w:tmpl w:val="34228390"/>
    <w:lvl w:ilvl="0" w:tplc="CCE2A9C6">
      <w:start w:val="1"/>
      <w:numFmt w:val="lowerRoman"/>
      <w:lvlText w:val="%1)"/>
      <w:lvlJc w:val="left"/>
      <w:pPr>
        <w:ind w:left="1028" w:hanging="360"/>
      </w:pPr>
    </w:lvl>
    <w:lvl w:ilvl="1" w:tplc="1C090019">
      <w:start w:val="1"/>
      <w:numFmt w:val="lowerLetter"/>
      <w:lvlText w:val="%2."/>
      <w:lvlJc w:val="left"/>
      <w:pPr>
        <w:ind w:left="1748" w:hanging="360"/>
      </w:pPr>
    </w:lvl>
    <w:lvl w:ilvl="2" w:tplc="1C09001B">
      <w:start w:val="1"/>
      <w:numFmt w:val="lowerRoman"/>
      <w:lvlText w:val="%3."/>
      <w:lvlJc w:val="right"/>
      <w:pPr>
        <w:ind w:left="2468" w:hanging="180"/>
      </w:pPr>
    </w:lvl>
    <w:lvl w:ilvl="3" w:tplc="1C09000F">
      <w:start w:val="1"/>
      <w:numFmt w:val="decimal"/>
      <w:lvlText w:val="%4."/>
      <w:lvlJc w:val="left"/>
      <w:pPr>
        <w:ind w:left="3188" w:hanging="360"/>
      </w:pPr>
    </w:lvl>
    <w:lvl w:ilvl="4" w:tplc="1C090019">
      <w:start w:val="1"/>
      <w:numFmt w:val="lowerLetter"/>
      <w:lvlText w:val="%5."/>
      <w:lvlJc w:val="left"/>
      <w:pPr>
        <w:ind w:left="3908" w:hanging="360"/>
      </w:pPr>
    </w:lvl>
    <w:lvl w:ilvl="5" w:tplc="1C09001B">
      <w:start w:val="1"/>
      <w:numFmt w:val="lowerRoman"/>
      <w:lvlText w:val="%6."/>
      <w:lvlJc w:val="right"/>
      <w:pPr>
        <w:ind w:left="4628" w:hanging="180"/>
      </w:pPr>
    </w:lvl>
    <w:lvl w:ilvl="6" w:tplc="1C09000F">
      <w:start w:val="1"/>
      <w:numFmt w:val="decimal"/>
      <w:lvlText w:val="%7."/>
      <w:lvlJc w:val="left"/>
      <w:pPr>
        <w:ind w:left="5348" w:hanging="360"/>
      </w:pPr>
    </w:lvl>
    <w:lvl w:ilvl="7" w:tplc="1C090019">
      <w:start w:val="1"/>
      <w:numFmt w:val="lowerLetter"/>
      <w:lvlText w:val="%8."/>
      <w:lvlJc w:val="left"/>
      <w:pPr>
        <w:ind w:left="6068" w:hanging="360"/>
      </w:pPr>
    </w:lvl>
    <w:lvl w:ilvl="8" w:tplc="1C09001B">
      <w:start w:val="1"/>
      <w:numFmt w:val="lowerRoman"/>
      <w:lvlText w:val="%9."/>
      <w:lvlJc w:val="right"/>
      <w:pPr>
        <w:ind w:left="6788" w:hanging="180"/>
      </w:pPr>
    </w:lvl>
  </w:abstractNum>
  <w:abstractNum w:abstractNumId="2" w15:restartNumberingAfterBreak="0">
    <w:nsid w:val="0257721A"/>
    <w:multiLevelType w:val="hybridMultilevel"/>
    <w:tmpl w:val="381E2A06"/>
    <w:lvl w:ilvl="0" w:tplc="1C09001B">
      <w:start w:val="1"/>
      <w:numFmt w:val="lowerRoman"/>
      <w:lvlText w:val="%1."/>
      <w:lvlJc w:val="right"/>
      <w:pPr>
        <w:ind w:left="1080" w:hanging="360"/>
      </w:p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3" w15:restartNumberingAfterBreak="0">
    <w:nsid w:val="05A12E41"/>
    <w:multiLevelType w:val="hybridMultilevel"/>
    <w:tmpl w:val="520861EE"/>
    <w:lvl w:ilvl="0" w:tplc="6024B792">
      <w:numFmt w:val="bullet"/>
      <w:lvlText w:val=""/>
      <w:lvlJc w:val="left"/>
      <w:pPr>
        <w:ind w:left="719" w:hanging="360"/>
      </w:pPr>
      <w:rPr>
        <w:rFonts w:ascii="Wingdings" w:eastAsia="Wingdings" w:hAnsi="Wingdings" w:cs="Wingdings" w:hint="default"/>
        <w:color w:val="00567D"/>
        <w:w w:val="100"/>
        <w:sz w:val="18"/>
        <w:szCs w:val="18"/>
        <w:lang w:val="en-ZA" w:eastAsia="en-ZA" w:bidi="en-ZA"/>
      </w:rPr>
    </w:lvl>
    <w:lvl w:ilvl="1" w:tplc="DACC831C">
      <w:numFmt w:val="bullet"/>
      <w:lvlText w:val="•"/>
      <w:lvlJc w:val="left"/>
      <w:pPr>
        <w:ind w:left="1347" w:hanging="360"/>
      </w:pPr>
      <w:rPr>
        <w:lang w:val="en-ZA" w:eastAsia="en-ZA" w:bidi="en-ZA"/>
      </w:rPr>
    </w:lvl>
    <w:lvl w:ilvl="2" w:tplc="57A23F0A">
      <w:numFmt w:val="bullet"/>
      <w:lvlText w:val="•"/>
      <w:lvlJc w:val="left"/>
      <w:pPr>
        <w:ind w:left="1975" w:hanging="360"/>
      </w:pPr>
      <w:rPr>
        <w:lang w:val="en-ZA" w:eastAsia="en-ZA" w:bidi="en-ZA"/>
      </w:rPr>
    </w:lvl>
    <w:lvl w:ilvl="3" w:tplc="D0780154">
      <w:numFmt w:val="bullet"/>
      <w:lvlText w:val="•"/>
      <w:lvlJc w:val="left"/>
      <w:pPr>
        <w:ind w:left="2602" w:hanging="360"/>
      </w:pPr>
      <w:rPr>
        <w:lang w:val="en-ZA" w:eastAsia="en-ZA" w:bidi="en-ZA"/>
      </w:rPr>
    </w:lvl>
    <w:lvl w:ilvl="4" w:tplc="5DD88A26">
      <w:numFmt w:val="bullet"/>
      <w:lvlText w:val="•"/>
      <w:lvlJc w:val="left"/>
      <w:pPr>
        <w:ind w:left="3230" w:hanging="360"/>
      </w:pPr>
      <w:rPr>
        <w:lang w:val="en-ZA" w:eastAsia="en-ZA" w:bidi="en-ZA"/>
      </w:rPr>
    </w:lvl>
    <w:lvl w:ilvl="5" w:tplc="49AE0D22">
      <w:numFmt w:val="bullet"/>
      <w:lvlText w:val="•"/>
      <w:lvlJc w:val="left"/>
      <w:pPr>
        <w:ind w:left="3857" w:hanging="360"/>
      </w:pPr>
      <w:rPr>
        <w:lang w:val="en-ZA" w:eastAsia="en-ZA" w:bidi="en-ZA"/>
      </w:rPr>
    </w:lvl>
    <w:lvl w:ilvl="6" w:tplc="2AF092AC">
      <w:numFmt w:val="bullet"/>
      <w:lvlText w:val="•"/>
      <w:lvlJc w:val="left"/>
      <w:pPr>
        <w:ind w:left="4485" w:hanging="360"/>
      </w:pPr>
      <w:rPr>
        <w:lang w:val="en-ZA" w:eastAsia="en-ZA" w:bidi="en-ZA"/>
      </w:rPr>
    </w:lvl>
    <w:lvl w:ilvl="7" w:tplc="477E4260">
      <w:numFmt w:val="bullet"/>
      <w:lvlText w:val="•"/>
      <w:lvlJc w:val="left"/>
      <w:pPr>
        <w:ind w:left="5112" w:hanging="360"/>
      </w:pPr>
      <w:rPr>
        <w:lang w:val="en-ZA" w:eastAsia="en-ZA" w:bidi="en-ZA"/>
      </w:rPr>
    </w:lvl>
    <w:lvl w:ilvl="8" w:tplc="EAD8DF04">
      <w:numFmt w:val="bullet"/>
      <w:lvlText w:val="•"/>
      <w:lvlJc w:val="left"/>
      <w:pPr>
        <w:ind w:left="5740" w:hanging="360"/>
      </w:pPr>
      <w:rPr>
        <w:lang w:val="en-ZA" w:eastAsia="en-ZA" w:bidi="en-ZA"/>
      </w:rPr>
    </w:lvl>
  </w:abstractNum>
  <w:abstractNum w:abstractNumId="4" w15:restartNumberingAfterBreak="0">
    <w:nsid w:val="09D9737D"/>
    <w:multiLevelType w:val="hybridMultilevel"/>
    <w:tmpl w:val="AEE660E2"/>
    <w:lvl w:ilvl="0" w:tplc="04090005">
      <w:start w:val="1"/>
      <w:numFmt w:val="bullet"/>
      <w:lvlText w:val=""/>
      <w:lvlJc w:val="left"/>
      <w:pPr>
        <w:ind w:left="668" w:hanging="360"/>
      </w:pPr>
      <w:rPr>
        <w:rFonts w:ascii="Wingdings" w:hAnsi="Wingdings" w:hint="default"/>
      </w:rPr>
    </w:lvl>
    <w:lvl w:ilvl="1" w:tplc="04090003" w:tentative="1">
      <w:start w:val="1"/>
      <w:numFmt w:val="bullet"/>
      <w:lvlText w:val="o"/>
      <w:lvlJc w:val="left"/>
      <w:pPr>
        <w:ind w:left="1388" w:hanging="360"/>
      </w:pPr>
      <w:rPr>
        <w:rFonts w:ascii="Courier New" w:hAnsi="Courier New" w:cs="Courier New" w:hint="default"/>
      </w:rPr>
    </w:lvl>
    <w:lvl w:ilvl="2" w:tplc="04090005" w:tentative="1">
      <w:start w:val="1"/>
      <w:numFmt w:val="bullet"/>
      <w:lvlText w:val=""/>
      <w:lvlJc w:val="left"/>
      <w:pPr>
        <w:ind w:left="2108" w:hanging="360"/>
      </w:pPr>
      <w:rPr>
        <w:rFonts w:ascii="Wingdings" w:hAnsi="Wingdings" w:hint="default"/>
      </w:rPr>
    </w:lvl>
    <w:lvl w:ilvl="3" w:tplc="04090001" w:tentative="1">
      <w:start w:val="1"/>
      <w:numFmt w:val="bullet"/>
      <w:lvlText w:val=""/>
      <w:lvlJc w:val="left"/>
      <w:pPr>
        <w:ind w:left="2828" w:hanging="360"/>
      </w:pPr>
      <w:rPr>
        <w:rFonts w:ascii="Symbol" w:hAnsi="Symbol" w:hint="default"/>
      </w:rPr>
    </w:lvl>
    <w:lvl w:ilvl="4" w:tplc="04090003" w:tentative="1">
      <w:start w:val="1"/>
      <w:numFmt w:val="bullet"/>
      <w:lvlText w:val="o"/>
      <w:lvlJc w:val="left"/>
      <w:pPr>
        <w:ind w:left="3548" w:hanging="360"/>
      </w:pPr>
      <w:rPr>
        <w:rFonts w:ascii="Courier New" w:hAnsi="Courier New" w:cs="Courier New" w:hint="default"/>
      </w:rPr>
    </w:lvl>
    <w:lvl w:ilvl="5" w:tplc="04090005" w:tentative="1">
      <w:start w:val="1"/>
      <w:numFmt w:val="bullet"/>
      <w:lvlText w:val=""/>
      <w:lvlJc w:val="left"/>
      <w:pPr>
        <w:ind w:left="4268" w:hanging="360"/>
      </w:pPr>
      <w:rPr>
        <w:rFonts w:ascii="Wingdings" w:hAnsi="Wingdings" w:hint="default"/>
      </w:rPr>
    </w:lvl>
    <w:lvl w:ilvl="6" w:tplc="04090001" w:tentative="1">
      <w:start w:val="1"/>
      <w:numFmt w:val="bullet"/>
      <w:lvlText w:val=""/>
      <w:lvlJc w:val="left"/>
      <w:pPr>
        <w:ind w:left="4988" w:hanging="360"/>
      </w:pPr>
      <w:rPr>
        <w:rFonts w:ascii="Symbol" w:hAnsi="Symbol" w:hint="default"/>
      </w:rPr>
    </w:lvl>
    <w:lvl w:ilvl="7" w:tplc="04090003" w:tentative="1">
      <w:start w:val="1"/>
      <w:numFmt w:val="bullet"/>
      <w:lvlText w:val="o"/>
      <w:lvlJc w:val="left"/>
      <w:pPr>
        <w:ind w:left="5708" w:hanging="360"/>
      </w:pPr>
      <w:rPr>
        <w:rFonts w:ascii="Courier New" w:hAnsi="Courier New" w:cs="Courier New" w:hint="default"/>
      </w:rPr>
    </w:lvl>
    <w:lvl w:ilvl="8" w:tplc="04090005" w:tentative="1">
      <w:start w:val="1"/>
      <w:numFmt w:val="bullet"/>
      <w:lvlText w:val=""/>
      <w:lvlJc w:val="left"/>
      <w:pPr>
        <w:ind w:left="6428" w:hanging="360"/>
      </w:pPr>
      <w:rPr>
        <w:rFonts w:ascii="Wingdings" w:hAnsi="Wingdings" w:hint="default"/>
      </w:rPr>
    </w:lvl>
  </w:abstractNum>
  <w:abstractNum w:abstractNumId="5" w15:restartNumberingAfterBreak="0">
    <w:nsid w:val="0A307EBE"/>
    <w:multiLevelType w:val="hybridMultilevel"/>
    <w:tmpl w:val="0E201C7E"/>
    <w:lvl w:ilvl="0" w:tplc="5F5E0022">
      <w:start w:val="1"/>
      <w:numFmt w:val="lowerLetter"/>
      <w:lvlText w:val="(%1)"/>
      <w:lvlJc w:val="left"/>
      <w:pPr>
        <w:ind w:left="719" w:hanging="360"/>
      </w:pPr>
      <w:rPr>
        <w:rFonts w:ascii="Arial" w:eastAsia="Arial" w:hAnsi="Arial" w:cs="Arial" w:hint="default"/>
        <w:color w:val="00567D"/>
        <w:spacing w:val="-11"/>
        <w:w w:val="99"/>
        <w:sz w:val="18"/>
        <w:szCs w:val="18"/>
        <w:lang w:val="en-ZA" w:eastAsia="en-ZA" w:bidi="en-ZA"/>
      </w:rPr>
    </w:lvl>
    <w:lvl w:ilvl="1" w:tplc="907A0DB4">
      <w:start w:val="1"/>
      <w:numFmt w:val="lowerRoman"/>
      <w:lvlText w:val="(%2)"/>
      <w:lvlJc w:val="left"/>
      <w:pPr>
        <w:ind w:left="1264" w:hanging="545"/>
      </w:pPr>
      <w:rPr>
        <w:rFonts w:ascii="Arial" w:eastAsia="Arial" w:hAnsi="Arial" w:cs="Arial" w:hint="default"/>
        <w:color w:val="00567D"/>
        <w:spacing w:val="-2"/>
        <w:w w:val="99"/>
        <w:sz w:val="18"/>
        <w:szCs w:val="18"/>
        <w:lang w:val="en-ZA" w:eastAsia="en-ZA" w:bidi="en-ZA"/>
      </w:rPr>
    </w:lvl>
    <w:lvl w:ilvl="2" w:tplc="1C7E8B8C">
      <w:numFmt w:val="bullet"/>
      <w:lvlText w:val="•"/>
      <w:lvlJc w:val="left"/>
      <w:pPr>
        <w:ind w:left="1897" w:hanging="545"/>
      </w:pPr>
      <w:rPr>
        <w:lang w:val="en-ZA" w:eastAsia="en-ZA" w:bidi="en-ZA"/>
      </w:rPr>
    </w:lvl>
    <w:lvl w:ilvl="3" w:tplc="E1E0E136">
      <w:numFmt w:val="bullet"/>
      <w:lvlText w:val="•"/>
      <w:lvlJc w:val="left"/>
      <w:pPr>
        <w:ind w:left="2534" w:hanging="545"/>
      </w:pPr>
      <w:rPr>
        <w:lang w:val="en-ZA" w:eastAsia="en-ZA" w:bidi="en-ZA"/>
      </w:rPr>
    </w:lvl>
    <w:lvl w:ilvl="4" w:tplc="9252C34A">
      <w:numFmt w:val="bullet"/>
      <w:lvlText w:val="•"/>
      <w:lvlJc w:val="left"/>
      <w:pPr>
        <w:ind w:left="3171" w:hanging="545"/>
      </w:pPr>
      <w:rPr>
        <w:lang w:val="en-ZA" w:eastAsia="en-ZA" w:bidi="en-ZA"/>
      </w:rPr>
    </w:lvl>
    <w:lvl w:ilvl="5" w:tplc="94D8A068">
      <w:numFmt w:val="bullet"/>
      <w:lvlText w:val="•"/>
      <w:lvlJc w:val="left"/>
      <w:pPr>
        <w:ind w:left="3808" w:hanging="545"/>
      </w:pPr>
      <w:rPr>
        <w:lang w:val="en-ZA" w:eastAsia="en-ZA" w:bidi="en-ZA"/>
      </w:rPr>
    </w:lvl>
    <w:lvl w:ilvl="6" w:tplc="1D407AD0">
      <w:numFmt w:val="bullet"/>
      <w:lvlText w:val="•"/>
      <w:lvlJc w:val="left"/>
      <w:pPr>
        <w:ind w:left="4446" w:hanging="545"/>
      </w:pPr>
      <w:rPr>
        <w:lang w:val="en-ZA" w:eastAsia="en-ZA" w:bidi="en-ZA"/>
      </w:rPr>
    </w:lvl>
    <w:lvl w:ilvl="7" w:tplc="1B7A6500">
      <w:numFmt w:val="bullet"/>
      <w:lvlText w:val="•"/>
      <w:lvlJc w:val="left"/>
      <w:pPr>
        <w:ind w:left="5083" w:hanging="545"/>
      </w:pPr>
      <w:rPr>
        <w:lang w:val="en-ZA" w:eastAsia="en-ZA" w:bidi="en-ZA"/>
      </w:rPr>
    </w:lvl>
    <w:lvl w:ilvl="8" w:tplc="2E92161E">
      <w:numFmt w:val="bullet"/>
      <w:lvlText w:val="•"/>
      <w:lvlJc w:val="left"/>
      <w:pPr>
        <w:ind w:left="5720" w:hanging="545"/>
      </w:pPr>
      <w:rPr>
        <w:lang w:val="en-ZA" w:eastAsia="en-ZA" w:bidi="en-ZA"/>
      </w:rPr>
    </w:lvl>
  </w:abstractNum>
  <w:abstractNum w:abstractNumId="6" w15:restartNumberingAfterBreak="0">
    <w:nsid w:val="0EAD43FB"/>
    <w:multiLevelType w:val="hybridMultilevel"/>
    <w:tmpl w:val="67EA070E"/>
    <w:lvl w:ilvl="0" w:tplc="09C06122">
      <w:numFmt w:val="bullet"/>
      <w:lvlText w:val=""/>
      <w:lvlJc w:val="left"/>
      <w:pPr>
        <w:ind w:left="358" w:hanging="360"/>
      </w:pPr>
      <w:rPr>
        <w:rFonts w:ascii="Wingdings" w:eastAsia="Wingdings" w:hAnsi="Wingdings" w:cs="Wingdings" w:hint="default"/>
        <w:color w:val="00567D"/>
        <w:w w:val="100"/>
        <w:sz w:val="18"/>
        <w:szCs w:val="18"/>
        <w:lang w:val="en-ZA" w:eastAsia="en-ZA" w:bidi="en-ZA"/>
      </w:rPr>
    </w:lvl>
    <w:lvl w:ilvl="1" w:tplc="C71273A0">
      <w:numFmt w:val="bullet"/>
      <w:lvlText w:val="o"/>
      <w:lvlJc w:val="left"/>
      <w:pPr>
        <w:ind w:left="1079" w:hanging="361"/>
      </w:pPr>
      <w:rPr>
        <w:rFonts w:ascii="Courier New" w:eastAsia="Courier New" w:hAnsi="Courier New" w:cs="Courier New" w:hint="default"/>
        <w:color w:val="00567D"/>
        <w:spacing w:val="-19"/>
        <w:w w:val="99"/>
        <w:sz w:val="18"/>
        <w:szCs w:val="18"/>
        <w:lang w:val="en-ZA" w:eastAsia="en-ZA" w:bidi="en-ZA"/>
      </w:rPr>
    </w:lvl>
    <w:lvl w:ilvl="2" w:tplc="2580129C">
      <w:numFmt w:val="bullet"/>
      <w:lvlText w:val="•"/>
      <w:lvlJc w:val="left"/>
      <w:pPr>
        <w:ind w:left="1626" w:hanging="361"/>
      </w:pPr>
      <w:rPr>
        <w:lang w:val="en-ZA" w:eastAsia="en-ZA" w:bidi="en-ZA"/>
      </w:rPr>
    </w:lvl>
    <w:lvl w:ilvl="3" w:tplc="41024386">
      <w:numFmt w:val="bullet"/>
      <w:lvlText w:val="•"/>
      <w:lvlJc w:val="left"/>
      <w:pPr>
        <w:ind w:left="2173" w:hanging="361"/>
      </w:pPr>
      <w:rPr>
        <w:lang w:val="en-ZA" w:eastAsia="en-ZA" w:bidi="en-ZA"/>
      </w:rPr>
    </w:lvl>
    <w:lvl w:ilvl="4" w:tplc="BCDE3E1C">
      <w:numFmt w:val="bullet"/>
      <w:lvlText w:val="•"/>
      <w:lvlJc w:val="left"/>
      <w:pPr>
        <w:ind w:left="2720" w:hanging="361"/>
      </w:pPr>
      <w:rPr>
        <w:lang w:val="en-ZA" w:eastAsia="en-ZA" w:bidi="en-ZA"/>
      </w:rPr>
    </w:lvl>
    <w:lvl w:ilvl="5" w:tplc="204A41DA">
      <w:numFmt w:val="bullet"/>
      <w:lvlText w:val="•"/>
      <w:lvlJc w:val="left"/>
      <w:pPr>
        <w:ind w:left="3267" w:hanging="361"/>
      </w:pPr>
      <w:rPr>
        <w:lang w:val="en-ZA" w:eastAsia="en-ZA" w:bidi="en-ZA"/>
      </w:rPr>
    </w:lvl>
    <w:lvl w:ilvl="6" w:tplc="9B92E046">
      <w:numFmt w:val="bullet"/>
      <w:lvlText w:val="•"/>
      <w:lvlJc w:val="left"/>
      <w:pPr>
        <w:ind w:left="3814" w:hanging="361"/>
      </w:pPr>
      <w:rPr>
        <w:lang w:val="en-ZA" w:eastAsia="en-ZA" w:bidi="en-ZA"/>
      </w:rPr>
    </w:lvl>
    <w:lvl w:ilvl="7" w:tplc="9E744198">
      <w:numFmt w:val="bullet"/>
      <w:lvlText w:val="•"/>
      <w:lvlJc w:val="left"/>
      <w:pPr>
        <w:ind w:left="4361" w:hanging="361"/>
      </w:pPr>
      <w:rPr>
        <w:lang w:val="en-ZA" w:eastAsia="en-ZA" w:bidi="en-ZA"/>
      </w:rPr>
    </w:lvl>
    <w:lvl w:ilvl="8" w:tplc="BCC8F046">
      <w:numFmt w:val="bullet"/>
      <w:lvlText w:val="•"/>
      <w:lvlJc w:val="left"/>
      <w:pPr>
        <w:ind w:left="4908" w:hanging="361"/>
      </w:pPr>
      <w:rPr>
        <w:lang w:val="en-ZA" w:eastAsia="en-ZA" w:bidi="en-ZA"/>
      </w:rPr>
    </w:lvl>
  </w:abstractNum>
  <w:abstractNum w:abstractNumId="7" w15:restartNumberingAfterBreak="0">
    <w:nsid w:val="17280240"/>
    <w:multiLevelType w:val="hybridMultilevel"/>
    <w:tmpl w:val="14488408"/>
    <w:lvl w:ilvl="0" w:tplc="04090005">
      <w:start w:val="1"/>
      <w:numFmt w:val="bullet"/>
      <w:lvlText w:val=""/>
      <w:lvlJc w:val="left"/>
      <w:pPr>
        <w:ind w:left="990" w:hanging="360"/>
      </w:pPr>
      <w:rPr>
        <w:rFonts w:ascii="Wingdings" w:hAnsi="Wingdings" w:hint="default"/>
        <w:color w:val="00567D"/>
        <w:w w:val="99"/>
        <w:sz w:val="20"/>
        <w:szCs w:val="20"/>
        <w:lang w:val="en-ZA" w:eastAsia="en-ZA" w:bidi="en-ZA"/>
      </w:rPr>
    </w:lvl>
    <w:lvl w:ilvl="1" w:tplc="FFFFFFFF">
      <w:start w:val="1"/>
      <w:numFmt w:val="bullet"/>
      <w:lvlText w:val="o"/>
      <w:lvlJc w:val="left"/>
      <w:pPr>
        <w:ind w:left="1710" w:hanging="360"/>
      </w:pPr>
      <w:rPr>
        <w:rFonts w:ascii="Courier New" w:hAnsi="Courier New" w:cs="Courier New" w:hint="default"/>
      </w:rPr>
    </w:lvl>
    <w:lvl w:ilvl="2" w:tplc="FFFFFFFF">
      <w:start w:val="1"/>
      <w:numFmt w:val="bullet"/>
      <w:lvlText w:val=""/>
      <w:lvlJc w:val="left"/>
      <w:pPr>
        <w:ind w:left="2430" w:hanging="360"/>
      </w:pPr>
      <w:rPr>
        <w:rFonts w:ascii="Wingdings" w:hAnsi="Wingdings" w:hint="default"/>
      </w:rPr>
    </w:lvl>
    <w:lvl w:ilvl="3" w:tplc="FFFFFFFF">
      <w:start w:val="1"/>
      <w:numFmt w:val="bullet"/>
      <w:lvlText w:val=""/>
      <w:lvlJc w:val="left"/>
      <w:pPr>
        <w:ind w:left="3150" w:hanging="360"/>
      </w:pPr>
      <w:rPr>
        <w:rFonts w:ascii="Symbol" w:hAnsi="Symbol" w:hint="default"/>
      </w:rPr>
    </w:lvl>
    <w:lvl w:ilvl="4" w:tplc="FFFFFFFF">
      <w:start w:val="1"/>
      <w:numFmt w:val="bullet"/>
      <w:lvlText w:val="o"/>
      <w:lvlJc w:val="left"/>
      <w:pPr>
        <w:ind w:left="3870" w:hanging="360"/>
      </w:pPr>
      <w:rPr>
        <w:rFonts w:ascii="Courier New" w:hAnsi="Courier New" w:cs="Courier New" w:hint="default"/>
      </w:rPr>
    </w:lvl>
    <w:lvl w:ilvl="5" w:tplc="FFFFFFFF">
      <w:start w:val="1"/>
      <w:numFmt w:val="bullet"/>
      <w:lvlText w:val=""/>
      <w:lvlJc w:val="left"/>
      <w:pPr>
        <w:ind w:left="4590" w:hanging="360"/>
      </w:pPr>
      <w:rPr>
        <w:rFonts w:ascii="Wingdings" w:hAnsi="Wingdings" w:hint="default"/>
      </w:rPr>
    </w:lvl>
    <w:lvl w:ilvl="6" w:tplc="FFFFFFFF">
      <w:start w:val="1"/>
      <w:numFmt w:val="bullet"/>
      <w:lvlText w:val=""/>
      <w:lvlJc w:val="left"/>
      <w:pPr>
        <w:ind w:left="5310" w:hanging="360"/>
      </w:pPr>
      <w:rPr>
        <w:rFonts w:ascii="Symbol" w:hAnsi="Symbol" w:hint="default"/>
      </w:rPr>
    </w:lvl>
    <w:lvl w:ilvl="7" w:tplc="FFFFFFFF">
      <w:start w:val="1"/>
      <w:numFmt w:val="bullet"/>
      <w:lvlText w:val="o"/>
      <w:lvlJc w:val="left"/>
      <w:pPr>
        <w:ind w:left="6030" w:hanging="360"/>
      </w:pPr>
      <w:rPr>
        <w:rFonts w:ascii="Courier New" w:hAnsi="Courier New" w:cs="Courier New" w:hint="default"/>
      </w:rPr>
    </w:lvl>
    <w:lvl w:ilvl="8" w:tplc="FFFFFFFF">
      <w:start w:val="1"/>
      <w:numFmt w:val="bullet"/>
      <w:lvlText w:val=""/>
      <w:lvlJc w:val="left"/>
      <w:pPr>
        <w:ind w:left="6750" w:hanging="360"/>
      </w:pPr>
      <w:rPr>
        <w:rFonts w:ascii="Wingdings" w:hAnsi="Wingdings" w:hint="default"/>
      </w:rPr>
    </w:lvl>
  </w:abstractNum>
  <w:abstractNum w:abstractNumId="8" w15:restartNumberingAfterBreak="0">
    <w:nsid w:val="2B035858"/>
    <w:multiLevelType w:val="hybridMultilevel"/>
    <w:tmpl w:val="DBF84912"/>
    <w:lvl w:ilvl="0" w:tplc="B9DCA046">
      <w:numFmt w:val="bullet"/>
      <w:lvlText w:val=""/>
      <w:lvlJc w:val="left"/>
      <w:pPr>
        <w:ind w:left="719" w:hanging="360"/>
      </w:pPr>
      <w:rPr>
        <w:rFonts w:ascii="Wingdings" w:eastAsia="Wingdings" w:hAnsi="Wingdings" w:cs="Wingdings" w:hint="default"/>
        <w:color w:val="00567D"/>
        <w:w w:val="100"/>
        <w:sz w:val="18"/>
        <w:szCs w:val="18"/>
        <w:lang w:val="en-ZA" w:eastAsia="en-ZA" w:bidi="en-ZA"/>
      </w:rPr>
    </w:lvl>
    <w:lvl w:ilvl="1" w:tplc="074AFFE2">
      <w:numFmt w:val="bullet"/>
      <w:lvlText w:val="•"/>
      <w:lvlJc w:val="left"/>
      <w:pPr>
        <w:ind w:left="1347" w:hanging="360"/>
      </w:pPr>
      <w:rPr>
        <w:lang w:val="en-ZA" w:eastAsia="en-ZA" w:bidi="en-ZA"/>
      </w:rPr>
    </w:lvl>
    <w:lvl w:ilvl="2" w:tplc="5058CD1E">
      <w:numFmt w:val="bullet"/>
      <w:lvlText w:val="•"/>
      <w:lvlJc w:val="left"/>
      <w:pPr>
        <w:ind w:left="1975" w:hanging="360"/>
      </w:pPr>
      <w:rPr>
        <w:lang w:val="en-ZA" w:eastAsia="en-ZA" w:bidi="en-ZA"/>
      </w:rPr>
    </w:lvl>
    <w:lvl w:ilvl="3" w:tplc="9CD40D24">
      <w:numFmt w:val="bullet"/>
      <w:lvlText w:val="•"/>
      <w:lvlJc w:val="left"/>
      <w:pPr>
        <w:ind w:left="2602" w:hanging="360"/>
      </w:pPr>
      <w:rPr>
        <w:lang w:val="en-ZA" w:eastAsia="en-ZA" w:bidi="en-ZA"/>
      </w:rPr>
    </w:lvl>
    <w:lvl w:ilvl="4" w:tplc="654EBA52">
      <w:numFmt w:val="bullet"/>
      <w:lvlText w:val="•"/>
      <w:lvlJc w:val="left"/>
      <w:pPr>
        <w:ind w:left="3230" w:hanging="360"/>
      </w:pPr>
      <w:rPr>
        <w:lang w:val="en-ZA" w:eastAsia="en-ZA" w:bidi="en-ZA"/>
      </w:rPr>
    </w:lvl>
    <w:lvl w:ilvl="5" w:tplc="6414D1DA">
      <w:numFmt w:val="bullet"/>
      <w:lvlText w:val="•"/>
      <w:lvlJc w:val="left"/>
      <w:pPr>
        <w:ind w:left="3857" w:hanging="360"/>
      </w:pPr>
      <w:rPr>
        <w:lang w:val="en-ZA" w:eastAsia="en-ZA" w:bidi="en-ZA"/>
      </w:rPr>
    </w:lvl>
    <w:lvl w:ilvl="6" w:tplc="124EADAE">
      <w:numFmt w:val="bullet"/>
      <w:lvlText w:val="•"/>
      <w:lvlJc w:val="left"/>
      <w:pPr>
        <w:ind w:left="4485" w:hanging="360"/>
      </w:pPr>
      <w:rPr>
        <w:lang w:val="en-ZA" w:eastAsia="en-ZA" w:bidi="en-ZA"/>
      </w:rPr>
    </w:lvl>
    <w:lvl w:ilvl="7" w:tplc="9AD2F2D4">
      <w:numFmt w:val="bullet"/>
      <w:lvlText w:val="•"/>
      <w:lvlJc w:val="left"/>
      <w:pPr>
        <w:ind w:left="5112" w:hanging="360"/>
      </w:pPr>
      <w:rPr>
        <w:lang w:val="en-ZA" w:eastAsia="en-ZA" w:bidi="en-ZA"/>
      </w:rPr>
    </w:lvl>
    <w:lvl w:ilvl="8" w:tplc="3DC40494">
      <w:numFmt w:val="bullet"/>
      <w:lvlText w:val="•"/>
      <w:lvlJc w:val="left"/>
      <w:pPr>
        <w:ind w:left="5740" w:hanging="360"/>
      </w:pPr>
      <w:rPr>
        <w:lang w:val="en-ZA" w:eastAsia="en-ZA" w:bidi="en-ZA"/>
      </w:rPr>
    </w:lvl>
  </w:abstractNum>
  <w:abstractNum w:abstractNumId="9" w15:restartNumberingAfterBreak="0">
    <w:nsid w:val="2F8A0801"/>
    <w:multiLevelType w:val="hybridMultilevel"/>
    <w:tmpl w:val="9BE4234A"/>
    <w:lvl w:ilvl="0" w:tplc="47D888F4">
      <w:numFmt w:val="bullet"/>
      <w:lvlText w:val=""/>
      <w:lvlJc w:val="left"/>
      <w:pPr>
        <w:ind w:left="719" w:hanging="360"/>
      </w:pPr>
      <w:rPr>
        <w:rFonts w:ascii="Wingdings" w:eastAsia="Wingdings" w:hAnsi="Wingdings" w:cs="Wingdings" w:hint="default"/>
        <w:color w:val="00567D"/>
        <w:w w:val="100"/>
        <w:sz w:val="18"/>
        <w:szCs w:val="18"/>
        <w:lang w:val="en-ZA" w:eastAsia="en-ZA" w:bidi="en-ZA"/>
      </w:rPr>
    </w:lvl>
    <w:lvl w:ilvl="1" w:tplc="6D001178">
      <w:numFmt w:val="bullet"/>
      <w:lvlText w:val="•"/>
      <w:lvlJc w:val="left"/>
      <w:pPr>
        <w:ind w:left="1347" w:hanging="360"/>
      </w:pPr>
      <w:rPr>
        <w:lang w:val="en-ZA" w:eastAsia="en-ZA" w:bidi="en-ZA"/>
      </w:rPr>
    </w:lvl>
    <w:lvl w:ilvl="2" w:tplc="87FA1FCA">
      <w:numFmt w:val="bullet"/>
      <w:lvlText w:val="•"/>
      <w:lvlJc w:val="left"/>
      <w:pPr>
        <w:ind w:left="1975" w:hanging="360"/>
      </w:pPr>
      <w:rPr>
        <w:lang w:val="en-ZA" w:eastAsia="en-ZA" w:bidi="en-ZA"/>
      </w:rPr>
    </w:lvl>
    <w:lvl w:ilvl="3" w:tplc="F768D1A4">
      <w:numFmt w:val="bullet"/>
      <w:lvlText w:val="•"/>
      <w:lvlJc w:val="left"/>
      <w:pPr>
        <w:ind w:left="2602" w:hanging="360"/>
      </w:pPr>
      <w:rPr>
        <w:lang w:val="en-ZA" w:eastAsia="en-ZA" w:bidi="en-ZA"/>
      </w:rPr>
    </w:lvl>
    <w:lvl w:ilvl="4" w:tplc="396A23C2">
      <w:numFmt w:val="bullet"/>
      <w:lvlText w:val="•"/>
      <w:lvlJc w:val="left"/>
      <w:pPr>
        <w:ind w:left="3230" w:hanging="360"/>
      </w:pPr>
      <w:rPr>
        <w:lang w:val="en-ZA" w:eastAsia="en-ZA" w:bidi="en-ZA"/>
      </w:rPr>
    </w:lvl>
    <w:lvl w:ilvl="5" w:tplc="42426F2C">
      <w:numFmt w:val="bullet"/>
      <w:lvlText w:val="•"/>
      <w:lvlJc w:val="left"/>
      <w:pPr>
        <w:ind w:left="3857" w:hanging="360"/>
      </w:pPr>
      <w:rPr>
        <w:lang w:val="en-ZA" w:eastAsia="en-ZA" w:bidi="en-ZA"/>
      </w:rPr>
    </w:lvl>
    <w:lvl w:ilvl="6" w:tplc="6978B6E6">
      <w:numFmt w:val="bullet"/>
      <w:lvlText w:val="•"/>
      <w:lvlJc w:val="left"/>
      <w:pPr>
        <w:ind w:left="4485" w:hanging="360"/>
      </w:pPr>
      <w:rPr>
        <w:lang w:val="en-ZA" w:eastAsia="en-ZA" w:bidi="en-ZA"/>
      </w:rPr>
    </w:lvl>
    <w:lvl w:ilvl="7" w:tplc="468E3D88">
      <w:numFmt w:val="bullet"/>
      <w:lvlText w:val="•"/>
      <w:lvlJc w:val="left"/>
      <w:pPr>
        <w:ind w:left="5112" w:hanging="360"/>
      </w:pPr>
      <w:rPr>
        <w:lang w:val="en-ZA" w:eastAsia="en-ZA" w:bidi="en-ZA"/>
      </w:rPr>
    </w:lvl>
    <w:lvl w:ilvl="8" w:tplc="DE60A1DC">
      <w:numFmt w:val="bullet"/>
      <w:lvlText w:val="•"/>
      <w:lvlJc w:val="left"/>
      <w:pPr>
        <w:ind w:left="5740" w:hanging="360"/>
      </w:pPr>
      <w:rPr>
        <w:lang w:val="en-ZA" w:eastAsia="en-ZA" w:bidi="en-ZA"/>
      </w:rPr>
    </w:lvl>
  </w:abstractNum>
  <w:abstractNum w:abstractNumId="10" w15:restartNumberingAfterBreak="0">
    <w:nsid w:val="3415363C"/>
    <w:multiLevelType w:val="hybridMultilevel"/>
    <w:tmpl w:val="922C31CA"/>
    <w:lvl w:ilvl="0" w:tplc="728244B2">
      <w:numFmt w:val="bullet"/>
      <w:lvlText w:val=""/>
      <w:lvlJc w:val="left"/>
      <w:pPr>
        <w:ind w:left="358" w:hanging="360"/>
      </w:pPr>
      <w:rPr>
        <w:rFonts w:ascii="Wingdings" w:eastAsia="Wingdings" w:hAnsi="Wingdings" w:cs="Wingdings" w:hint="default"/>
        <w:color w:val="00567D"/>
        <w:w w:val="100"/>
        <w:sz w:val="18"/>
        <w:szCs w:val="18"/>
        <w:lang w:val="en-ZA" w:eastAsia="en-ZA" w:bidi="en-ZA"/>
      </w:rPr>
    </w:lvl>
    <w:lvl w:ilvl="1" w:tplc="DDFCAB66">
      <w:numFmt w:val="bullet"/>
      <w:lvlText w:val="•"/>
      <w:lvlJc w:val="left"/>
      <w:pPr>
        <w:ind w:left="924" w:hanging="360"/>
      </w:pPr>
      <w:rPr>
        <w:lang w:val="en-ZA" w:eastAsia="en-ZA" w:bidi="en-ZA"/>
      </w:rPr>
    </w:lvl>
    <w:lvl w:ilvl="2" w:tplc="FAD44A68">
      <w:numFmt w:val="bullet"/>
      <w:lvlText w:val="•"/>
      <w:lvlJc w:val="left"/>
      <w:pPr>
        <w:ind w:left="1488" w:hanging="360"/>
      </w:pPr>
      <w:rPr>
        <w:lang w:val="en-ZA" w:eastAsia="en-ZA" w:bidi="en-ZA"/>
      </w:rPr>
    </w:lvl>
    <w:lvl w:ilvl="3" w:tplc="EA520F26">
      <w:numFmt w:val="bullet"/>
      <w:lvlText w:val="•"/>
      <w:lvlJc w:val="left"/>
      <w:pPr>
        <w:ind w:left="2052" w:hanging="360"/>
      </w:pPr>
      <w:rPr>
        <w:lang w:val="en-ZA" w:eastAsia="en-ZA" w:bidi="en-ZA"/>
      </w:rPr>
    </w:lvl>
    <w:lvl w:ilvl="4" w:tplc="8BA6DC06">
      <w:numFmt w:val="bullet"/>
      <w:lvlText w:val="•"/>
      <w:lvlJc w:val="left"/>
      <w:pPr>
        <w:ind w:left="2616" w:hanging="360"/>
      </w:pPr>
      <w:rPr>
        <w:lang w:val="en-ZA" w:eastAsia="en-ZA" w:bidi="en-ZA"/>
      </w:rPr>
    </w:lvl>
    <w:lvl w:ilvl="5" w:tplc="7E60C370">
      <w:numFmt w:val="bullet"/>
      <w:lvlText w:val="•"/>
      <w:lvlJc w:val="left"/>
      <w:pPr>
        <w:ind w:left="3181" w:hanging="360"/>
      </w:pPr>
      <w:rPr>
        <w:lang w:val="en-ZA" w:eastAsia="en-ZA" w:bidi="en-ZA"/>
      </w:rPr>
    </w:lvl>
    <w:lvl w:ilvl="6" w:tplc="1F487408">
      <w:numFmt w:val="bullet"/>
      <w:lvlText w:val="•"/>
      <w:lvlJc w:val="left"/>
      <w:pPr>
        <w:ind w:left="3745" w:hanging="360"/>
      </w:pPr>
      <w:rPr>
        <w:lang w:val="en-ZA" w:eastAsia="en-ZA" w:bidi="en-ZA"/>
      </w:rPr>
    </w:lvl>
    <w:lvl w:ilvl="7" w:tplc="D616B94E">
      <w:numFmt w:val="bullet"/>
      <w:lvlText w:val="•"/>
      <w:lvlJc w:val="left"/>
      <w:pPr>
        <w:ind w:left="4309" w:hanging="360"/>
      </w:pPr>
      <w:rPr>
        <w:lang w:val="en-ZA" w:eastAsia="en-ZA" w:bidi="en-ZA"/>
      </w:rPr>
    </w:lvl>
    <w:lvl w:ilvl="8" w:tplc="926A654C">
      <w:numFmt w:val="bullet"/>
      <w:lvlText w:val="•"/>
      <w:lvlJc w:val="left"/>
      <w:pPr>
        <w:ind w:left="4873" w:hanging="360"/>
      </w:pPr>
      <w:rPr>
        <w:lang w:val="en-ZA" w:eastAsia="en-ZA" w:bidi="en-ZA"/>
      </w:rPr>
    </w:lvl>
  </w:abstractNum>
  <w:abstractNum w:abstractNumId="11" w15:restartNumberingAfterBreak="0">
    <w:nsid w:val="422F5174"/>
    <w:multiLevelType w:val="hybridMultilevel"/>
    <w:tmpl w:val="1B82C4E8"/>
    <w:lvl w:ilvl="0" w:tplc="79DA067E">
      <w:numFmt w:val="bullet"/>
      <w:lvlText w:val=""/>
      <w:lvlJc w:val="left"/>
      <w:pPr>
        <w:ind w:left="1028" w:hanging="360"/>
      </w:pPr>
      <w:rPr>
        <w:rFonts w:ascii="Wingdings" w:eastAsia="Wingdings" w:hAnsi="Wingdings" w:cs="Wingdings" w:hint="default"/>
        <w:color w:val="00567D"/>
        <w:w w:val="99"/>
        <w:sz w:val="20"/>
        <w:szCs w:val="20"/>
        <w:lang w:val="en-ZA" w:eastAsia="en-ZA" w:bidi="en-ZA"/>
      </w:rPr>
    </w:lvl>
    <w:lvl w:ilvl="1" w:tplc="6F3601FC">
      <w:numFmt w:val="bullet"/>
      <w:lvlText w:val="•"/>
      <w:lvlJc w:val="left"/>
      <w:pPr>
        <w:ind w:left="1946" w:hanging="360"/>
      </w:pPr>
      <w:rPr>
        <w:lang w:val="en-ZA" w:eastAsia="en-ZA" w:bidi="en-ZA"/>
      </w:rPr>
    </w:lvl>
    <w:lvl w:ilvl="2" w:tplc="5B24F3D0">
      <w:numFmt w:val="bullet"/>
      <w:lvlText w:val="•"/>
      <w:lvlJc w:val="left"/>
      <w:pPr>
        <w:ind w:left="2873" w:hanging="360"/>
      </w:pPr>
      <w:rPr>
        <w:lang w:val="en-ZA" w:eastAsia="en-ZA" w:bidi="en-ZA"/>
      </w:rPr>
    </w:lvl>
    <w:lvl w:ilvl="3" w:tplc="2F9CF5D0">
      <w:numFmt w:val="bullet"/>
      <w:lvlText w:val="•"/>
      <w:lvlJc w:val="left"/>
      <w:pPr>
        <w:ind w:left="3799" w:hanging="360"/>
      </w:pPr>
      <w:rPr>
        <w:lang w:val="en-ZA" w:eastAsia="en-ZA" w:bidi="en-ZA"/>
      </w:rPr>
    </w:lvl>
    <w:lvl w:ilvl="4" w:tplc="B6E646D2">
      <w:numFmt w:val="bullet"/>
      <w:lvlText w:val="•"/>
      <w:lvlJc w:val="left"/>
      <w:pPr>
        <w:ind w:left="4726" w:hanging="360"/>
      </w:pPr>
      <w:rPr>
        <w:lang w:val="en-ZA" w:eastAsia="en-ZA" w:bidi="en-ZA"/>
      </w:rPr>
    </w:lvl>
    <w:lvl w:ilvl="5" w:tplc="58B695F2">
      <w:numFmt w:val="bullet"/>
      <w:lvlText w:val="•"/>
      <w:lvlJc w:val="left"/>
      <w:pPr>
        <w:ind w:left="5653" w:hanging="360"/>
      </w:pPr>
      <w:rPr>
        <w:lang w:val="en-ZA" w:eastAsia="en-ZA" w:bidi="en-ZA"/>
      </w:rPr>
    </w:lvl>
    <w:lvl w:ilvl="6" w:tplc="1366B566">
      <w:numFmt w:val="bullet"/>
      <w:lvlText w:val="•"/>
      <w:lvlJc w:val="left"/>
      <w:pPr>
        <w:ind w:left="6579" w:hanging="360"/>
      </w:pPr>
      <w:rPr>
        <w:lang w:val="en-ZA" w:eastAsia="en-ZA" w:bidi="en-ZA"/>
      </w:rPr>
    </w:lvl>
    <w:lvl w:ilvl="7" w:tplc="80DACBB2">
      <w:numFmt w:val="bullet"/>
      <w:lvlText w:val="•"/>
      <w:lvlJc w:val="left"/>
      <w:pPr>
        <w:ind w:left="7506" w:hanging="360"/>
      </w:pPr>
      <w:rPr>
        <w:lang w:val="en-ZA" w:eastAsia="en-ZA" w:bidi="en-ZA"/>
      </w:rPr>
    </w:lvl>
    <w:lvl w:ilvl="8" w:tplc="E50CA7FE">
      <w:numFmt w:val="bullet"/>
      <w:lvlText w:val="•"/>
      <w:lvlJc w:val="left"/>
      <w:pPr>
        <w:ind w:left="8433" w:hanging="360"/>
      </w:pPr>
      <w:rPr>
        <w:lang w:val="en-ZA" w:eastAsia="en-ZA" w:bidi="en-ZA"/>
      </w:rPr>
    </w:lvl>
  </w:abstractNum>
  <w:abstractNum w:abstractNumId="12" w15:restartNumberingAfterBreak="0">
    <w:nsid w:val="437646E6"/>
    <w:multiLevelType w:val="hybridMultilevel"/>
    <w:tmpl w:val="4FEA3C20"/>
    <w:lvl w:ilvl="0" w:tplc="1C090001">
      <w:start w:val="1"/>
      <w:numFmt w:val="bullet"/>
      <w:lvlText w:val=""/>
      <w:lvlJc w:val="left"/>
      <w:pPr>
        <w:ind w:left="360" w:hanging="360"/>
      </w:pPr>
      <w:rPr>
        <w:rFonts w:ascii="Symbol" w:hAnsi="Symbol" w:hint="default"/>
      </w:rPr>
    </w:lvl>
    <w:lvl w:ilvl="1" w:tplc="1C090003">
      <w:start w:val="1"/>
      <w:numFmt w:val="bullet"/>
      <w:lvlText w:val="o"/>
      <w:lvlJc w:val="left"/>
      <w:pPr>
        <w:ind w:left="1080" w:hanging="360"/>
      </w:pPr>
      <w:rPr>
        <w:rFonts w:ascii="Courier New" w:hAnsi="Courier New" w:cs="Courier New" w:hint="default"/>
      </w:rPr>
    </w:lvl>
    <w:lvl w:ilvl="2" w:tplc="1C090005">
      <w:start w:val="1"/>
      <w:numFmt w:val="bullet"/>
      <w:lvlText w:val=""/>
      <w:lvlJc w:val="left"/>
      <w:pPr>
        <w:ind w:left="1800" w:hanging="360"/>
      </w:pPr>
      <w:rPr>
        <w:rFonts w:ascii="Wingdings" w:hAnsi="Wingdings" w:hint="default"/>
      </w:rPr>
    </w:lvl>
    <w:lvl w:ilvl="3" w:tplc="1C090001">
      <w:start w:val="1"/>
      <w:numFmt w:val="bullet"/>
      <w:lvlText w:val=""/>
      <w:lvlJc w:val="left"/>
      <w:pPr>
        <w:ind w:left="2520" w:hanging="360"/>
      </w:pPr>
      <w:rPr>
        <w:rFonts w:ascii="Symbol" w:hAnsi="Symbol" w:hint="default"/>
      </w:rPr>
    </w:lvl>
    <w:lvl w:ilvl="4" w:tplc="1C090003">
      <w:start w:val="1"/>
      <w:numFmt w:val="bullet"/>
      <w:lvlText w:val="o"/>
      <w:lvlJc w:val="left"/>
      <w:pPr>
        <w:ind w:left="3240" w:hanging="360"/>
      </w:pPr>
      <w:rPr>
        <w:rFonts w:ascii="Courier New" w:hAnsi="Courier New" w:cs="Courier New" w:hint="default"/>
      </w:rPr>
    </w:lvl>
    <w:lvl w:ilvl="5" w:tplc="1C090005">
      <w:start w:val="1"/>
      <w:numFmt w:val="bullet"/>
      <w:lvlText w:val=""/>
      <w:lvlJc w:val="left"/>
      <w:pPr>
        <w:ind w:left="3960" w:hanging="360"/>
      </w:pPr>
      <w:rPr>
        <w:rFonts w:ascii="Wingdings" w:hAnsi="Wingdings" w:hint="default"/>
      </w:rPr>
    </w:lvl>
    <w:lvl w:ilvl="6" w:tplc="1C090001">
      <w:start w:val="1"/>
      <w:numFmt w:val="bullet"/>
      <w:lvlText w:val=""/>
      <w:lvlJc w:val="left"/>
      <w:pPr>
        <w:ind w:left="4680" w:hanging="360"/>
      </w:pPr>
      <w:rPr>
        <w:rFonts w:ascii="Symbol" w:hAnsi="Symbol" w:hint="default"/>
      </w:rPr>
    </w:lvl>
    <w:lvl w:ilvl="7" w:tplc="1C090003">
      <w:start w:val="1"/>
      <w:numFmt w:val="bullet"/>
      <w:lvlText w:val="o"/>
      <w:lvlJc w:val="left"/>
      <w:pPr>
        <w:ind w:left="5400" w:hanging="360"/>
      </w:pPr>
      <w:rPr>
        <w:rFonts w:ascii="Courier New" w:hAnsi="Courier New" w:cs="Courier New" w:hint="default"/>
      </w:rPr>
    </w:lvl>
    <w:lvl w:ilvl="8" w:tplc="1C090005">
      <w:start w:val="1"/>
      <w:numFmt w:val="bullet"/>
      <w:lvlText w:val=""/>
      <w:lvlJc w:val="left"/>
      <w:pPr>
        <w:ind w:left="6120" w:hanging="360"/>
      </w:pPr>
      <w:rPr>
        <w:rFonts w:ascii="Wingdings" w:hAnsi="Wingdings" w:hint="default"/>
      </w:rPr>
    </w:lvl>
  </w:abstractNum>
  <w:abstractNum w:abstractNumId="13" w15:restartNumberingAfterBreak="0">
    <w:nsid w:val="48C97F67"/>
    <w:multiLevelType w:val="hybridMultilevel"/>
    <w:tmpl w:val="FBB26956"/>
    <w:lvl w:ilvl="0" w:tplc="10C23184">
      <w:start w:val="1"/>
      <w:numFmt w:val="low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5DD926F4"/>
    <w:multiLevelType w:val="hybridMultilevel"/>
    <w:tmpl w:val="284EB480"/>
    <w:lvl w:ilvl="0" w:tplc="1C090005">
      <w:start w:val="1"/>
      <w:numFmt w:val="bullet"/>
      <w:lvlText w:val=""/>
      <w:lvlJc w:val="left"/>
      <w:pPr>
        <w:ind w:left="990" w:hanging="360"/>
      </w:pPr>
      <w:rPr>
        <w:rFonts w:ascii="Wingdings" w:hAnsi="Wingdings" w:hint="default"/>
        <w:color w:val="00567D"/>
        <w:w w:val="99"/>
        <w:sz w:val="20"/>
        <w:szCs w:val="20"/>
        <w:lang w:val="en-ZA" w:eastAsia="en-ZA" w:bidi="en-ZA"/>
      </w:rPr>
    </w:lvl>
    <w:lvl w:ilvl="1" w:tplc="1C090003">
      <w:start w:val="1"/>
      <w:numFmt w:val="bullet"/>
      <w:lvlText w:val="o"/>
      <w:lvlJc w:val="left"/>
      <w:pPr>
        <w:ind w:left="1710" w:hanging="360"/>
      </w:pPr>
      <w:rPr>
        <w:rFonts w:ascii="Courier New" w:hAnsi="Courier New" w:cs="Courier New" w:hint="default"/>
      </w:rPr>
    </w:lvl>
    <w:lvl w:ilvl="2" w:tplc="1C090005">
      <w:start w:val="1"/>
      <w:numFmt w:val="bullet"/>
      <w:lvlText w:val=""/>
      <w:lvlJc w:val="left"/>
      <w:pPr>
        <w:ind w:left="2430" w:hanging="360"/>
      </w:pPr>
      <w:rPr>
        <w:rFonts w:ascii="Wingdings" w:hAnsi="Wingdings" w:hint="default"/>
      </w:rPr>
    </w:lvl>
    <w:lvl w:ilvl="3" w:tplc="1C090001">
      <w:start w:val="1"/>
      <w:numFmt w:val="bullet"/>
      <w:lvlText w:val=""/>
      <w:lvlJc w:val="left"/>
      <w:pPr>
        <w:ind w:left="3150" w:hanging="360"/>
      </w:pPr>
      <w:rPr>
        <w:rFonts w:ascii="Symbol" w:hAnsi="Symbol" w:hint="default"/>
      </w:rPr>
    </w:lvl>
    <w:lvl w:ilvl="4" w:tplc="1C090003">
      <w:start w:val="1"/>
      <w:numFmt w:val="bullet"/>
      <w:lvlText w:val="o"/>
      <w:lvlJc w:val="left"/>
      <w:pPr>
        <w:ind w:left="3870" w:hanging="360"/>
      </w:pPr>
      <w:rPr>
        <w:rFonts w:ascii="Courier New" w:hAnsi="Courier New" w:cs="Courier New" w:hint="default"/>
      </w:rPr>
    </w:lvl>
    <w:lvl w:ilvl="5" w:tplc="1C090005">
      <w:start w:val="1"/>
      <w:numFmt w:val="bullet"/>
      <w:lvlText w:val=""/>
      <w:lvlJc w:val="left"/>
      <w:pPr>
        <w:ind w:left="4590" w:hanging="360"/>
      </w:pPr>
      <w:rPr>
        <w:rFonts w:ascii="Wingdings" w:hAnsi="Wingdings" w:hint="default"/>
      </w:rPr>
    </w:lvl>
    <w:lvl w:ilvl="6" w:tplc="1C090001">
      <w:start w:val="1"/>
      <w:numFmt w:val="bullet"/>
      <w:lvlText w:val=""/>
      <w:lvlJc w:val="left"/>
      <w:pPr>
        <w:ind w:left="5310" w:hanging="360"/>
      </w:pPr>
      <w:rPr>
        <w:rFonts w:ascii="Symbol" w:hAnsi="Symbol" w:hint="default"/>
      </w:rPr>
    </w:lvl>
    <w:lvl w:ilvl="7" w:tplc="1C090003">
      <w:start w:val="1"/>
      <w:numFmt w:val="bullet"/>
      <w:lvlText w:val="o"/>
      <w:lvlJc w:val="left"/>
      <w:pPr>
        <w:ind w:left="6030" w:hanging="360"/>
      </w:pPr>
      <w:rPr>
        <w:rFonts w:ascii="Courier New" w:hAnsi="Courier New" w:cs="Courier New" w:hint="default"/>
      </w:rPr>
    </w:lvl>
    <w:lvl w:ilvl="8" w:tplc="1C090005">
      <w:start w:val="1"/>
      <w:numFmt w:val="bullet"/>
      <w:lvlText w:val=""/>
      <w:lvlJc w:val="left"/>
      <w:pPr>
        <w:ind w:left="6750" w:hanging="360"/>
      </w:pPr>
      <w:rPr>
        <w:rFonts w:ascii="Wingdings" w:hAnsi="Wingdings" w:hint="default"/>
      </w:rPr>
    </w:lvl>
  </w:abstractNum>
  <w:abstractNum w:abstractNumId="15" w15:restartNumberingAfterBreak="0">
    <w:nsid w:val="60D353A9"/>
    <w:multiLevelType w:val="multilevel"/>
    <w:tmpl w:val="1A74547A"/>
    <w:lvl w:ilvl="0">
      <w:start w:val="1"/>
      <w:numFmt w:val="decimal"/>
      <w:lvlText w:val="%1"/>
      <w:lvlJc w:val="left"/>
      <w:pPr>
        <w:ind w:left="1160" w:hanging="852"/>
      </w:pPr>
      <w:rPr>
        <w:rFonts w:ascii="Arial" w:eastAsia="Arial" w:hAnsi="Arial" w:cs="Arial" w:hint="default"/>
        <w:b/>
        <w:bCs/>
        <w:color w:val="00567D"/>
        <w:w w:val="100"/>
        <w:sz w:val="28"/>
        <w:szCs w:val="28"/>
        <w:lang w:val="en-ZA" w:eastAsia="en-ZA" w:bidi="en-ZA"/>
      </w:rPr>
    </w:lvl>
    <w:lvl w:ilvl="1">
      <w:start w:val="1"/>
      <w:numFmt w:val="decimal"/>
      <w:lvlText w:val="%1.%2"/>
      <w:lvlJc w:val="left"/>
      <w:pPr>
        <w:ind w:left="1160" w:hanging="852"/>
      </w:pPr>
      <w:rPr>
        <w:rFonts w:ascii="Arial" w:eastAsia="Arial" w:hAnsi="Arial" w:cs="Arial" w:hint="default"/>
        <w:b/>
        <w:bCs/>
        <w:color w:val="00567D"/>
        <w:spacing w:val="-1"/>
        <w:w w:val="99"/>
        <w:sz w:val="26"/>
        <w:szCs w:val="26"/>
        <w:lang w:val="en-ZA" w:eastAsia="en-ZA" w:bidi="en-ZA"/>
      </w:rPr>
    </w:lvl>
    <w:lvl w:ilvl="2">
      <w:numFmt w:val="bullet"/>
      <w:lvlText w:val=""/>
      <w:lvlJc w:val="left"/>
      <w:pPr>
        <w:ind w:left="1028" w:hanging="360"/>
      </w:pPr>
      <w:rPr>
        <w:rFonts w:ascii="Wingdings" w:eastAsia="Wingdings" w:hAnsi="Wingdings" w:cs="Wingdings" w:hint="default"/>
        <w:color w:val="00567D"/>
        <w:w w:val="99"/>
        <w:sz w:val="20"/>
        <w:szCs w:val="20"/>
        <w:lang w:val="en-ZA" w:eastAsia="en-ZA" w:bidi="en-ZA"/>
      </w:rPr>
    </w:lvl>
    <w:lvl w:ilvl="3">
      <w:numFmt w:val="bullet"/>
      <w:lvlText w:val="•"/>
      <w:lvlJc w:val="left"/>
      <w:pPr>
        <w:ind w:left="3188" w:hanging="360"/>
      </w:pPr>
      <w:rPr>
        <w:lang w:val="en-ZA" w:eastAsia="en-ZA" w:bidi="en-ZA"/>
      </w:rPr>
    </w:lvl>
    <w:lvl w:ilvl="4">
      <w:numFmt w:val="bullet"/>
      <w:lvlText w:val="•"/>
      <w:lvlJc w:val="left"/>
      <w:pPr>
        <w:ind w:left="4202" w:hanging="360"/>
      </w:pPr>
      <w:rPr>
        <w:lang w:val="en-ZA" w:eastAsia="en-ZA" w:bidi="en-ZA"/>
      </w:rPr>
    </w:lvl>
    <w:lvl w:ilvl="5">
      <w:numFmt w:val="bullet"/>
      <w:lvlText w:val="•"/>
      <w:lvlJc w:val="left"/>
      <w:pPr>
        <w:ind w:left="5216" w:hanging="360"/>
      </w:pPr>
      <w:rPr>
        <w:lang w:val="en-ZA" w:eastAsia="en-ZA" w:bidi="en-ZA"/>
      </w:rPr>
    </w:lvl>
    <w:lvl w:ilvl="6">
      <w:numFmt w:val="bullet"/>
      <w:lvlText w:val="•"/>
      <w:lvlJc w:val="left"/>
      <w:pPr>
        <w:ind w:left="6230" w:hanging="360"/>
      </w:pPr>
      <w:rPr>
        <w:lang w:val="en-ZA" w:eastAsia="en-ZA" w:bidi="en-ZA"/>
      </w:rPr>
    </w:lvl>
    <w:lvl w:ilvl="7">
      <w:numFmt w:val="bullet"/>
      <w:lvlText w:val="•"/>
      <w:lvlJc w:val="left"/>
      <w:pPr>
        <w:ind w:left="7244" w:hanging="360"/>
      </w:pPr>
      <w:rPr>
        <w:lang w:val="en-ZA" w:eastAsia="en-ZA" w:bidi="en-ZA"/>
      </w:rPr>
    </w:lvl>
    <w:lvl w:ilvl="8">
      <w:numFmt w:val="bullet"/>
      <w:lvlText w:val="•"/>
      <w:lvlJc w:val="left"/>
      <w:pPr>
        <w:ind w:left="8258" w:hanging="360"/>
      </w:pPr>
      <w:rPr>
        <w:lang w:val="en-ZA" w:eastAsia="en-ZA" w:bidi="en-ZA"/>
      </w:rPr>
    </w:lvl>
  </w:abstractNum>
  <w:abstractNum w:abstractNumId="16" w15:restartNumberingAfterBreak="0">
    <w:nsid w:val="639926A8"/>
    <w:multiLevelType w:val="hybridMultilevel"/>
    <w:tmpl w:val="74AC836E"/>
    <w:lvl w:ilvl="0" w:tplc="04090005">
      <w:start w:val="1"/>
      <w:numFmt w:val="bullet"/>
      <w:lvlText w:val=""/>
      <w:lvlJc w:val="left"/>
      <w:pPr>
        <w:ind w:left="668" w:hanging="360"/>
      </w:pPr>
      <w:rPr>
        <w:rFonts w:ascii="Wingdings" w:hAnsi="Wingdings" w:hint="default"/>
      </w:rPr>
    </w:lvl>
    <w:lvl w:ilvl="1" w:tplc="04090003" w:tentative="1">
      <w:start w:val="1"/>
      <w:numFmt w:val="bullet"/>
      <w:lvlText w:val="o"/>
      <w:lvlJc w:val="left"/>
      <w:pPr>
        <w:ind w:left="1388" w:hanging="360"/>
      </w:pPr>
      <w:rPr>
        <w:rFonts w:ascii="Courier New" w:hAnsi="Courier New" w:cs="Courier New" w:hint="default"/>
      </w:rPr>
    </w:lvl>
    <w:lvl w:ilvl="2" w:tplc="04090005" w:tentative="1">
      <w:start w:val="1"/>
      <w:numFmt w:val="bullet"/>
      <w:lvlText w:val=""/>
      <w:lvlJc w:val="left"/>
      <w:pPr>
        <w:ind w:left="2108" w:hanging="360"/>
      </w:pPr>
      <w:rPr>
        <w:rFonts w:ascii="Wingdings" w:hAnsi="Wingdings" w:hint="default"/>
      </w:rPr>
    </w:lvl>
    <w:lvl w:ilvl="3" w:tplc="04090001" w:tentative="1">
      <w:start w:val="1"/>
      <w:numFmt w:val="bullet"/>
      <w:lvlText w:val=""/>
      <w:lvlJc w:val="left"/>
      <w:pPr>
        <w:ind w:left="2828" w:hanging="360"/>
      </w:pPr>
      <w:rPr>
        <w:rFonts w:ascii="Symbol" w:hAnsi="Symbol" w:hint="default"/>
      </w:rPr>
    </w:lvl>
    <w:lvl w:ilvl="4" w:tplc="04090003" w:tentative="1">
      <w:start w:val="1"/>
      <w:numFmt w:val="bullet"/>
      <w:lvlText w:val="o"/>
      <w:lvlJc w:val="left"/>
      <w:pPr>
        <w:ind w:left="3548" w:hanging="360"/>
      </w:pPr>
      <w:rPr>
        <w:rFonts w:ascii="Courier New" w:hAnsi="Courier New" w:cs="Courier New" w:hint="default"/>
      </w:rPr>
    </w:lvl>
    <w:lvl w:ilvl="5" w:tplc="04090005" w:tentative="1">
      <w:start w:val="1"/>
      <w:numFmt w:val="bullet"/>
      <w:lvlText w:val=""/>
      <w:lvlJc w:val="left"/>
      <w:pPr>
        <w:ind w:left="4268" w:hanging="360"/>
      </w:pPr>
      <w:rPr>
        <w:rFonts w:ascii="Wingdings" w:hAnsi="Wingdings" w:hint="default"/>
      </w:rPr>
    </w:lvl>
    <w:lvl w:ilvl="6" w:tplc="04090001" w:tentative="1">
      <w:start w:val="1"/>
      <w:numFmt w:val="bullet"/>
      <w:lvlText w:val=""/>
      <w:lvlJc w:val="left"/>
      <w:pPr>
        <w:ind w:left="4988" w:hanging="360"/>
      </w:pPr>
      <w:rPr>
        <w:rFonts w:ascii="Symbol" w:hAnsi="Symbol" w:hint="default"/>
      </w:rPr>
    </w:lvl>
    <w:lvl w:ilvl="7" w:tplc="04090003" w:tentative="1">
      <w:start w:val="1"/>
      <w:numFmt w:val="bullet"/>
      <w:lvlText w:val="o"/>
      <w:lvlJc w:val="left"/>
      <w:pPr>
        <w:ind w:left="5708" w:hanging="360"/>
      </w:pPr>
      <w:rPr>
        <w:rFonts w:ascii="Courier New" w:hAnsi="Courier New" w:cs="Courier New" w:hint="default"/>
      </w:rPr>
    </w:lvl>
    <w:lvl w:ilvl="8" w:tplc="04090005" w:tentative="1">
      <w:start w:val="1"/>
      <w:numFmt w:val="bullet"/>
      <w:lvlText w:val=""/>
      <w:lvlJc w:val="left"/>
      <w:pPr>
        <w:ind w:left="6428" w:hanging="360"/>
      </w:pPr>
      <w:rPr>
        <w:rFonts w:ascii="Wingdings" w:hAnsi="Wingdings" w:hint="default"/>
      </w:rPr>
    </w:lvl>
  </w:abstractNum>
  <w:abstractNum w:abstractNumId="17" w15:restartNumberingAfterBreak="0">
    <w:nsid w:val="645B4952"/>
    <w:multiLevelType w:val="hybridMultilevel"/>
    <w:tmpl w:val="423C86BC"/>
    <w:lvl w:ilvl="0" w:tplc="1C09001B">
      <w:start w:val="1"/>
      <w:numFmt w:val="lowerRoman"/>
      <w:lvlText w:val="%1."/>
      <w:lvlJc w:val="right"/>
      <w:pPr>
        <w:ind w:left="1080" w:hanging="360"/>
      </w:p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18" w15:restartNumberingAfterBreak="0">
    <w:nsid w:val="66EE72C0"/>
    <w:multiLevelType w:val="hybridMultilevel"/>
    <w:tmpl w:val="C89820D2"/>
    <w:lvl w:ilvl="0" w:tplc="04090005">
      <w:start w:val="1"/>
      <w:numFmt w:val="bullet"/>
      <w:lvlText w:val=""/>
      <w:lvlJc w:val="left"/>
      <w:pPr>
        <w:ind w:left="1028" w:hanging="360"/>
      </w:pPr>
      <w:rPr>
        <w:rFonts w:ascii="Wingdings" w:hAnsi="Wingdings" w:hint="default"/>
        <w:color w:val="00567D"/>
        <w:w w:val="99"/>
        <w:sz w:val="20"/>
        <w:szCs w:val="20"/>
        <w:lang w:val="en-ZA" w:eastAsia="en-ZA" w:bidi="en-ZA"/>
      </w:rPr>
    </w:lvl>
    <w:lvl w:ilvl="1" w:tplc="FFFFFFFF">
      <w:numFmt w:val="bullet"/>
      <w:lvlText w:val="•"/>
      <w:lvlJc w:val="left"/>
      <w:pPr>
        <w:ind w:left="1946" w:hanging="360"/>
      </w:pPr>
      <w:rPr>
        <w:lang w:val="en-ZA" w:eastAsia="en-ZA" w:bidi="en-ZA"/>
      </w:rPr>
    </w:lvl>
    <w:lvl w:ilvl="2" w:tplc="FFFFFFFF">
      <w:numFmt w:val="bullet"/>
      <w:lvlText w:val="•"/>
      <w:lvlJc w:val="left"/>
      <w:pPr>
        <w:ind w:left="2873" w:hanging="360"/>
      </w:pPr>
      <w:rPr>
        <w:lang w:val="en-ZA" w:eastAsia="en-ZA" w:bidi="en-ZA"/>
      </w:rPr>
    </w:lvl>
    <w:lvl w:ilvl="3" w:tplc="FFFFFFFF">
      <w:numFmt w:val="bullet"/>
      <w:lvlText w:val="•"/>
      <w:lvlJc w:val="left"/>
      <w:pPr>
        <w:ind w:left="3799" w:hanging="360"/>
      </w:pPr>
      <w:rPr>
        <w:lang w:val="en-ZA" w:eastAsia="en-ZA" w:bidi="en-ZA"/>
      </w:rPr>
    </w:lvl>
    <w:lvl w:ilvl="4" w:tplc="FFFFFFFF">
      <w:numFmt w:val="bullet"/>
      <w:lvlText w:val="•"/>
      <w:lvlJc w:val="left"/>
      <w:pPr>
        <w:ind w:left="4726" w:hanging="360"/>
      </w:pPr>
      <w:rPr>
        <w:lang w:val="en-ZA" w:eastAsia="en-ZA" w:bidi="en-ZA"/>
      </w:rPr>
    </w:lvl>
    <w:lvl w:ilvl="5" w:tplc="FFFFFFFF">
      <w:numFmt w:val="bullet"/>
      <w:lvlText w:val="•"/>
      <w:lvlJc w:val="left"/>
      <w:pPr>
        <w:ind w:left="5653" w:hanging="360"/>
      </w:pPr>
      <w:rPr>
        <w:lang w:val="en-ZA" w:eastAsia="en-ZA" w:bidi="en-ZA"/>
      </w:rPr>
    </w:lvl>
    <w:lvl w:ilvl="6" w:tplc="FFFFFFFF">
      <w:numFmt w:val="bullet"/>
      <w:lvlText w:val="•"/>
      <w:lvlJc w:val="left"/>
      <w:pPr>
        <w:ind w:left="6579" w:hanging="360"/>
      </w:pPr>
      <w:rPr>
        <w:lang w:val="en-ZA" w:eastAsia="en-ZA" w:bidi="en-ZA"/>
      </w:rPr>
    </w:lvl>
    <w:lvl w:ilvl="7" w:tplc="FFFFFFFF">
      <w:numFmt w:val="bullet"/>
      <w:lvlText w:val="•"/>
      <w:lvlJc w:val="left"/>
      <w:pPr>
        <w:ind w:left="7506" w:hanging="360"/>
      </w:pPr>
      <w:rPr>
        <w:lang w:val="en-ZA" w:eastAsia="en-ZA" w:bidi="en-ZA"/>
      </w:rPr>
    </w:lvl>
    <w:lvl w:ilvl="8" w:tplc="FFFFFFFF">
      <w:numFmt w:val="bullet"/>
      <w:lvlText w:val="•"/>
      <w:lvlJc w:val="left"/>
      <w:pPr>
        <w:ind w:left="8433" w:hanging="360"/>
      </w:pPr>
      <w:rPr>
        <w:lang w:val="en-ZA" w:eastAsia="en-ZA" w:bidi="en-ZA"/>
      </w:rPr>
    </w:lvl>
  </w:abstractNum>
  <w:abstractNum w:abstractNumId="19" w15:restartNumberingAfterBreak="0">
    <w:nsid w:val="6F223048"/>
    <w:multiLevelType w:val="hybridMultilevel"/>
    <w:tmpl w:val="18606304"/>
    <w:lvl w:ilvl="0" w:tplc="04090005">
      <w:start w:val="1"/>
      <w:numFmt w:val="bullet"/>
      <w:lvlText w:val=""/>
      <w:lvlJc w:val="left"/>
      <w:pPr>
        <w:ind w:left="1028" w:hanging="360"/>
      </w:pPr>
      <w:rPr>
        <w:rFonts w:ascii="Wingdings" w:hAnsi="Wingdings" w:hint="default"/>
        <w:color w:val="00567D"/>
        <w:w w:val="99"/>
        <w:sz w:val="20"/>
        <w:szCs w:val="20"/>
        <w:lang w:val="en-ZA" w:eastAsia="en-ZA" w:bidi="en-ZA"/>
      </w:rPr>
    </w:lvl>
    <w:lvl w:ilvl="1" w:tplc="FFFFFFFF">
      <w:numFmt w:val="bullet"/>
      <w:lvlText w:val="•"/>
      <w:lvlJc w:val="left"/>
      <w:pPr>
        <w:ind w:left="1946" w:hanging="360"/>
      </w:pPr>
      <w:rPr>
        <w:lang w:val="en-ZA" w:eastAsia="en-ZA" w:bidi="en-ZA"/>
      </w:rPr>
    </w:lvl>
    <w:lvl w:ilvl="2" w:tplc="FFFFFFFF">
      <w:numFmt w:val="bullet"/>
      <w:lvlText w:val="•"/>
      <w:lvlJc w:val="left"/>
      <w:pPr>
        <w:ind w:left="2873" w:hanging="360"/>
      </w:pPr>
      <w:rPr>
        <w:lang w:val="en-ZA" w:eastAsia="en-ZA" w:bidi="en-ZA"/>
      </w:rPr>
    </w:lvl>
    <w:lvl w:ilvl="3" w:tplc="FFFFFFFF">
      <w:numFmt w:val="bullet"/>
      <w:lvlText w:val="•"/>
      <w:lvlJc w:val="left"/>
      <w:pPr>
        <w:ind w:left="3799" w:hanging="360"/>
      </w:pPr>
      <w:rPr>
        <w:lang w:val="en-ZA" w:eastAsia="en-ZA" w:bidi="en-ZA"/>
      </w:rPr>
    </w:lvl>
    <w:lvl w:ilvl="4" w:tplc="FFFFFFFF">
      <w:numFmt w:val="bullet"/>
      <w:lvlText w:val="•"/>
      <w:lvlJc w:val="left"/>
      <w:pPr>
        <w:ind w:left="4726" w:hanging="360"/>
      </w:pPr>
      <w:rPr>
        <w:lang w:val="en-ZA" w:eastAsia="en-ZA" w:bidi="en-ZA"/>
      </w:rPr>
    </w:lvl>
    <w:lvl w:ilvl="5" w:tplc="FFFFFFFF">
      <w:numFmt w:val="bullet"/>
      <w:lvlText w:val="•"/>
      <w:lvlJc w:val="left"/>
      <w:pPr>
        <w:ind w:left="5653" w:hanging="360"/>
      </w:pPr>
      <w:rPr>
        <w:lang w:val="en-ZA" w:eastAsia="en-ZA" w:bidi="en-ZA"/>
      </w:rPr>
    </w:lvl>
    <w:lvl w:ilvl="6" w:tplc="FFFFFFFF">
      <w:numFmt w:val="bullet"/>
      <w:lvlText w:val="•"/>
      <w:lvlJc w:val="left"/>
      <w:pPr>
        <w:ind w:left="6579" w:hanging="360"/>
      </w:pPr>
      <w:rPr>
        <w:lang w:val="en-ZA" w:eastAsia="en-ZA" w:bidi="en-ZA"/>
      </w:rPr>
    </w:lvl>
    <w:lvl w:ilvl="7" w:tplc="FFFFFFFF">
      <w:numFmt w:val="bullet"/>
      <w:lvlText w:val="•"/>
      <w:lvlJc w:val="left"/>
      <w:pPr>
        <w:ind w:left="7506" w:hanging="360"/>
      </w:pPr>
      <w:rPr>
        <w:lang w:val="en-ZA" w:eastAsia="en-ZA" w:bidi="en-ZA"/>
      </w:rPr>
    </w:lvl>
    <w:lvl w:ilvl="8" w:tplc="FFFFFFFF">
      <w:numFmt w:val="bullet"/>
      <w:lvlText w:val="•"/>
      <w:lvlJc w:val="left"/>
      <w:pPr>
        <w:ind w:left="8433" w:hanging="360"/>
      </w:pPr>
      <w:rPr>
        <w:lang w:val="en-ZA" w:eastAsia="en-ZA" w:bidi="en-ZA"/>
      </w:rPr>
    </w:lvl>
  </w:abstractNum>
  <w:abstractNum w:abstractNumId="20" w15:restartNumberingAfterBreak="0">
    <w:nsid w:val="74652970"/>
    <w:multiLevelType w:val="hybridMultilevel"/>
    <w:tmpl w:val="F1DE999C"/>
    <w:lvl w:ilvl="0" w:tplc="9EF46B40">
      <w:numFmt w:val="bullet"/>
      <w:lvlText w:val=""/>
      <w:lvlJc w:val="left"/>
      <w:pPr>
        <w:ind w:left="719" w:hanging="360"/>
      </w:pPr>
      <w:rPr>
        <w:rFonts w:ascii="Wingdings" w:eastAsia="Wingdings" w:hAnsi="Wingdings" w:cs="Wingdings" w:hint="default"/>
        <w:color w:val="00567D"/>
        <w:w w:val="100"/>
        <w:sz w:val="18"/>
        <w:szCs w:val="18"/>
        <w:lang w:val="en-ZA" w:eastAsia="en-ZA" w:bidi="en-ZA"/>
      </w:rPr>
    </w:lvl>
    <w:lvl w:ilvl="1" w:tplc="EE26AFEC">
      <w:numFmt w:val="bullet"/>
      <w:lvlText w:val="•"/>
      <w:lvlJc w:val="left"/>
      <w:pPr>
        <w:ind w:left="1347" w:hanging="360"/>
      </w:pPr>
      <w:rPr>
        <w:lang w:val="en-ZA" w:eastAsia="en-ZA" w:bidi="en-ZA"/>
      </w:rPr>
    </w:lvl>
    <w:lvl w:ilvl="2" w:tplc="81C29452">
      <w:numFmt w:val="bullet"/>
      <w:lvlText w:val="•"/>
      <w:lvlJc w:val="left"/>
      <w:pPr>
        <w:ind w:left="1975" w:hanging="360"/>
      </w:pPr>
      <w:rPr>
        <w:lang w:val="en-ZA" w:eastAsia="en-ZA" w:bidi="en-ZA"/>
      </w:rPr>
    </w:lvl>
    <w:lvl w:ilvl="3" w:tplc="B60C7B76">
      <w:numFmt w:val="bullet"/>
      <w:lvlText w:val="•"/>
      <w:lvlJc w:val="left"/>
      <w:pPr>
        <w:ind w:left="2602" w:hanging="360"/>
      </w:pPr>
      <w:rPr>
        <w:lang w:val="en-ZA" w:eastAsia="en-ZA" w:bidi="en-ZA"/>
      </w:rPr>
    </w:lvl>
    <w:lvl w:ilvl="4" w:tplc="BFDCE5F2">
      <w:numFmt w:val="bullet"/>
      <w:lvlText w:val="•"/>
      <w:lvlJc w:val="left"/>
      <w:pPr>
        <w:ind w:left="3230" w:hanging="360"/>
      </w:pPr>
      <w:rPr>
        <w:lang w:val="en-ZA" w:eastAsia="en-ZA" w:bidi="en-ZA"/>
      </w:rPr>
    </w:lvl>
    <w:lvl w:ilvl="5" w:tplc="FC62FEB8">
      <w:numFmt w:val="bullet"/>
      <w:lvlText w:val="•"/>
      <w:lvlJc w:val="left"/>
      <w:pPr>
        <w:ind w:left="3857" w:hanging="360"/>
      </w:pPr>
      <w:rPr>
        <w:lang w:val="en-ZA" w:eastAsia="en-ZA" w:bidi="en-ZA"/>
      </w:rPr>
    </w:lvl>
    <w:lvl w:ilvl="6" w:tplc="A482A7C4">
      <w:numFmt w:val="bullet"/>
      <w:lvlText w:val="•"/>
      <w:lvlJc w:val="left"/>
      <w:pPr>
        <w:ind w:left="4485" w:hanging="360"/>
      </w:pPr>
      <w:rPr>
        <w:lang w:val="en-ZA" w:eastAsia="en-ZA" w:bidi="en-ZA"/>
      </w:rPr>
    </w:lvl>
    <w:lvl w:ilvl="7" w:tplc="7592EE54">
      <w:numFmt w:val="bullet"/>
      <w:lvlText w:val="•"/>
      <w:lvlJc w:val="left"/>
      <w:pPr>
        <w:ind w:left="5112" w:hanging="360"/>
      </w:pPr>
      <w:rPr>
        <w:lang w:val="en-ZA" w:eastAsia="en-ZA" w:bidi="en-ZA"/>
      </w:rPr>
    </w:lvl>
    <w:lvl w:ilvl="8" w:tplc="C6042ED4">
      <w:numFmt w:val="bullet"/>
      <w:lvlText w:val="•"/>
      <w:lvlJc w:val="left"/>
      <w:pPr>
        <w:ind w:left="5740" w:hanging="360"/>
      </w:pPr>
      <w:rPr>
        <w:lang w:val="en-ZA" w:eastAsia="en-ZA" w:bidi="en-ZA"/>
      </w:rPr>
    </w:lvl>
  </w:abstractNum>
  <w:abstractNum w:abstractNumId="21" w15:restartNumberingAfterBreak="0">
    <w:nsid w:val="75852E27"/>
    <w:multiLevelType w:val="hybridMultilevel"/>
    <w:tmpl w:val="381E2A06"/>
    <w:lvl w:ilvl="0" w:tplc="1C09001B">
      <w:start w:val="1"/>
      <w:numFmt w:val="lowerRoman"/>
      <w:lvlText w:val="%1."/>
      <w:lvlJc w:val="right"/>
      <w:pPr>
        <w:ind w:left="1080" w:hanging="360"/>
      </w:p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22" w15:restartNumberingAfterBreak="0">
    <w:nsid w:val="7666797C"/>
    <w:multiLevelType w:val="multilevel"/>
    <w:tmpl w:val="D88C235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rPr>
        <w:b/>
        <w:bCs w:val="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78594C72"/>
    <w:multiLevelType w:val="hybridMultilevel"/>
    <w:tmpl w:val="CC4651A0"/>
    <w:lvl w:ilvl="0" w:tplc="BF5E0AFC">
      <w:numFmt w:val="bullet"/>
      <w:lvlText w:val=""/>
      <w:lvlJc w:val="left"/>
      <w:pPr>
        <w:ind w:left="719" w:hanging="360"/>
      </w:pPr>
      <w:rPr>
        <w:rFonts w:ascii="Wingdings" w:eastAsia="Wingdings" w:hAnsi="Wingdings" w:cs="Wingdings" w:hint="default"/>
        <w:color w:val="00567D"/>
        <w:w w:val="100"/>
        <w:sz w:val="18"/>
        <w:szCs w:val="18"/>
        <w:lang w:val="en-ZA" w:eastAsia="en-ZA" w:bidi="en-ZA"/>
      </w:rPr>
    </w:lvl>
    <w:lvl w:ilvl="1" w:tplc="D152C49A">
      <w:numFmt w:val="bullet"/>
      <w:lvlText w:val="•"/>
      <w:lvlJc w:val="left"/>
      <w:pPr>
        <w:ind w:left="1347" w:hanging="360"/>
      </w:pPr>
      <w:rPr>
        <w:lang w:val="en-ZA" w:eastAsia="en-ZA" w:bidi="en-ZA"/>
      </w:rPr>
    </w:lvl>
    <w:lvl w:ilvl="2" w:tplc="F5183458">
      <w:numFmt w:val="bullet"/>
      <w:lvlText w:val="•"/>
      <w:lvlJc w:val="left"/>
      <w:pPr>
        <w:ind w:left="1975" w:hanging="360"/>
      </w:pPr>
      <w:rPr>
        <w:lang w:val="en-ZA" w:eastAsia="en-ZA" w:bidi="en-ZA"/>
      </w:rPr>
    </w:lvl>
    <w:lvl w:ilvl="3" w:tplc="8DF42C2A">
      <w:numFmt w:val="bullet"/>
      <w:lvlText w:val="•"/>
      <w:lvlJc w:val="left"/>
      <w:pPr>
        <w:ind w:left="2602" w:hanging="360"/>
      </w:pPr>
      <w:rPr>
        <w:lang w:val="en-ZA" w:eastAsia="en-ZA" w:bidi="en-ZA"/>
      </w:rPr>
    </w:lvl>
    <w:lvl w:ilvl="4" w:tplc="9F203568">
      <w:numFmt w:val="bullet"/>
      <w:lvlText w:val="•"/>
      <w:lvlJc w:val="left"/>
      <w:pPr>
        <w:ind w:left="3230" w:hanging="360"/>
      </w:pPr>
      <w:rPr>
        <w:lang w:val="en-ZA" w:eastAsia="en-ZA" w:bidi="en-ZA"/>
      </w:rPr>
    </w:lvl>
    <w:lvl w:ilvl="5" w:tplc="5F7222E8">
      <w:numFmt w:val="bullet"/>
      <w:lvlText w:val="•"/>
      <w:lvlJc w:val="left"/>
      <w:pPr>
        <w:ind w:left="3857" w:hanging="360"/>
      </w:pPr>
      <w:rPr>
        <w:lang w:val="en-ZA" w:eastAsia="en-ZA" w:bidi="en-ZA"/>
      </w:rPr>
    </w:lvl>
    <w:lvl w:ilvl="6" w:tplc="991C4940">
      <w:numFmt w:val="bullet"/>
      <w:lvlText w:val="•"/>
      <w:lvlJc w:val="left"/>
      <w:pPr>
        <w:ind w:left="4485" w:hanging="360"/>
      </w:pPr>
      <w:rPr>
        <w:lang w:val="en-ZA" w:eastAsia="en-ZA" w:bidi="en-ZA"/>
      </w:rPr>
    </w:lvl>
    <w:lvl w:ilvl="7" w:tplc="7E4CBB5E">
      <w:numFmt w:val="bullet"/>
      <w:lvlText w:val="•"/>
      <w:lvlJc w:val="left"/>
      <w:pPr>
        <w:ind w:left="5112" w:hanging="360"/>
      </w:pPr>
      <w:rPr>
        <w:lang w:val="en-ZA" w:eastAsia="en-ZA" w:bidi="en-ZA"/>
      </w:rPr>
    </w:lvl>
    <w:lvl w:ilvl="8" w:tplc="7AB63C2A">
      <w:numFmt w:val="bullet"/>
      <w:lvlText w:val="•"/>
      <w:lvlJc w:val="left"/>
      <w:pPr>
        <w:ind w:left="5740" w:hanging="360"/>
      </w:pPr>
      <w:rPr>
        <w:lang w:val="en-ZA" w:eastAsia="en-ZA" w:bidi="en-ZA"/>
      </w:rPr>
    </w:lvl>
  </w:abstractNum>
  <w:abstractNum w:abstractNumId="24" w15:restartNumberingAfterBreak="0">
    <w:nsid w:val="78FA57A3"/>
    <w:multiLevelType w:val="hybridMultilevel"/>
    <w:tmpl w:val="5FB0371E"/>
    <w:lvl w:ilvl="0" w:tplc="04090005">
      <w:start w:val="1"/>
      <w:numFmt w:val="bullet"/>
      <w:lvlText w:val=""/>
      <w:lvlJc w:val="left"/>
      <w:pPr>
        <w:ind w:left="990" w:hanging="360"/>
      </w:pPr>
      <w:rPr>
        <w:rFonts w:ascii="Wingdings" w:hAnsi="Wingdings" w:hint="default"/>
        <w:color w:val="00567D"/>
        <w:w w:val="99"/>
        <w:sz w:val="20"/>
        <w:szCs w:val="20"/>
        <w:lang w:val="en-ZA" w:eastAsia="en-ZA" w:bidi="en-ZA"/>
      </w:rPr>
    </w:lvl>
    <w:lvl w:ilvl="1" w:tplc="FFFFFFFF">
      <w:start w:val="1"/>
      <w:numFmt w:val="bullet"/>
      <w:lvlText w:val="o"/>
      <w:lvlJc w:val="left"/>
      <w:pPr>
        <w:ind w:left="1710" w:hanging="360"/>
      </w:pPr>
      <w:rPr>
        <w:rFonts w:ascii="Courier New" w:hAnsi="Courier New" w:cs="Courier New" w:hint="default"/>
      </w:rPr>
    </w:lvl>
    <w:lvl w:ilvl="2" w:tplc="FFFFFFFF">
      <w:start w:val="1"/>
      <w:numFmt w:val="bullet"/>
      <w:lvlText w:val=""/>
      <w:lvlJc w:val="left"/>
      <w:pPr>
        <w:ind w:left="2430" w:hanging="360"/>
      </w:pPr>
      <w:rPr>
        <w:rFonts w:ascii="Wingdings" w:hAnsi="Wingdings" w:hint="default"/>
      </w:rPr>
    </w:lvl>
    <w:lvl w:ilvl="3" w:tplc="FFFFFFFF">
      <w:start w:val="1"/>
      <w:numFmt w:val="bullet"/>
      <w:lvlText w:val=""/>
      <w:lvlJc w:val="left"/>
      <w:pPr>
        <w:ind w:left="3150" w:hanging="360"/>
      </w:pPr>
      <w:rPr>
        <w:rFonts w:ascii="Symbol" w:hAnsi="Symbol" w:hint="default"/>
      </w:rPr>
    </w:lvl>
    <w:lvl w:ilvl="4" w:tplc="FFFFFFFF">
      <w:start w:val="1"/>
      <w:numFmt w:val="bullet"/>
      <w:lvlText w:val="o"/>
      <w:lvlJc w:val="left"/>
      <w:pPr>
        <w:ind w:left="3870" w:hanging="360"/>
      </w:pPr>
      <w:rPr>
        <w:rFonts w:ascii="Courier New" w:hAnsi="Courier New" w:cs="Courier New" w:hint="default"/>
      </w:rPr>
    </w:lvl>
    <w:lvl w:ilvl="5" w:tplc="FFFFFFFF">
      <w:start w:val="1"/>
      <w:numFmt w:val="bullet"/>
      <w:lvlText w:val=""/>
      <w:lvlJc w:val="left"/>
      <w:pPr>
        <w:ind w:left="4590" w:hanging="360"/>
      </w:pPr>
      <w:rPr>
        <w:rFonts w:ascii="Wingdings" w:hAnsi="Wingdings" w:hint="default"/>
      </w:rPr>
    </w:lvl>
    <w:lvl w:ilvl="6" w:tplc="FFFFFFFF">
      <w:start w:val="1"/>
      <w:numFmt w:val="bullet"/>
      <w:lvlText w:val=""/>
      <w:lvlJc w:val="left"/>
      <w:pPr>
        <w:ind w:left="5310" w:hanging="360"/>
      </w:pPr>
      <w:rPr>
        <w:rFonts w:ascii="Symbol" w:hAnsi="Symbol" w:hint="default"/>
      </w:rPr>
    </w:lvl>
    <w:lvl w:ilvl="7" w:tplc="FFFFFFFF">
      <w:start w:val="1"/>
      <w:numFmt w:val="bullet"/>
      <w:lvlText w:val="o"/>
      <w:lvlJc w:val="left"/>
      <w:pPr>
        <w:ind w:left="6030" w:hanging="360"/>
      </w:pPr>
      <w:rPr>
        <w:rFonts w:ascii="Courier New" w:hAnsi="Courier New" w:cs="Courier New" w:hint="default"/>
      </w:rPr>
    </w:lvl>
    <w:lvl w:ilvl="8" w:tplc="FFFFFFFF">
      <w:start w:val="1"/>
      <w:numFmt w:val="bullet"/>
      <w:lvlText w:val=""/>
      <w:lvlJc w:val="left"/>
      <w:pPr>
        <w:ind w:left="6750" w:hanging="360"/>
      </w:pPr>
      <w:rPr>
        <w:rFonts w:ascii="Wingdings" w:hAnsi="Wingdings" w:hint="default"/>
      </w:rPr>
    </w:lvl>
  </w:abstractNum>
  <w:abstractNum w:abstractNumId="25" w15:restartNumberingAfterBreak="0">
    <w:nsid w:val="7B651B3C"/>
    <w:multiLevelType w:val="hybridMultilevel"/>
    <w:tmpl w:val="1584D84C"/>
    <w:lvl w:ilvl="0" w:tplc="04090005">
      <w:start w:val="1"/>
      <w:numFmt w:val="bullet"/>
      <w:lvlText w:val=""/>
      <w:lvlJc w:val="left"/>
      <w:pPr>
        <w:ind w:left="668" w:hanging="360"/>
      </w:pPr>
      <w:rPr>
        <w:rFonts w:ascii="Wingdings" w:hAnsi="Wingdings" w:hint="default"/>
      </w:rPr>
    </w:lvl>
    <w:lvl w:ilvl="1" w:tplc="04090003" w:tentative="1">
      <w:start w:val="1"/>
      <w:numFmt w:val="bullet"/>
      <w:lvlText w:val="o"/>
      <w:lvlJc w:val="left"/>
      <w:pPr>
        <w:ind w:left="1388" w:hanging="360"/>
      </w:pPr>
      <w:rPr>
        <w:rFonts w:ascii="Courier New" w:hAnsi="Courier New" w:cs="Courier New" w:hint="default"/>
      </w:rPr>
    </w:lvl>
    <w:lvl w:ilvl="2" w:tplc="04090005" w:tentative="1">
      <w:start w:val="1"/>
      <w:numFmt w:val="bullet"/>
      <w:lvlText w:val=""/>
      <w:lvlJc w:val="left"/>
      <w:pPr>
        <w:ind w:left="2108" w:hanging="360"/>
      </w:pPr>
      <w:rPr>
        <w:rFonts w:ascii="Wingdings" w:hAnsi="Wingdings" w:hint="default"/>
      </w:rPr>
    </w:lvl>
    <w:lvl w:ilvl="3" w:tplc="04090001" w:tentative="1">
      <w:start w:val="1"/>
      <w:numFmt w:val="bullet"/>
      <w:lvlText w:val=""/>
      <w:lvlJc w:val="left"/>
      <w:pPr>
        <w:ind w:left="2828" w:hanging="360"/>
      </w:pPr>
      <w:rPr>
        <w:rFonts w:ascii="Symbol" w:hAnsi="Symbol" w:hint="default"/>
      </w:rPr>
    </w:lvl>
    <w:lvl w:ilvl="4" w:tplc="04090003" w:tentative="1">
      <w:start w:val="1"/>
      <w:numFmt w:val="bullet"/>
      <w:lvlText w:val="o"/>
      <w:lvlJc w:val="left"/>
      <w:pPr>
        <w:ind w:left="3548" w:hanging="360"/>
      </w:pPr>
      <w:rPr>
        <w:rFonts w:ascii="Courier New" w:hAnsi="Courier New" w:cs="Courier New" w:hint="default"/>
      </w:rPr>
    </w:lvl>
    <w:lvl w:ilvl="5" w:tplc="04090005" w:tentative="1">
      <w:start w:val="1"/>
      <w:numFmt w:val="bullet"/>
      <w:lvlText w:val=""/>
      <w:lvlJc w:val="left"/>
      <w:pPr>
        <w:ind w:left="4268" w:hanging="360"/>
      </w:pPr>
      <w:rPr>
        <w:rFonts w:ascii="Wingdings" w:hAnsi="Wingdings" w:hint="default"/>
      </w:rPr>
    </w:lvl>
    <w:lvl w:ilvl="6" w:tplc="04090001" w:tentative="1">
      <w:start w:val="1"/>
      <w:numFmt w:val="bullet"/>
      <w:lvlText w:val=""/>
      <w:lvlJc w:val="left"/>
      <w:pPr>
        <w:ind w:left="4988" w:hanging="360"/>
      </w:pPr>
      <w:rPr>
        <w:rFonts w:ascii="Symbol" w:hAnsi="Symbol" w:hint="default"/>
      </w:rPr>
    </w:lvl>
    <w:lvl w:ilvl="7" w:tplc="04090003" w:tentative="1">
      <w:start w:val="1"/>
      <w:numFmt w:val="bullet"/>
      <w:lvlText w:val="o"/>
      <w:lvlJc w:val="left"/>
      <w:pPr>
        <w:ind w:left="5708" w:hanging="360"/>
      </w:pPr>
      <w:rPr>
        <w:rFonts w:ascii="Courier New" w:hAnsi="Courier New" w:cs="Courier New" w:hint="default"/>
      </w:rPr>
    </w:lvl>
    <w:lvl w:ilvl="8" w:tplc="04090005" w:tentative="1">
      <w:start w:val="1"/>
      <w:numFmt w:val="bullet"/>
      <w:lvlText w:val=""/>
      <w:lvlJc w:val="left"/>
      <w:pPr>
        <w:ind w:left="6428" w:hanging="360"/>
      </w:pPr>
      <w:rPr>
        <w:rFonts w:ascii="Wingdings" w:hAnsi="Wingdings" w:hint="default"/>
      </w:rPr>
    </w:lvl>
  </w:abstractNum>
  <w:abstractNum w:abstractNumId="26" w15:restartNumberingAfterBreak="0">
    <w:nsid w:val="7F0F404A"/>
    <w:multiLevelType w:val="hybridMultilevel"/>
    <w:tmpl w:val="AE44F198"/>
    <w:lvl w:ilvl="0" w:tplc="04090003">
      <w:start w:val="1"/>
      <w:numFmt w:val="bullet"/>
      <w:lvlText w:val="o"/>
      <w:lvlJc w:val="left"/>
      <w:pPr>
        <w:ind w:left="1028" w:hanging="360"/>
      </w:pPr>
      <w:rPr>
        <w:rFonts w:ascii="Courier New" w:hAnsi="Courier New" w:cs="Courier New" w:hint="default"/>
      </w:rPr>
    </w:lvl>
    <w:lvl w:ilvl="1" w:tplc="FFFFFFFF" w:tentative="1">
      <w:start w:val="1"/>
      <w:numFmt w:val="bullet"/>
      <w:lvlText w:val="o"/>
      <w:lvlJc w:val="left"/>
      <w:pPr>
        <w:ind w:left="1748" w:hanging="360"/>
      </w:pPr>
      <w:rPr>
        <w:rFonts w:ascii="Courier New" w:hAnsi="Courier New" w:cs="Courier New" w:hint="default"/>
      </w:rPr>
    </w:lvl>
    <w:lvl w:ilvl="2" w:tplc="FFFFFFFF" w:tentative="1">
      <w:start w:val="1"/>
      <w:numFmt w:val="bullet"/>
      <w:lvlText w:val=""/>
      <w:lvlJc w:val="left"/>
      <w:pPr>
        <w:ind w:left="2468" w:hanging="360"/>
      </w:pPr>
      <w:rPr>
        <w:rFonts w:ascii="Wingdings" w:hAnsi="Wingdings" w:hint="default"/>
      </w:rPr>
    </w:lvl>
    <w:lvl w:ilvl="3" w:tplc="FFFFFFFF" w:tentative="1">
      <w:start w:val="1"/>
      <w:numFmt w:val="bullet"/>
      <w:lvlText w:val=""/>
      <w:lvlJc w:val="left"/>
      <w:pPr>
        <w:ind w:left="3188" w:hanging="360"/>
      </w:pPr>
      <w:rPr>
        <w:rFonts w:ascii="Symbol" w:hAnsi="Symbol" w:hint="default"/>
      </w:rPr>
    </w:lvl>
    <w:lvl w:ilvl="4" w:tplc="FFFFFFFF" w:tentative="1">
      <w:start w:val="1"/>
      <w:numFmt w:val="bullet"/>
      <w:lvlText w:val="o"/>
      <w:lvlJc w:val="left"/>
      <w:pPr>
        <w:ind w:left="3908" w:hanging="360"/>
      </w:pPr>
      <w:rPr>
        <w:rFonts w:ascii="Courier New" w:hAnsi="Courier New" w:cs="Courier New" w:hint="default"/>
      </w:rPr>
    </w:lvl>
    <w:lvl w:ilvl="5" w:tplc="FFFFFFFF" w:tentative="1">
      <w:start w:val="1"/>
      <w:numFmt w:val="bullet"/>
      <w:lvlText w:val=""/>
      <w:lvlJc w:val="left"/>
      <w:pPr>
        <w:ind w:left="4628" w:hanging="360"/>
      </w:pPr>
      <w:rPr>
        <w:rFonts w:ascii="Wingdings" w:hAnsi="Wingdings" w:hint="default"/>
      </w:rPr>
    </w:lvl>
    <w:lvl w:ilvl="6" w:tplc="FFFFFFFF" w:tentative="1">
      <w:start w:val="1"/>
      <w:numFmt w:val="bullet"/>
      <w:lvlText w:val=""/>
      <w:lvlJc w:val="left"/>
      <w:pPr>
        <w:ind w:left="5348" w:hanging="360"/>
      </w:pPr>
      <w:rPr>
        <w:rFonts w:ascii="Symbol" w:hAnsi="Symbol" w:hint="default"/>
      </w:rPr>
    </w:lvl>
    <w:lvl w:ilvl="7" w:tplc="FFFFFFFF" w:tentative="1">
      <w:start w:val="1"/>
      <w:numFmt w:val="bullet"/>
      <w:lvlText w:val="o"/>
      <w:lvlJc w:val="left"/>
      <w:pPr>
        <w:ind w:left="6068" w:hanging="360"/>
      </w:pPr>
      <w:rPr>
        <w:rFonts w:ascii="Courier New" w:hAnsi="Courier New" w:cs="Courier New" w:hint="default"/>
      </w:rPr>
    </w:lvl>
    <w:lvl w:ilvl="8" w:tplc="FFFFFFFF" w:tentative="1">
      <w:start w:val="1"/>
      <w:numFmt w:val="bullet"/>
      <w:lvlText w:val=""/>
      <w:lvlJc w:val="left"/>
      <w:pPr>
        <w:ind w:left="6788" w:hanging="360"/>
      </w:pPr>
      <w:rPr>
        <w:rFonts w:ascii="Wingdings" w:hAnsi="Wingdings" w:hint="default"/>
      </w:rPr>
    </w:lvl>
  </w:abstractNum>
  <w:num w:numId="1" w16cid:durableId="901910381">
    <w:abstractNumId w:val="22"/>
  </w:num>
  <w:num w:numId="2" w16cid:durableId="17064440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2881641">
    <w:abstractNumId w:val="14"/>
  </w:num>
  <w:num w:numId="4" w16cid:durableId="530607806">
    <w:abstractNumId w:val="14"/>
  </w:num>
  <w:num w:numId="5" w16cid:durableId="1913080527">
    <w:abstractNumId w:val="5"/>
  </w:num>
  <w:num w:numId="6" w16cid:durableId="1949390065">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7" w16cid:durableId="1609463041">
    <w:abstractNumId w:val="8"/>
  </w:num>
  <w:num w:numId="8" w16cid:durableId="565653386">
    <w:abstractNumId w:val="8"/>
  </w:num>
  <w:num w:numId="9" w16cid:durableId="2020891695">
    <w:abstractNumId w:val="3"/>
  </w:num>
  <w:num w:numId="10" w16cid:durableId="166797738">
    <w:abstractNumId w:val="3"/>
  </w:num>
  <w:num w:numId="11" w16cid:durableId="483157343">
    <w:abstractNumId w:val="20"/>
  </w:num>
  <w:num w:numId="12" w16cid:durableId="1346788540">
    <w:abstractNumId w:val="20"/>
  </w:num>
  <w:num w:numId="13" w16cid:durableId="1168209921">
    <w:abstractNumId w:val="23"/>
  </w:num>
  <w:num w:numId="14" w16cid:durableId="25106506">
    <w:abstractNumId w:val="23"/>
  </w:num>
  <w:num w:numId="15" w16cid:durableId="722288571">
    <w:abstractNumId w:val="9"/>
  </w:num>
  <w:num w:numId="16" w16cid:durableId="999888062">
    <w:abstractNumId w:val="9"/>
  </w:num>
  <w:num w:numId="17" w16cid:durableId="1824539991">
    <w:abstractNumId w:val="10"/>
  </w:num>
  <w:num w:numId="18" w16cid:durableId="394931812">
    <w:abstractNumId w:val="10"/>
  </w:num>
  <w:num w:numId="19" w16cid:durableId="1998798826">
    <w:abstractNumId w:val="6"/>
  </w:num>
  <w:num w:numId="20" w16cid:durableId="197279699">
    <w:abstractNumId w:val="6"/>
  </w:num>
  <w:num w:numId="21" w16cid:durableId="1863475167">
    <w:abstractNumId w:val="15"/>
  </w:num>
  <w:num w:numId="22" w16cid:durableId="1583755788">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23" w16cid:durableId="1146629600">
    <w:abstractNumId w:val="11"/>
  </w:num>
  <w:num w:numId="24" w16cid:durableId="1572156797">
    <w:abstractNumId w:val="11"/>
  </w:num>
  <w:num w:numId="25" w16cid:durableId="1833522536">
    <w:abstractNumId w:val="12"/>
  </w:num>
  <w:num w:numId="26" w16cid:durableId="755443754">
    <w:abstractNumId w:val="12"/>
  </w:num>
  <w:num w:numId="27" w16cid:durableId="602490988">
    <w:abstractNumId w:val="17"/>
  </w:num>
  <w:num w:numId="28" w16cid:durableId="14158606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32292147">
    <w:abstractNumId w:val="2"/>
  </w:num>
  <w:num w:numId="30" w16cid:durableId="15138827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2887428">
    <w:abstractNumId w:val="21"/>
  </w:num>
  <w:num w:numId="32" w16cid:durableId="8903127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5792685">
    <w:abstractNumId w:val="1"/>
  </w:num>
  <w:num w:numId="34" w16cid:durableId="18714122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57982753">
    <w:abstractNumId w:val="0"/>
  </w:num>
  <w:num w:numId="36" w16cid:durableId="971718252">
    <w:abstractNumId w:val="13"/>
  </w:num>
  <w:num w:numId="37" w16cid:durableId="2092922370">
    <w:abstractNumId w:val="7"/>
  </w:num>
  <w:num w:numId="38" w16cid:durableId="1158233406">
    <w:abstractNumId w:val="24"/>
  </w:num>
  <w:num w:numId="39" w16cid:durableId="2065832774">
    <w:abstractNumId w:val="22"/>
  </w:num>
  <w:num w:numId="40" w16cid:durableId="1746954210">
    <w:abstractNumId w:val="19"/>
  </w:num>
  <w:num w:numId="41" w16cid:durableId="1834485378">
    <w:abstractNumId w:val="18"/>
  </w:num>
  <w:num w:numId="42" w16cid:durableId="1739475264">
    <w:abstractNumId w:val="16"/>
  </w:num>
  <w:num w:numId="43" w16cid:durableId="477890425">
    <w:abstractNumId w:val="26"/>
  </w:num>
  <w:num w:numId="44" w16cid:durableId="752748253">
    <w:abstractNumId w:val="25"/>
  </w:num>
  <w:num w:numId="45" w16cid:durableId="7863106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66A"/>
    <w:rsid w:val="000C5758"/>
    <w:rsid w:val="000D5AB3"/>
    <w:rsid w:val="00917F04"/>
    <w:rsid w:val="00A30A9D"/>
    <w:rsid w:val="00B44C8B"/>
    <w:rsid w:val="00BE7246"/>
    <w:rsid w:val="00DC2ECE"/>
    <w:rsid w:val="00EA6A6E"/>
    <w:rsid w:val="00EE2172"/>
    <w:rsid w:val="00F41561"/>
    <w:rsid w:val="00F94828"/>
    <w:rsid w:val="00FB3743"/>
    <w:rsid w:val="00FD274A"/>
    <w:rsid w:val="00FD6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5BB3CF"/>
  <w15:chartTrackingRefBased/>
  <w15:docId w15:val="{A18A7C84-44EE-4D99-8A3B-6860DAE00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172"/>
    <w:pPr>
      <w:spacing w:after="0" w:line="268" w:lineRule="auto"/>
    </w:pPr>
    <w:rPr>
      <w:rFonts w:ascii="Arial" w:eastAsiaTheme="minorEastAsia" w:hAnsi="Arial"/>
      <w:color w:val="000000" w:themeColor="text1"/>
      <w:sz w:val="20"/>
      <w:szCs w:val="20"/>
      <w:lang w:val="en-GB" w:eastAsia="en-GB"/>
    </w:rPr>
  </w:style>
  <w:style w:type="paragraph" w:styleId="Heading1">
    <w:name w:val="heading 1"/>
    <w:basedOn w:val="Normal"/>
    <w:link w:val="Heading1Char"/>
    <w:uiPriority w:val="9"/>
    <w:qFormat/>
    <w:rsid w:val="000D5AB3"/>
    <w:pPr>
      <w:widowControl w:val="0"/>
      <w:numPr>
        <w:numId w:val="1"/>
      </w:numPr>
      <w:autoSpaceDE w:val="0"/>
      <w:autoSpaceDN w:val="0"/>
      <w:spacing w:line="240" w:lineRule="auto"/>
      <w:outlineLvl w:val="0"/>
    </w:pPr>
    <w:rPr>
      <w:rFonts w:eastAsia="Arial" w:cs="Arial"/>
      <w:b/>
      <w:bCs/>
      <w:color w:val="1F4E79" w:themeColor="accent5" w:themeShade="80"/>
      <w:sz w:val="28"/>
      <w:szCs w:val="28"/>
      <w:lang w:val="en-ZA" w:eastAsia="en-ZA" w:bidi="en-ZA"/>
    </w:rPr>
  </w:style>
  <w:style w:type="paragraph" w:styleId="Heading2">
    <w:name w:val="heading 2"/>
    <w:basedOn w:val="Normal"/>
    <w:link w:val="Heading2Char"/>
    <w:uiPriority w:val="9"/>
    <w:semiHidden/>
    <w:unhideWhenUsed/>
    <w:qFormat/>
    <w:rsid w:val="000D5AB3"/>
    <w:pPr>
      <w:widowControl w:val="0"/>
      <w:numPr>
        <w:ilvl w:val="1"/>
        <w:numId w:val="1"/>
      </w:numPr>
      <w:autoSpaceDE w:val="0"/>
      <w:autoSpaceDN w:val="0"/>
      <w:spacing w:line="240" w:lineRule="auto"/>
      <w:outlineLvl w:val="1"/>
    </w:pPr>
    <w:rPr>
      <w:rFonts w:eastAsia="Arial" w:cs="Arial"/>
      <w:b/>
      <w:bCs/>
      <w:color w:val="1F4E79" w:themeColor="accent5" w:themeShade="80"/>
      <w:sz w:val="26"/>
      <w:szCs w:val="26"/>
      <w:lang w:val="en-ZA" w:eastAsia="en-ZA" w:bidi="en-ZA"/>
    </w:rPr>
  </w:style>
  <w:style w:type="paragraph" w:styleId="Heading3">
    <w:name w:val="heading 3"/>
    <w:basedOn w:val="Normal"/>
    <w:link w:val="Heading3Char"/>
    <w:uiPriority w:val="9"/>
    <w:semiHidden/>
    <w:unhideWhenUsed/>
    <w:qFormat/>
    <w:rsid w:val="000D5AB3"/>
    <w:pPr>
      <w:widowControl w:val="0"/>
      <w:numPr>
        <w:ilvl w:val="2"/>
        <w:numId w:val="1"/>
      </w:numPr>
      <w:autoSpaceDE w:val="0"/>
      <w:autoSpaceDN w:val="0"/>
      <w:spacing w:line="240" w:lineRule="auto"/>
      <w:outlineLvl w:val="2"/>
    </w:pPr>
    <w:rPr>
      <w:rFonts w:eastAsia="Arial" w:cs="Arial"/>
      <w:b/>
      <w:bCs/>
      <w:i/>
      <w:color w:val="1F4E79" w:themeColor="accent5" w:themeShade="80"/>
      <w:sz w:val="24"/>
      <w:szCs w:val="24"/>
      <w:lang w:val="en-ZA" w:eastAsia="en-ZA" w:bidi="en-ZA"/>
    </w:rPr>
  </w:style>
  <w:style w:type="paragraph" w:styleId="Heading4">
    <w:name w:val="heading 4"/>
    <w:basedOn w:val="Normal"/>
    <w:link w:val="Heading4Char"/>
    <w:uiPriority w:val="9"/>
    <w:semiHidden/>
    <w:unhideWhenUsed/>
    <w:qFormat/>
    <w:rsid w:val="000D5AB3"/>
    <w:pPr>
      <w:widowControl w:val="0"/>
      <w:numPr>
        <w:ilvl w:val="3"/>
        <w:numId w:val="1"/>
      </w:numPr>
      <w:autoSpaceDE w:val="0"/>
      <w:autoSpaceDN w:val="0"/>
      <w:spacing w:before="150" w:line="240" w:lineRule="auto"/>
      <w:outlineLvl w:val="3"/>
    </w:pPr>
    <w:rPr>
      <w:rFonts w:eastAsia="Arial" w:cs="Arial"/>
      <w:bCs/>
      <w:i/>
      <w:color w:val="2E74B5" w:themeColor="accent5" w:themeShade="BF"/>
      <w:sz w:val="22"/>
      <w:szCs w:val="22"/>
      <w:lang w:val="en-ZA" w:eastAsia="en-ZA" w:bidi="en-ZA"/>
    </w:rPr>
  </w:style>
  <w:style w:type="paragraph" w:styleId="Heading5">
    <w:name w:val="heading 5"/>
    <w:basedOn w:val="Normal"/>
    <w:link w:val="Heading5Char"/>
    <w:uiPriority w:val="9"/>
    <w:semiHidden/>
    <w:unhideWhenUsed/>
    <w:qFormat/>
    <w:rsid w:val="000D5AB3"/>
    <w:pPr>
      <w:widowControl w:val="0"/>
      <w:numPr>
        <w:ilvl w:val="4"/>
        <w:numId w:val="1"/>
      </w:numPr>
      <w:autoSpaceDE w:val="0"/>
      <w:autoSpaceDN w:val="0"/>
      <w:spacing w:before="127" w:line="240" w:lineRule="auto"/>
      <w:outlineLvl w:val="4"/>
    </w:pPr>
    <w:rPr>
      <w:rFonts w:eastAsia="Arial" w:cs="Arial"/>
      <w:b/>
      <w:bCs/>
      <w:color w:val="auto"/>
      <w:lang w:val="en-ZA" w:eastAsia="en-ZA" w:bidi="en-ZA"/>
    </w:rPr>
  </w:style>
  <w:style w:type="paragraph" w:styleId="Heading6">
    <w:name w:val="heading 6"/>
    <w:basedOn w:val="Normal"/>
    <w:link w:val="Heading6Char"/>
    <w:uiPriority w:val="9"/>
    <w:semiHidden/>
    <w:unhideWhenUsed/>
    <w:qFormat/>
    <w:rsid w:val="000D5AB3"/>
    <w:pPr>
      <w:widowControl w:val="0"/>
      <w:numPr>
        <w:ilvl w:val="5"/>
        <w:numId w:val="1"/>
      </w:numPr>
      <w:autoSpaceDE w:val="0"/>
      <w:autoSpaceDN w:val="0"/>
      <w:spacing w:line="240" w:lineRule="auto"/>
      <w:jc w:val="both"/>
      <w:outlineLvl w:val="5"/>
    </w:pPr>
    <w:rPr>
      <w:rFonts w:eastAsia="Arial" w:cs="Arial"/>
      <w:b/>
      <w:bCs/>
      <w:i/>
      <w:color w:val="auto"/>
      <w:lang w:val="en-ZA" w:eastAsia="en-ZA" w:bidi="en-ZA"/>
    </w:rPr>
  </w:style>
  <w:style w:type="paragraph" w:styleId="Heading7">
    <w:name w:val="heading 7"/>
    <w:basedOn w:val="Normal"/>
    <w:next w:val="Normal"/>
    <w:link w:val="Heading7Char"/>
    <w:uiPriority w:val="9"/>
    <w:semiHidden/>
    <w:unhideWhenUsed/>
    <w:qFormat/>
    <w:rsid w:val="000D5AB3"/>
    <w:pPr>
      <w:keepNext/>
      <w:keepLines/>
      <w:widowControl w:val="0"/>
      <w:numPr>
        <w:ilvl w:val="6"/>
        <w:numId w:val="1"/>
      </w:numPr>
      <w:autoSpaceDE w:val="0"/>
      <w:autoSpaceDN w:val="0"/>
      <w:spacing w:before="40" w:line="240" w:lineRule="auto"/>
      <w:outlineLvl w:val="6"/>
    </w:pPr>
    <w:rPr>
      <w:rFonts w:asciiTheme="majorHAnsi" w:eastAsiaTheme="majorEastAsia" w:hAnsiTheme="majorHAnsi" w:cstheme="majorBidi"/>
      <w:i/>
      <w:iCs/>
      <w:color w:val="1F3763" w:themeColor="accent1" w:themeShade="7F"/>
      <w:sz w:val="22"/>
      <w:szCs w:val="22"/>
      <w:lang w:val="en-ZA" w:eastAsia="en-ZA" w:bidi="en-ZA"/>
    </w:rPr>
  </w:style>
  <w:style w:type="paragraph" w:styleId="Heading8">
    <w:name w:val="heading 8"/>
    <w:basedOn w:val="Normal"/>
    <w:next w:val="Normal"/>
    <w:link w:val="Heading8Char"/>
    <w:uiPriority w:val="9"/>
    <w:semiHidden/>
    <w:unhideWhenUsed/>
    <w:qFormat/>
    <w:rsid w:val="000D5AB3"/>
    <w:pPr>
      <w:keepNext/>
      <w:keepLines/>
      <w:widowControl w:val="0"/>
      <w:numPr>
        <w:ilvl w:val="7"/>
        <w:numId w:val="1"/>
      </w:numPr>
      <w:autoSpaceDE w:val="0"/>
      <w:autoSpaceDN w:val="0"/>
      <w:spacing w:before="40" w:line="240" w:lineRule="auto"/>
      <w:outlineLvl w:val="7"/>
    </w:pPr>
    <w:rPr>
      <w:rFonts w:asciiTheme="majorHAnsi" w:eastAsiaTheme="majorEastAsia" w:hAnsiTheme="majorHAnsi" w:cstheme="majorBidi"/>
      <w:color w:val="272727" w:themeColor="text1" w:themeTint="D8"/>
      <w:sz w:val="21"/>
      <w:szCs w:val="21"/>
      <w:lang w:val="en-ZA" w:eastAsia="en-ZA" w:bidi="en-ZA"/>
    </w:rPr>
  </w:style>
  <w:style w:type="paragraph" w:styleId="Heading9">
    <w:name w:val="heading 9"/>
    <w:basedOn w:val="Normal"/>
    <w:next w:val="Normal"/>
    <w:link w:val="Heading9Char"/>
    <w:uiPriority w:val="9"/>
    <w:semiHidden/>
    <w:unhideWhenUsed/>
    <w:qFormat/>
    <w:rsid w:val="000D5AB3"/>
    <w:pPr>
      <w:keepNext/>
      <w:keepLines/>
      <w:widowControl w:val="0"/>
      <w:numPr>
        <w:ilvl w:val="8"/>
        <w:numId w:val="1"/>
      </w:numPr>
      <w:autoSpaceDE w:val="0"/>
      <w:autoSpaceDN w:val="0"/>
      <w:spacing w:before="40" w:line="240" w:lineRule="auto"/>
      <w:outlineLvl w:val="8"/>
    </w:pPr>
    <w:rPr>
      <w:rFonts w:asciiTheme="majorHAnsi" w:eastAsiaTheme="majorEastAsia" w:hAnsiTheme="majorHAnsi" w:cstheme="majorBidi"/>
      <w:i/>
      <w:iCs/>
      <w:color w:val="272727" w:themeColor="text1" w:themeTint="D8"/>
      <w:sz w:val="21"/>
      <w:szCs w:val="21"/>
      <w:lang w:val="en-ZA" w:eastAsia="en-ZA" w:bidi="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LFrontPage">
    <w:name w:val="DLFrontPage"/>
    <w:uiPriority w:val="8"/>
    <w:rsid w:val="00EE2172"/>
    <w:pPr>
      <w:tabs>
        <w:tab w:val="left" w:pos="5940"/>
        <w:tab w:val="left" w:pos="6480"/>
      </w:tabs>
      <w:spacing w:after="220" w:line="280" w:lineRule="atLeast"/>
      <w:jc w:val="center"/>
    </w:pPr>
    <w:rPr>
      <w:rFonts w:ascii="Arial" w:hAnsi="Arial"/>
      <w:sz w:val="20"/>
      <w:szCs w:val="20"/>
      <w:lang w:val="en-GB"/>
    </w:rPr>
  </w:style>
  <w:style w:type="character" w:customStyle="1" w:styleId="Heading1Char">
    <w:name w:val="Heading 1 Char"/>
    <w:basedOn w:val="DefaultParagraphFont"/>
    <w:link w:val="Heading1"/>
    <w:uiPriority w:val="9"/>
    <w:rsid w:val="000D5AB3"/>
    <w:rPr>
      <w:rFonts w:ascii="Arial" w:eastAsia="Arial" w:hAnsi="Arial" w:cs="Arial"/>
      <w:b/>
      <w:bCs/>
      <w:color w:val="1F4E79" w:themeColor="accent5" w:themeShade="80"/>
      <w:sz w:val="28"/>
      <w:szCs w:val="28"/>
      <w:lang w:val="en-ZA" w:eastAsia="en-ZA" w:bidi="en-ZA"/>
    </w:rPr>
  </w:style>
  <w:style w:type="character" w:customStyle="1" w:styleId="Heading2Char">
    <w:name w:val="Heading 2 Char"/>
    <w:basedOn w:val="DefaultParagraphFont"/>
    <w:link w:val="Heading2"/>
    <w:uiPriority w:val="9"/>
    <w:semiHidden/>
    <w:rsid w:val="000D5AB3"/>
    <w:rPr>
      <w:rFonts w:ascii="Arial" w:eastAsia="Arial" w:hAnsi="Arial" w:cs="Arial"/>
      <w:b/>
      <w:bCs/>
      <w:color w:val="1F4E79" w:themeColor="accent5" w:themeShade="80"/>
      <w:sz w:val="26"/>
      <w:szCs w:val="26"/>
      <w:lang w:val="en-ZA" w:eastAsia="en-ZA" w:bidi="en-ZA"/>
    </w:rPr>
  </w:style>
  <w:style w:type="character" w:customStyle="1" w:styleId="Heading3Char">
    <w:name w:val="Heading 3 Char"/>
    <w:basedOn w:val="DefaultParagraphFont"/>
    <w:link w:val="Heading3"/>
    <w:uiPriority w:val="9"/>
    <w:semiHidden/>
    <w:rsid w:val="000D5AB3"/>
    <w:rPr>
      <w:rFonts w:ascii="Arial" w:eastAsia="Arial" w:hAnsi="Arial" w:cs="Arial"/>
      <w:b/>
      <w:bCs/>
      <w:i/>
      <w:color w:val="1F4E79" w:themeColor="accent5" w:themeShade="80"/>
      <w:sz w:val="24"/>
      <w:szCs w:val="24"/>
      <w:lang w:val="en-ZA" w:eastAsia="en-ZA" w:bidi="en-ZA"/>
    </w:rPr>
  </w:style>
  <w:style w:type="character" w:customStyle="1" w:styleId="Heading4Char">
    <w:name w:val="Heading 4 Char"/>
    <w:basedOn w:val="DefaultParagraphFont"/>
    <w:link w:val="Heading4"/>
    <w:uiPriority w:val="9"/>
    <w:semiHidden/>
    <w:rsid w:val="000D5AB3"/>
    <w:rPr>
      <w:rFonts w:ascii="Arial" w:eastAsia="Arial" w:hAnsi="Arial" w:cs="Arial"/>
      <w:bCs/>
      <w:i/>
      <w:color w:val="2E74B5" w:themeColor="accent5" w:themeShade="BF"/>
      <w:lang w:val="en-ZA" w:eastAsia="en-ZA" w:bidi="en-ZA"/>
    </w:rPr>
  </w:style>
  <w:style w:type="character" w:customStyle="1" w:styleId="Heading5Char">
    <w:name w:val="Heading 5 Char"/>
    <w:basedOn w:val="DefaultParagraphFont"/>
    <w:link w:val="Heading5"/>
    <w:uiPriority w:val="9"/>
    <w:semiHidden/>
    <w:rsid w:val="000D5AB3"/>
    <w:rPr>
      <w:rFonts w:ascii="Arial" w:eastAsia="Arial" w:hAnsi="Arial" w:cs="Arial"/>
      <w:b/>
      <w:bCs/>
      <w:sz w:val="20"/>
      <w:szCs w:val="20"/>
      <w:lang w:val="en-ZA" w:eastAsia="en-ZA" w:bidi="en-ZA"/>
    </w:rPr>
  </w:style>
  <w:style w:type="character" w:customStyle="1" w:styleId="Heading6Char">
    <w:name w:val="Heading 6 Char"/>
    <w:basedOn w:val="DefaultParagraphFont"/>
    <w:link w:val="Heading6"/>
    <w:uiPriority w:val="9"/>
    <w:semiHidden/>
    <w:rsid w:val="000D5AB3"/>
    <w:rPr>
      <w:rFonts w:ascii="Arial" w:eastAsia="Arial" w:hAnsi="Arial" w:cs="Arial"/>
      <w:b/>
      <w:bCs/>
      <w:i/>
      <w:sz w:val="20"/>
      <w:szCs w:val="20"/>
      <w:lang w:val="en-ZA" w:eastAsia="en-ZA" w:bidi="en-ZA"/>
    </w:rPr>
  </w:style>
  <w:style w:type="character" w:customStyle="1" w:styleId="Heading7Char">
    <w:name w:val="Heading 7 Char"/>
    <w:basedOn w:val="DefaultParagraphFont"/>
    <w:link w:val="Heading7"/>
    <w:uiPriority w:val="9"/>
    <w:semiHidden/>
    <w:rsid w:val="000D5AB3"/>
    <w:rPr>
      <w:rFonts w:asciiTheme="majorHAnsi" w:eastAsiaTheme="majorEastAsia" w:hAnsiTheme="majorHAnsi" w:cstheme="majorBidi"/>
      <w:i/>
      <w:iCs/>
      <w:color w:val="1F3763" w:themeColor="accent1" w:themeShade="7F"/>
      <w:lang w:val="en-ZA" w:eastAsia="en-ZA" w:bidi="en-ZA"/>
    </w:rPr>
  </w:style>
  <w:style w:type="character" w:customStyle="1" w:styleId="Heading8Char">
    <w:name w:val="Heading 8 Char"/>
    <w:basedOn w:val="DefaultParagraphFont"/>
    <w:link w:val="Heading8"/>
    <w:uiPriority w:val="9"/>
    <w:semiHidden/>
    <w:rsid w:val="000D5AB3"/>
    <w:rPr>
      <w:rFonts w:asciiTheme="majorHAnsi" w:eastAsiaTheme="majorEastAsia" w:hAnsiTheme="majorHAnsi" w:cstheme="majorBidi"/>
      <w:color w:val="272727" w:themeColor="text1" w:themeTint="D8"/>
      <w:sz w:val="21"/>
      <w:szCs w:val="21"/>
      <w:lang w:val="en-ZA" w:eastAsia="en-ZA" w:bidi="en-ZA"/>
    </w:rPr>
  </w:style>
  <w:style w:type="character" w:customStyle="1" w:styleId="Heading9Char">
    <w:name w:val="Heading 9 Char"/>
    <w:basedOn w:val="DefaultParagraphFont"/>
    <w:link w:val="Heading9"/>
    <w:uiPriority w:val="9"/>
    <w:semiHidden/>
    <w:rsid w:val="000D5AB3"/>
    <w:rPr>
      <w:rFonts w:asciiTheme="majorHAnsi" w:eastAsiaTheme="majorEastAsia" w:hAnsiTheme="majorHAnsi" w:cstheme="majorBidi"/>
      <w:i/>
      <w:iCs/>
      <w:color w:val="272727" w:themeColor="text1" w:themeTint="D8"/>
      <w:sz w:val="21"/>
      <w:szCs w:val="21"/>
      <w:lang w:val="en-ZA" w:eastAsia="en-ZA" w:bidi="en-ZA"/>
    </w:rPr>
  </w:style>
  <w:style w:type="character" w:styleId="Hyperlink">
    <w:name w:val="Hyperlink"/>
    <w:basedOn w:val="DefaultParagraphFont"/>
    <w:uiPriority w:val="99"/>
    <w:semiHidden/>
    <w:unhideWhenUsed/>
    <w:rsid w:val="000D5AB3"/>
    <w:rPr>
      <w:color w:val="0563C1" w:themeColor="hyperlink"/>
      <w:u w:val="single"/>
    </w:rPr>
  </w:style>
  <w:style w:type="character" w:styleId="FollowedHyperlink">
    <w:name w:val="FollowedHyperlink"/>
    <w:basedOn w:val="DefaultParagraphFont"/>
    <w:uiPriority w:val="99"/>
    <w:semiHidden/>
    <w:unhideWhenUsed/>
    <w:rsid w:val="000D5AB3"/>
    <w:rPr>
      <w:color w:val="954F72" w:themeColor="followedHyperlink"/>
      <w:u w:val="single"/>
    </w:rPr>
  </w:style>
  <w:style w:type="paragraph" w:customStyle="1" w:styleId="msonormal0">
    <w:name w:val="msonormal"/>
    <w:basedOn w:val="Normal"/>
    <w:rsid w:val="000D5AB3"/>
    <w:pPr>
      <w:spacing w:before="100" w:beforeAutospacing="1" w:after="100" w:afterAutospacing="1" w:line="240" w:lineRule="auto"/>
    </w:pPr>
    <w:rPr>
      <w:rFonts w:ascii="Times New Roman" w:eastAsia="Times New Roman" w:hAnsi="Times New Roman" w:cs="Times New Roman"/>
      <w:color w:val="auto"/>
      <w:sz w:val="24"/>
      <w:szCs w:val="24"/>
      <w:lang w:val="en-US" w:eastAsia="en-US"/>
    </w:rPr>
  </w:style>
  <w:style w:type="paragraph" w:styleId="TOC1">
    <w:name w:val="toc 1"/>
    <w:basedOn w:val="Normal"/>
    <w:autoRedefine/>
    <w:uiPriority w:val="39"/>
    <w:semiHidden/>
    <w:unhideWhenUsed/>
    <w:qFormat/>
    <w:rsid w:val="000D5AB3"/>
    <w:pPr>
      <w:widowControl w:val="0"/>
      <w:tabs>
        <w:tab w:val="left" w:pos="851"/>
        <w:tab w:val="left" w:pos="1134"/>
        <w:tab w:val="right" w:leader="dot" w:pos="9072"/>
      </w:tabs>
      <w:autoSpaceDE w:val="0"/>
      <w:autoSpaceDN w:val="0"/>
      <w:spacing w:before="100" w:beforeAutospacing="1" w:line="240" w:lineRule="auto"/>
      <w:ind w:left="306" w:right="306"/>
    </w:pPr>
    <w:rPr>
      <w:rFonts w:eastAsia="Arial" w:cs="Arial"/>
      <w:b/>
      <w:bCs/>
      <w:color w:val="1F4E79" w:themeColor="accent5" w:themeShade="80"/>
      <w:szCs w:val="28"/>
      <w:lang w:val="en-ZA" w:eastAsia="en-ZA" w:bidi="en-ZA"/>
    </w:rPr>
  </w:style>
  <w:style w:type="paragraph" w:styleId="TOC2">
    <w:name w:val="toc 2"/>
    <w:basedOn w:val="Normal"/>
    <w:autoRedefine/>
    <w:uiPriority w:val="39"/>
    <w:semiHidden/>
    <w:unhideWhenUsed/>
    <w:qFormat/>
    <w:rsid w:val="000D5AB3"/>
    <w:pPr>
      <w:widowControl w:val="0"/>
      <w:tabs>
        <w:tab w:val="right" w:leader="dot" w:pos="9072"/>
      </w:tabs>
      <w:autoSpaceDE w:val="0"/>
      <w:autoSpaceDN w:val="0"/>
      <w:spacing w:before="120" w:line="240" w:lineRule="auto"/>
      <w:ind w:left="1157" w:hanging="851"/>
    </w:pPr>
    <w:rPr>
      <w:rFonts w:eastAsia="Arial" w:cs="Arial"/>
      <w:bCs/>
      <w:color w:val="1F4E79" w:themeColor="accent5" w:themeShade="80"/>
      <w:lang w:val="en-ZA" w:eastAsia="en-ZA" w:bidi="en-ZA"/>
    </w:rPr>
  </w:style>
  <w:style w:type="paragraph" w:styleId="TOC3">
    <w:name w:val="toc 3"/>
    <w:basedOn w:val="Normal"/>
    <w:autoRedefine/>
    <w:uiPriority w:val="39"/>
    <w:semiHidden/>
    <w:unhideWhenUsed/>
    <w:qFormat/>
    <w:rsid w:val="000D5AB3"/>
    <w:pPr>
      <w:widowControl w:val="0"/>
      <w:tabs>
        <w:tab w:val="right" w:leader="dot" w:pos="9072"/>
      </w:tabs>
      <w:autoSpaceDE w:val="0"/>
      <w:autoSpaceDN w:val="0"/>
      <w:spacing w:before="120" w:line="240" w:lineRule="auto"/>
      <w:ind w:left="1157" w:hanging="851"/>
    </w:pPr>
    <w:rPr>
      <w:rFonts w:eastAsia="Arial" w:cs="Arial"/>
      <w:color w:val="1F4E79" w:themeColor="accent5" w:themeShade="80"/>
      <w:lang w:val="en-ZA" w:eastAsia="en-ZA" w:bidi="en-ZA"/>
    </w:rPr>
  </w:style>
  <w:style w:type="paragraph" w:styleId="TOC4">
    <w:name w:val="toc 4"/>
    <w:basedOn w:val="Normal"/>
    <w:next w:val="Normal"/>
    <w:autoRedefine/>
    <w:uiPriority w:val="39"/>
    <w:semiHidden/>
    <w:unhideWhenUsed/>
    <w:rsid w:val="000D5AB3"/>
    <w:pPr>
      <w:widowControl w:val="0"/>
      <w:tabs>
        <w:tab w:val="left" w:pos="1134"/>
        <w:tab w:val="left" w:pos="1560"/>
        <w:tab w:val="left" w:pos="1966"/>
        <w:tab w:val="right" w:leader="dot" w:pos="9072"/>
      </w:tabs>
      <w:autoSpaceDE w:val="0"/>
      <w:autoSpaceDN w:val="0"/>
      <w:spacing w:before="120" w:line="240" w:lineRule="auto"/>
      <w:ind w:left="1440" w:hanging="1134"/>
    </w:pPr>
    <w:rPr>
      <w:rFonts w:eastAsia="Arial" w:cs="Arial"/>
      <w:color w:val="1F4E79" w:themeColor="accent5" w:themeShade="80"/>
      <w:szCs w:val="22"/>
      <w:lang w:val="en-ZA" w:eastAsia="en-ZA" w:bidi="en-ZA"/>
    </w:rPr>
  </w:style>
  <w:style w:type="paragraph" w:styleId="TOC5">
    <w:name w:val="toc 5"/>
    <w:basedOn w:val="Normal"/>
    <w:next w:val="Normal"/>
    <w:autoRedefine/>
    <w:uiPriority w:val="39"/>
    <w:semiHidden/>
    <w:unhideWhenUsed/>
    <w:rsid w:val="000D5AB3"/>
    <w:pPr>
      <w:widowControl w:val="0"/>
      <w:autoSpaceDE w:val="0"/>
      <w:autoSpaceDN w:val="0"/>
      <w:spacing w:after="100" w:line="240" w:lineRule="auto"/>
      <w:ind w:left="1026" w:hanging="720"/>
    </w:pPr>
    <w:rPr>
      <w:rFonts w:eastAsia="Arial" w:cs="Arial"/>
      <w:color w:val="auto"/>
      <w:sz w:val="22"/>
      <w:szCs w:val="22"/>
      <w:lang w:val="en-ZA" w:eastAsia="en-ZA" w:bidi="en-ZA"/>
    </w:rPr>
  </w:style>
  <w:style w:type="character" w:customStyle="1" w:styleId="FootnoteTextChar">
    <w:name w:val="Footnote Text Char"/>
    <w:aliases w:val="Char Char,Footnote Text Char Char Char Char,Footnote Text Char Char Char1,Fußnotentext Ursprung Char,-E Fußnotentext Char,footnote text Char,-E Fußnotentext1 Char,-E Fußnotentext2 Char,-E Fußnotentext3 Char,E Fußn Char,-E Fußn Char"/>
    <w:basedOn w:val="DefaultParagraphFont"/>
    <w:link w:val="FootnoteText"/>
    <w:semiHidden/>
    <w:locked/>
    <w:rsid w:val="000D5AB3"/>
    <w:rPr>
      <w:rFonts w:ascii="Arial" w:eastAsia="Arial" w:hAnsi="Arial" w:cs="Arial"/>
      <w:sz w:val="20"/>
      <w:szCs w:val="20"/>
      <w:lang w:val="en-ZA" w:eastAsia="en-ZA" w:bidi="en-ZA"/>
    </w:rPr>
  </w:style>
  <w:style w:type="paragraph" w:styleId="FootnoteText">
    <w:name w:val="footnote text"/>
    <w:aliases w:val="Char,Footnote Text Char Char Char,Footnote Text Char Char,Fußnotentext Ursprung,-E Fußnotentext,footnote text,-E Fußnotentext1,-E Fußnotentext2,-E Fußnotentext3,E Fußn,-E Fußn,-E Fuﬂnotentext,Fuﬂnotentext Ursprung,Fußnote,Footnote,f,Char1"/>
    <w:basedOn w:val="Normal"/>
    <w:link w:val="FootnoteTextChar"/>
    <w:semiHidden/>
    <w:unhideWhenUsed/>
    <w:qFormat/>
    <w:rsid w:val="000D5AB3"/>
    <w:pPr>
      <w:widowControl w:val="0"/>
      <w:autoSpaceDE w:val="0"/>
      <w:autoSpaceDN w:val="0"/>
      <w:spacing w:line="240" w:lineRule="auto"/>
    </w:pPr>
    <w:rPr>
      <w:rFonts w:eastAsia="Arial" w:cs="Arial"/>
      <w:color w:val="auto"/>
      <w:lang w:val="en-ZA" w:eastAsia="en-ZA" w:bidi="en-ZA"/>
    </w:rPr>
  </w:style>
  <w:style w:type="character" w:customStyle="1" w:styleId="FootnoteTextChar1">
    <w:name w:val="Footnote Text Char1"/>
    <w:aliases w:val="Char Char1,Footnote Text Char Char Char Char1,Footnote Text Char Char Char2,Fußnotentext Ursprung Char1,-E Fußnotentext Char1,footnote text Char1,-E Fußnotentext1 Char1,-E Fußnotentext2 Char1,-E Fußnotentext3 Char1,E Fußn Char1"/>
    <w:basedOn w:val="DefaultParagraphFont"/>
    <w:semiHidden/>
    <w:rsid w:val="000D5AB3"/>
    <w:rPr>
      <w:rFonts w:ascii="Arial" w:eastAsiaTheme="minorEastAsia" w:hAnsi="Arial"/>
      <w:color w:val="000000" w:themeColor="text1"/>
      <w:sz w:val="20"/>
      <w:szCs w:val="20"/>
      <w:lang w:val="en-GB" w:eastAsia="en-GB"/>
    </w:rPr>
  </w:style>
  <w:style w:type="paragraph" w:styleId="CommentText">
    <w:name w:val="annotation text"/>
    <w:basedOn w:val="Normal"/>
    <w:link w:val="CommentTextChar"/>
    <w:uiPriority w:val="99"/>
    <w:semiHidden/>
    <w:unhideWhenUsed/>
    <w:rsid w:val="000D5AB3"/>
    <w:pPr>
      <w:widowControl w:val="0"/>
      <w:autoSpaceDE w:val="0"/>
      <w:autoSpaceDN w:val="0"/>
      <w:spacing w:line="240" w:lineRule="auto"/>
    </w:pPr>
    <w:rPr>
      <w:rFonts w:eastAsia="Arial" w:cs="Arial"/>
      <w:color w:val="auto"/>
      <w:lang w:val="en-ZA" w:eastAsia="en-ZA" w:bidi="en-ZA"/>
    </w:rPr>
  </w:style>
  <w:style w:type="character" w:customStyle="1" w:styleId="CommentTextChar">
    <w:name w:val="Comment Text Char"/>
    <w:basedOn w:val="DefaultParagraphFont"/>
    <w:link w:val="CommentText"/>
    <w:uiPriority w:val="99"/>
    <w:semiHidden/>
    <w:rsid w:val="000D5AB3"/>
    <w:rPr>
      <w:rFonts w:ascii="Arial" w:eastAsia="Arial" w:hAnsi="Arial" w:cs="Arial"/>
      <w:sz w:val="20"/>
      <w:szCs w:val="20"/>
      <w:lang w:val="en-ZA" w:eastAsia="en-ZA" w:bidi="en-ZA"/>
    </w:rPr>
  </w:style>
  <w:style w:type="paragraph" w:styleId="Header">
    <w:name w:val="header"/>
    <w:basedOn w:val="Normal"/>
    <w:link w:val="HeaderChar"/>
    <w:uiPriority w:val="99"/>
    <w:unhideWhenUsed/>
    <w:rsid w:val="000D5AB3"/>
    <w:pPr>
      <w:widowControl w:val="0"/>
      <w:tabs>
        <w:tab w:val="center" w:pos="4680"/>
        <w:tab w:val="right" w:pos="9360"/>
      </w:tabs>
      <w:autoSpaceDE w:val="0"/>
      <w:autoSpaceDN w:val="0"/>
      <w:spacing w:line="240" w:lineRule="auto"/>
    </w:pPr>
    <w:rPr>
      <w:rFonts w:eastAsia="Arial" w:cs="Arial"/>
      <w:color w:val="auto"/>
      <w:sz w:val="22"/>
      <w:szCs w:val="22"/>
      <w:lang w:val="en-ZA" w:eastAsia="en-ZA" w:bidi="en-ZA"/>
    </w:rPr>
  </w:style>
  <w:style w:type="character" w:customStyle="1" w:styleId="HeaderChar">
    <w:name w:val="Header Char"/>
    <w:basedOn w:val="DefaultParagraphFont"/>
    <w:link w:val="Header"/>
    <w:uiPriority w:val="99"/>
    <w:rsid w:val="000D5AB3"/>
    <w:rPr>
      <w:rFonts w:ascii="Arial" w:eastAsia="Arial" w:hAnsi="Arial" w:cs="Arial"/>
      <w:lang w:val="en-ZA" w:eastAsia="en-ZA" w:bidi="en-ZA"/>
    </w:rPr>
  </w:style>
  <w:style w:type="paragraph" w:styleId="Footer">
    <w:name w:val="footer"/>
    <w:basedOn w:val="Normal"/>
    <w:link w:val="FooterChar"/>
    <w:uiPriority w:val="99"/>
    <w:unhideWhenUsed/>
    <w:rsid w:val="000D5AB3"/>
    <w:pPr>
      <w:widowControl w:val="0"/>
      <w:tabs>
        <w:tab w:val="center" w:pos="4680"/>
        <w:tab w:val="right" w:pos="9360"/>
      </w:tabs>
      <w:autoSpaceDE w:val="0"/>
      <w:autoSpaceDN w:val="0"/>
      <w:spacing w:line="240" w:lineRule="auto"/>
    </w:pPr>
    <w:rPr>
      <w:rFonts w:eastAsia="Arial" w:cs="Arial"/>
      <w:color w:val="auto"/>
      <w:sz w:val="22"/>
      <w:szCs w:val="22"/>
      <w:lang w:val="en-ZA" w:eastAsia="en-ZA" w:bidi="en-ZA"/>
    </w:rPr>
  </w:style>
  <w:style w:type="character" w:customStyle="1" w:styleId="FooterChar">
    <w:name w:val="Footer Char"/>
    <w:basedOn w:val="DefaultParagraphFont"/>
    <w:link w:val="Footer"/>
    <w:uiPriority w:val="99"/>
    <w:rsid w:val="000D5AB3"/>
    <w:rPr>
      <w:rFonts w:ascii="Arial" w:eastAsia="Arial" w:hAnsi="Arial" w:cs="Arial"/>
      <w:lang w:val="en-ZA" w:eastAsia="en-ZA" w:bidi="en-ZA"/>
    </w:rPr>
  </w:style>
  <w:style w:type="paragraph" w:styleId="Caption">
    <w:name w:val="caption"/>
    <w:basedOn w:val="Normal"/>
    <w:next w:val="Normal"/>
    <w:uiPriority w:val="35"/>
    <w:semiHidden/>
    <w:unhideWhenUsed/>
    <w:qFormat/>
    <w:rsid w:val="000D5AB3"/>
    <w:pPr>
      <w:widowControl w:val="0"/>
      <w:autoSpaceDE w:val="0"/>
      <w:autoSpaceDN w:val="0"/>
      <w:spacing w:after="200" w:line="240" w:lineRule="auto"/>
      <w:ind w:left="306"/>
    </w:pPr>
    <w:rPr>
      <w:rFonts w:eastAsia="Arial" w:cs="Arial"/>
      <w:b/>
      <w:i/>
      <w:iCs/>
      <w:color w:val="1F4E79" w:themeColor="accent5" w:themeShade="80"/>
      <w:szCs w:val="18"/>
      <w:lang w:val="en-ZA" w:eastAsia="en-ZA" w:bidi="en-ZA"/>
    </w:rPr>
  </w:style>
  <w:style w:type="paragraph" w:styleId="TableofFigures">
    <w:name w:val="table of figures"/>
    <w:basedOn w:val="Normal"/>
    <w:next w:val="Normal"/>
    <w:uiPriority w:val="99"/>
    <w:semiHidden/>
    <w:unhideWhenUsed/>
    <w:rsid w:val="000D5AB3"/>
    <w:pPr>
      <w:widowControl w:val="0"/>
      <w:tabs>
        <w:tab w:val="right" w:leader="dot" w:pos="9072"/>
      </w:tabs>
      <w:autoSpaceDE w:val="0"/>
      <w:autoSpaceDN w:val="0"/>
      <w:spacing w:line="240" w:lineRule="auto"/>
    </w:pPr>
    <w:rPr>
      <w:rFonts w:eastAsia="Arial" w:cs="Arial"/>
      <w:color w:val="1F4E79" w:themeColor="accent5" w:themeShade="80"/>
      <w:szCs w:val="22"/>
      <w:lang w:val="en-ZA" w:eastAsia="en-ZA" w:bidi="en-ZA"/>
    </w:rPr>
  </w:style>
  <w:style w:type="paragraph" w:styleId="BodyText">
    <w:name w:val="Body Text"/>
    <w:basedOn w:val="Normal"/>
    <w:link w:val="BodyTextChar"/>
    <w:uiPriority w:val="1"/>
    <w:semiHidden/>
    <w:unhideWhenUsed/>
    <w:qFormat/>
    <w:rsid w:val="000D5AB3"/>
    <w:pPr>
      <w:widowControl w:val="0"/>
      <w:autoSpaceDE w:val="0"/>
      <w:autoSpaceDN w:val="0"/>
      <w:spacing w:line="240" w:lineRule="auto"/>
    </w:pPr>
    <w:rPr>
      <w:rFonts w:eastAsia="Arial" w:cs="Arial"/>
      <w:color w:val="auto"/>
      <w:lang w:val="en-ZA" w:eastAsia="en-ZA" w:bidi="en-ZA"/>
    </w:rPr>
  </w:style>
  <w:style w:type="character" w:customStyle="1" w:styleId="BodyTextChar">
    <w:name w:val="Body Text Char"/>
    <w:basedOn w:val="DefaultParagraphFont"/>
    <w:link w:val="BodyText"/>
    <w:uiPriority w:val="1"/>
    <w:semiHidden/>
    <w:rsid w:val="000D5AB3"/>
    <w:rPr>
      <w:rFonts w:ascii="Arial" w:eastAsia="Arial" w:hAnsi="Arial" w:cs="Arial"/>
      <w:sz w:val="20"/>
      <w:szCs w:val="20"/>
      <w:lang w:val="en-ZA" w:eastAsia="en-ZA" w:bidi="en-ZA"/>
    </w:rPr>
  </w:style>
  <w:style w:type="paragraph" w:styleId="CommentSubject">
    <w:name w:val="annotation subject"/>
    <w:basedOn w:val="CommentText"/>
    <w:next w:val="CommentText"/>
    <w:link w:val="CommentSubjectChar"/>
    <w:uiPriority w:val="99"/>
    <w:semiHidden/>
    <w:unhideWhenUsed/>
    <w:rsid w:val="000D5AB3"/>
    <w:rPr>
      <w:b/>
      <w:bCs/>
    </w:rPr>
  </w:style>
  <w:style w:type="character" w:customStyle="1" w:styleId="CommentSubjectChar">
    <w:name w:val="Comment Subject Char"/>
    <w:basedOn w:val="CommentTextChar"/>
    <w:link w:val="CommentSubject"/>
    <w:uiPriority w:val="99"/>
    <w:semiHidden/>
    <w:rsid w:val="000D5AB3"/>
    <w:rPr>
      <w:rFonts w:ascii="Arial" w:eastAsia="Arial" w:hAnsi="Arial" w:cs="Arial"/>
      <w:b/>
      <w:bCs/>
      <w:sz w:val="20"/>
      <w:szCs w:val="20"/>
      <w:lang w:val="en-ZA" w:eastAsia="en-ZA" w:bidi="en-ZA"/>
    </w:rPr>
  </w:style>
  <w:style w:type="paragraph" w:styleId="BalloonText">
    <w:name w:val="Balloon Text"/>
    <w:basedOn w:val="Normal"/>
    <w:link w:val="BalloonTextChar"/>
    <w:uiPriority w:val="99"/>
    <w:semiHidden/>
    <w:unhideWhenUsed/>
    <w:rsid w:val="000D5AB3"/>
    <w:pPr>
      <w:widowControl w:val="0"/>
      <w:autoSpaceDE w:val="0"/>
      <w:autoSpaceDN w:val="0"/>
      <w:spacing w:line="240" w:lineRule="auto"/>
    </w:pPr>
    <w:rPr>
      <w:rFonts w:ascii="Segoe UI" w:eastAsia="Arial" w:hAnsi="Segoe UI" w:cs="Segoe UI"/>
      <w:color w:val="auto"/>
      <w:sz w:val="18"/>
      <w:szCs w:val="18"/>
      <w:lang w:val="en-ZA" w:eastAsia="en-ZA" w:bidi="en-ZA"/>
    </w:rPr>
  </w:style>
  <w:style w:type="character" w:customStyle="1" w:styleId="BalloonTextChar">
    <w:name w:val="Balloon Text Char"/>
    <w:basedOn w:val="DefaultParagraphFont"/>
    <w:link w:val="BalloonText"/>
    <w:uiPriority w:val="99"/>
    <w:semiHidden/>
    <w:rsid w:val="000D5AB3"/>
    <w:rPr>
      <w:rFonts w:ascii="Segoe UI" w:eastAsia="Arial" w:hAnsi="Segoe UI" w:cs="Segoe UI"/>
      <w:sz w:val="18"/>
      <w:szCs w:val="18"/>
      <w:lang w:val="en-ZA" w:eastAsia="en-ZA" w:bidi="en-ZA"/>
    </w:rPr>
  </w:style>
  <w:style w:type="paragraph" w:styleId="Revision">
    <w:name w:val="Revision"/>
    <w:uiPriority w:val="99"/>
    <w:semiHidden/>
    <w:rsid w:val="000D5AB3"/>
    <w:pPr>
      <w:spacing w:after="0" w:line="240" w:lineRule="auto"/>
    </w:pPr>
    <w:rPr>
      <w:rFonts w:ascii="Arial" w:eastAsia="Arial" w:hAnsi="Arial" w:cs="Arial"/>
      <w:lang w:val="en-ZA" w:eastAsia="en-ZA" w:bidi="en-ZA"/>
    </w:rPr>
  </w:style>
  <w:style w:type="character" w:customStyle="1" w:styleId="ListParagraphChar">
    <w:name w:val="List Paragraph Char"/>
    <w:aliases w:val="Table bullet Char,Bullet_new Char,SOB List Char,AEC List Char,Paragraph Char,MCC Paragraph Indent1 Char,MCC Paragraph Indent Char,Dot pt Char,No Spacing1 Char,List Paragraph Char Char Char Char,Indicator Text Char,Bullet Points Char"/>
    <w:basedOn w:val="DefaultParagraphFont"/>
    <w:link w:val="ListParagraph"/>
    <w:uiPriority w:val="34"/>
    <w:qFormat/>
    <w:locked/>
    <w:rsid w:val="000D5AB3"/>
    <w:rPr>
      <w:rFonts w:ascii="Arial" w:eastAsia="Arial" w:hAnsi="Arial" w:cs="Arial"/>
      <w:lang w:val="en-ZA" w:eastAsia="en-ZA" w:bidi="en-ZA"/>
    </w:rPr>
  </w:style>
  <w:style w:type="paragraph" w:styleId="ListParagraph">
    <w:name w:val="List Paragraph"/>
    <w:aliases w:val="Table bullet,Bullet_new,SOB List,AEC List,Paragraph,MCC Paragraph Indent1,MCC Paragraph Indent,Dot pt,No Spacing1,List Paragraph Char Char Char,Indicator Text,Numbered Para 1,List Paragraph1,Bullet Points,MAIN CONTENT,List Paragraph12"/>
    <w:basedOn w:val="Normal"/>
    <w:link w:val="ListParagraphChar"/>
    <w:uiPriority w:val="34"/>
    <w:qFormat/>
    <w:rsid w:val="000D5AB3"/>
    <w:pPr>
      <w:widowControl w:val="0"/>
      <w:autoSpaceDE w:val="0"/>
      <w:autoSpaceDN w:val="0"/>
      <w:spacing w:line="240" w:lineRule="auto"/>
      <w:ind w:left="1028" w:hanging="360"/>
    </w:pPr>
    <w:rPr>
      <w:rFonts w:eastAsia="Arial" w:cs="Arial"/>
      <w:color w:val="auto"/>
      <w:sz w:val="22"/>
      <w:szCs w:val="22"/>
      <w:lang w:val="en-ZA" w:eastAsia="en-ZA" w:bidi="en-ZA"/>
    </w:rPr>
  </w:style>
  <w:style w:type="paragraph" w:styleId="TOCHeading">
    <w:name w:val="TOC Heading"/>
    <w:basedOn w:val="Heading1"/>
    <w:next w:val="Normal"/>
    <w:uiPriority w:val="39"/>
    <w:semiHidden/>
    <w:unhideWhenUsed/>
    <w:qFormat/>
    <w:rsid w:val="000D5AB3"/>
    <w:pPr>
      <w:keepNext/>
      <w:keepLines/>
      <w:widowControl/>
      <w:autoSpaceDE/>
      <w:autoSpaceDN/>
      <w:spacing w:before="240" w:line="256" w:lineRule="auto"/>
      <w:ind w:left="0" w:firstLine="0"/>
      <w:outlineLvl w:val="9"/>
    </w:pPr>
    <w:rPr>
      <w:rFonts w:asciiTheme="majorHAnsi" w:eastAsiaTheme="majorEastAsia" w:hAnsiTheme="majorHAnsi" w:cstheme="majorBidi"/>
      <w:b w:val="0"/>
      <w:bCs w:val="0"/>
      <w:color w:val="2F5496" w:themeColor="accent1" w:themeShade="BF"/>
      <w:sz w:val="32"/>
      <w:szCs w:val="32"/>
      <w:lang w:val="en-US" w:eastAsia="en-US" w:bidi="ar-SA"/>
    </w:rPr>
  </w:style>
  <w:style w:type="paragraph" w:customStyle="1" w:styleId="TableParagraph">
    <w:name w:val="Table Paragraph"/>
    <w:basedOn w:val="Normal"/>
    <w:uiPriority w:val="1"/>
    <w:qFormat/>
    <w:rsid w:val="000D5AB3"/>
    <w:pPr>
      <w:widowControl w:val="0"/>
      <w:autoSpaceDE w:val="0"/>
      <w:autoSpaceDN w:val="0"/>
      <w:spacing w:line="240" w:lineRule="auto"/>
    </w:pPr>
    <w:rPr>
      <w:rFonts w:eastAsia="Arial" w:cs="Arial"/>
      <w:color w:val="auto"/>
      <w:sz w:val="22"/>
      <w:szCs w:val="22"/>
      <w:lang w:val="en-ZA" w:eastAsia="en-ZA" w:bidi="en-ZA"/>
    </w:rPr>
  </w:style>
  <w:style w:type="character" w:customStyle="1" w:styleId="TablesDougChar1">
    <w:name w:val="Tables_Doug Char1"/>
    <w:basedOn w:val="ListParagraphChar"/>
    <w:link w:val="TablesDoug"/>
    <w:locked/>
    <w:rsid w:val="000D5AB3"/>
    <w:rPr>
      <w:rFonts w:ascii="Century Gothic" w:eastAsia="Times New Roman" w:hAnsi="Century Gothic" w:cs="Arial"/>
      <w:bCs/>
      <w:sz w:val="18"/>
      <w:szCs w:val="18"/>
      <w:lang w:val="en-GB" w:eastAsia="en-ZA" w:bidi="en-ZA"/>
    </w:rPr>
  </w:style>
  <w:style w:type="paragraph" w:customStyle="1" w:styleId="TablesDoug">
    <w:name w:val="Tables_Doug"/>
    <w:basedOn w:val="ListParagraph"/>
    <w:link w:val="TablesDougChar1"/>
    <w:qFormat/>
    <w:rsid w:val="000D5AB3"/>
    <w:pPr>
      <w:widowControl/>
      <w:tabs>
        <w:tab w:val="left" w:pos="567"/>
      </w:tabs>
      <w:autoSpaceDE/>
      <w:autoSpaceDN/>
      <w:spacing w:after="200" w:line="360" w:lineRule="auto"/>
      <w:ind w:left="0" w:firstLine="0"/>
      <w:contextualSpacing/>
      <w:jc w:val="both"/>
    </w:pPr>
    <w:rPr>
      <w:rFonts w:ascii="Century Gothic" w:eastAsia="Times New Roman" w:hAnsi="Century Gothic"/>
      <w:bCs/>
      <w:sz w:val="18"/>
      <w:szCs w:val="18"/>
      <w:lang w:val="en-GB"/>
    </w:rPr>
  </w:style>
  <w:style w:type="paragraph" w:customStyle="1" w:styleId="Default">
    <w:name w:val="Default"/>
    <w:rsid w:val="000D5AB3"/>
    <w:pPr>
      <w:autoSpaceDE w:val="0"/>
      <w:autoSpaceDN w:val="0"/>
      <w:adjustRightInd w:val="0"/>
      <w:spacing w:after="0" w:line="240" w:lineRule="auto"/>
    </w:pPr>
    <w:rPr>
      <w:rFonts w:ascii="Arial" w:hAnsi="Arial" w:cs="Arial"/>
      <w:color w:val="000000"/>
      <w:sz w:val="24"/>
      <w:szCs w:val="24"/>
      <w:lang w:val="en-ZA"/>
    </w:rPr>
  </w:style>
  <w:style w:type="character" w:styleId="FootnoteReference">
    <w:name w:val="footnote reference"/>
    <w:aliases w:val="-E Fußnotenzeichen,E FNZ,-E Fuﬂnotenzeichen,16 Point,Superscript 6 Point,Superscript 6 Point + 11 pt,AEC Footnote Reference"/>
    <w:basedOn w:val="DefaultParagraphFont"/>
    <w:semiHidden/>
    <w:unhideWhenUsed/>
    <w:qFormat/>
    <w:rsid w:val="000D5AB3"/>
    <w:rPr>
      <w:vertAlign w:val="superscript"/>
    </w:rPr>
  </w:style>
  <w:style w:type="character" w:styleId="CommentReference">
    <w:name w:val="annotation reference"/>
    <w:basedOn w:val="DefaultParagraphFont"/>
    <w:uiPriority w:val="99"/>
    <w:semiHidden/>
    <w:unhideWhenUsed/>
    <w:rsid w:val="000D5AB3"/>
    <w:rPr>
      <w:sz w:val="16"/>
      <w:szCs w:val="16"/>
    </w:rPr>
  </w:style>
  <w:style w:type="character" w:customStyle="1" w:styleId="cf01">
    <w:name w:val="cf01"/>
    <w:basedOn w:val="DefaultParagraphFont"/>
    <w:rsid w:val="000D5AB3"/>
    <w:rPr>
      <w:rFonts w:ascii="Segoe UI" w:hAnsi="Segoe UI" w:cs="Segoe UI" w:hint="default"/>
      <w:sz w:val="18"/>
      <w:szCs w:val="18"/>
    </w:rPr>
  </w:style>
  <w:style w:type="character" w:customStyle="1" w:styleId="ui-provider">
    <w:name w:val="ui-provider"/>
    <w:basedOn w:val="DefaultParagraphFont"/>
    <w:rsid w:val="000D5AB3"/>
  </w:style>
  <w:style w:type="table" w:styleId="TableGrid">
    <w:name w:val="Table Grid"/>
    <w:basedOn w:val="TableNormal"/>
    <w:uiPriority w:val="39"/>
    <w:rsid w:val="000D5AB3"/>
    <w:pPr>
      <w:widowControl w:val="0"/>
      <w:autoSpaceDE w:val="0"/>
      <w:autoSpaceDN w:val="0"/>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05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26"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39"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21"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34"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42"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47"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50"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55" Type="http://schemas.openxmlformats.org/officeDocument/2006/relationships/image" Target="media/image2.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11" Type="http://schemas.openxmlformats.org/officeDocument/2006/relationships/header" Target="header1.xml"/><Relationship Id="rId24"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32"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37"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40"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45"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53" Type="http://schemas.openxmlformats.org/officeDocument/2006/relationships/image" Target="media/image1.png"/><Relationship Id="rId5" Type="http://schemas.openxmlformats.org/officeDocument/2006/relationships/numbering" Target="numbering.xml"/><Relationship Id="rId19"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27"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30"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35"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43"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48"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25"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33"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38"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46"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20"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41"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54"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28"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36"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49"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44"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 Id="rId52" Type="http://schemas.openxmlformats.org/officeDocument/2006/relationships/hyperlink" Target="https://worldbankgroup.sharepoint.com/sites/iTeam/C3PCloud/Shared%20Documents/AFR/South%20Africa/605021_eThekwini%20WWTW/6_Tender/d_Tender%20Docs/d_Final%20Tender%20Documents/Old%20docs/MD5109-uMkhomazi%20Env%20Monitoring%20ToR-Rev.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wb_DocIDs xmlns="3e02667f-0271-471b-bd6e-11a2e16def1d" xsi:nil="true"/>
    <Active_x002c_ClosedorDropped xmlns="97652380-f626-4dbc-9109-dd1f802f7e13" xsi:nil="true"/>
    <lcf76f155ced4ddcb4097134ff3c332f xmlns="97652380-f626-4dbc-9109-dd1f802f7e13">
      <Terms xmlns="http://schemas.microsoft.com/office/infopath/2007/PartnerControls"/>
    </lcf76f155ced4ddcb4097134ff3c332f>
    <TaxCatchAll xmlns="3e02667f-0271-471b-bd6e-11a2e16def1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B53659F4BC37E4AA8A7FC9A1BAE46D2" ma:contentTypeVersion="18" ma:contentTypeDescription="Create a new document." ma:contentTypeScope="" ma:versionID="1c7d6d29f095a4530211526f8a5438e7">
  <xsd:schema xmlns:xsd="http://www.w3.org/2001/XMLSchema" xmlns:xs="http://www.w3.org/2001/XMLSchema" xmlns:p="http://schemas.microsoft.com/office/2006/metadata/properties" xmlns:ns2="5e7cb054-2895-40de-9ac5-c4144e934bb2" xmlns:ns3="97652380-f626-4dbc-9109-dd1f802f7e13" xmlns:ns4="3e02667f-0271-471b-bd6e-11a2e16def1d" targetNamespace="http://schemas.microsoft.com/office/2006/metadata/properties" ma:root="true" ma:fieldsID="ed651fd2bc9bfdff7321c9d60438eb0d" ns2:_="" ns3:_="" ns4:_="">
    <xsd:import namespace="5e7cb054-2895-40de-9ac5-c4144e934bb2"/>
    <xsd:import namespace="97652380-f626-4dbc-9109-dd1f802f7e13"/>
    <xsd:import namespace="3e02667f-0271-471b-bd6e-11a2e16def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wb_DocIDs" minOccurs="0"/>
                <xsd:element ref="ns3:MediaLengthInSeconds" minOccurs="0"/>
                <xsd:element ref="ns3:Active_x002c_ClosedorDropped" minOccurs="0"/>
                <xsd:element ref="ns3:lcf76f155ced4ddcb4097134ff3c332f" minOccurs="0"/>
                <xsd:element ref="ns4: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7cb054-2895-40de-9ac5-c4144e934bb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52380-f626-4dbc-9109-dd1f802f7e13"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Active_x002c_ClosedorDropped" ma:index="22" nillable="true" ma:displayName="Active, Closed or Dropped" ma:format="Dropdown" ma:indexed="true" ma:internalName="Active_x002c_ClosedorDropped">
      <xsd:simpleType>
        <xsd:restriction base="dms:Choice">
          <xsd:enumeration value="Active"/>
          <xsd:enumeration value="Closed"/>
          <xsd:enumeration value="Dropped"/>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a6c10d7-b926-4fc0-945e-3cbf5049f6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02667f-0271-471b-bd6e-11a2e16def1d" elementFormDefault="qualified">
    <xsd:import namespace="http://schemas.microsoft.com/office/2006/documentManagement/types"/>
    <xsd:import namespace="http://schemas.microsoft.com/office/infopath/2007/PartnerControls"/>
    <xsd:element name="wb_DocIDs" ma:index="20" nillable="true" ma:displayName="DocIDs" ma:internalName="wb_DocIDs">
      <xsd:simpleType>
        <xsd:restriction base="dms:Text"/>
      </xsd:simpleType>
    </xsd:element>
    <xsd:element name="TaxCatchAll" ma:index="25" nillable="true" ma:displayName="Taxonomy Catch All Column" ma:hidden="true" ma:list="{24a6e3cc-e57e-4a84-9da1-da22c1dd174f}" ma:internalName="TaxCatchAll" ma:showField="CatchAllData" ma:web="5e7cb054-2895-40de-9ac5-c4144e934b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87C137-BAB4-4EB5-904C-3C529CA9E5A7}">
  <ds:schemaRefs>
    <ds:schemaRef ds:uri="http://schemas.microsoft.com/sharepoint/v3/contenttype/forms"/>
  </ds:schemaRefs>
</ds:datastoreItem>
</file>

<file path=customXml/itemProps2.xml><?xml version="1.0" encoding="utf-8"?>
<ds:datastoreItem xmlns:ds="http://schemas.openxmlformats.org/officeDocument/2006/customXml" ds:itemID="{FE396E5B-3150-4C77-9A1F-4404B84444F4}">
  <ds:schemaRefs>
    <ds:schemaRef ds:uri="http://schemas.microsoft.com/office/2006/metadata/properties"/>
    <ds:schemaRef ds:uri="http://schemas.microsoft.com/office/infopath/2007/PartnerControls"/>
    <ds:schemaRef ds:uri="3e02667f-0271-471b-bd6e-11a2e16def1d"/>
    <ds:schemaRef ds:uri="97652380-f626-4dbc-9109-dd1f802f7e13"/>
  </ds:schemaRefs>
</ds:datastoreItem>
</file>

<file path=customXml/itemProps3.xml><?xml version="1.0" encoding="utf-8"?>
<ds:datastoreItem xmlns:ds="http://schemas.openxmlformats.org/officeDocument/2006/customXml" ds:itemID="{7DB71273-BCD9-4406-AF3C-19426C9BE2BE}">
  <ds:schemaRefs>
    <ds:schemaRef ds:uri="http://schemas.openxmlformats.org/officeDocument/2006/bibliography"/>
  </ds:schemaRefs>
</ds:datastoreItem>
</file>

<file path=customXml/itemProps4.xml><?xml version="1.0" encoding="utf-8"?>
<ds:datastoreItem xmlns:ds="http://schemas.openxmlformats.org/officeDocument/2006/customXml" ds:itemID="{39AA8729-A450-4690-B817-D5AD6EBA7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7cb054-2895-40de-9ac5-c4144e934bb2"/>
    <ds:schemaRef ds:uri="97652380-f626-4dbc-9109-dd1f802f7e13"/>
    <ds:schemaRef ds:uri="3e02667f-0271-471b-bd6e-11a2e16def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30</Pages>
  <Words>12814</Words>
  <Characters>73045</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WBG</Company>
  <LinksUpToDate>false</LinksUpToDate>
  <CharactersWithSpaces>85688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Dryden Mwangi Kirembu</dc:creator>
  <cp:keywords/>
  <dc:description/>
  <cp:lastModifiedBy>Dryden Mwangi Kirembu</cp:lastModifiedBy>
  <cp:revision>11</cp:revision>
  <dcterms:created xsi:type="dcterms:W3CDTF">2023-10-19T22:17:00Z</dcterms:created>
  <dcterms:modified xsi:type="dcterms:W3CDTF">2023-10-24T08:11:00Z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0x0101004B53659F4BC37E4AA8A7FC9A1BAE46D2</vt:lpwstr>
  </property>
  <property fmtid="{D5CDD505-2E9C-101B-9397-08002B2CF9AE}" pid="3" name="MediaServiceImageTags">
    <vt:lpwstr/>
  </property>
</Properties>
</file>