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lastRenderedPageBreak/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 xml:space="preserve">product </w:t>
      </w:r>
      <w:r w:rsidRPr="000B76CE">
        <w:rPr>
          <w:rFonts w:ascii="Arial Narrow" w:hAnsi="Arial Narrow" w:cs="Times New Roman"/>
          <w:color w:val="000000"/>
        </w:rPr>
        <w:lastRenderedPageBreak/>
        <w:t>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bidders </w:t>
      </w:r>
      <w:r w:rsidRPr="000B76CE">
        <w:rPr>
          <w:rFonts w:ascii="Arial Narrow" w:hAnsi="Arial Narrow" w:cs="Times New Roman"/>
          <w:color w:val="000000"/>
        </w:rPr>
        <w:lastRenderedPageBreak/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lastRenderedPageBreak/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 xml:space="preserve">contract. Disclosure </w:t>
      </w:r>
      <w:r w:rsidRPr="000B76CE">
        <w:rPr>
          <w:rFonts w:ascii="Arial Narrow" w:hAnsi="Arial Narrow" w:cs="Times New Roman"/>
          <w:color w:val="000000"/>
        </w:rPr>
        <w:lastRenderedPageBreak/>
        <w:t>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</w:t>
      </w:r>
      <w:r w:rsidRPr="00FD64D2">
        <w:rPr>
          <w:rFonts w:ascii="Arial Narrow" w:hAnsi="Arial Narrow" w:cs="Times New Roman"/>
          <w:color w:val="000000"/>
        </w:rPr>
        <w:lastRenderedPageBreak/>
        <w:t>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 xml:space="preserve">or omission </w:t>
      </w:r>
      <w:r w:rsidRPr="00AA49D4">
        <w:rPr>
          <w:rFonts w:ascii="Arial Narrow" w:hAnsi="Arial Narrow" w:cs="Times New Roman"/>
          <w:color w:val="000000"/>
        </w:rPr>
        <w:lastRenderedPageBreak/>
        <w:t>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>duration and its cause(s). As 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 xml:space="preserve">his discretion extend </w:t>
      </w:r>
      <w:r w:rsidRPr="00AA49D4">
        <w:rPr>
          <w:rFonts w:ascii="Arial Narrow" w:hAnsi="Arial Narrow" w:cs="Times New Roman"/>
          <w:color w:val="000000"/>
        </w:rPr>
        <w:lastRenderedPageBreak/>
        <w:t>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lastRenderedPageBreak/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lastRenderedPageBreak/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own merits. According to section 32 of 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the </w:t>
      </w:r>
      <w:r w:rsidRPr="007D077B">
        <w:rPr>
          <w:rFonts w:ascii="Arial Narrow" w:hAnsi="Arial Narrow" w:cs="Times New Roman"/>
          <w:color w:val="000000"/>
        </w:rPr>
        <w:lastRenderedPageBreak/>
        <w:t>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contract </w:t>
      </w:r>
      <w:r w:rsidRPr="007D077B">
        <w:rPr>
          <w:rFonts w:ascii="Arial Narrow" w:hAnsi="Arial Narrow" w:cs="Times New Roman"/>
          <w:color w:val="000000"/>
        </w:rPr>
        <w:lastRenderedPageBreak/>
        <w:t>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3BEB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2023-08-14T09:17:00Z</dcterms:created>
  <dcterms:modified xsi:type="dcterms:W3CDTF">2023-08-14T09:17:00Z</dcterms:modified>
</cp:coreProperties>
</file>