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4B2D1BAE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D42102">
        <w:rPr>
          <w:rFonts w:ascii="Calibri" w:hAnsi="Calibri" w:cs="Calibri"/>
          <w:color w:val="000000"/>
          <w:sz w:val="24"/>
          <w:szCs w:val="24"/>
        </w:rPr>
        <w:t>08-11</w:t>
      </w:r>
    </w:p>
    <w:p w14:paraId="48AA0D18" w14:textId="6FEE8681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3A7E3B" w:rsidRPr="003A7E3B">
        <w:t>076870</w:t>
      </w:r>
      <w:bookmarkEnd w:id="0"/>
    </w:p>
    <w:p w14:paraId="1AAB7A6B" w14:textId="024DD216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D42102">
        <w:rPr>
          <w:rFonts w:ascii="Arial" w:hAnsi="Arial" w:cs="Arial"/>
          <w:color w:val="000000"/>
          <w:sz w:val="24"/>
          <w:szCs w:val="24"/>
        </w:rPr>
        <w:t xml:space="preserve"> Elliosha Hajari</w:t>
      </w:r>
    </w:p>
    <w:p w14:paraId="6EA0A2E2" w14:textId="46CDE6AD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D42102">
        <w:rPr>
          <w:rFonts w:ascii="Arial" w:hAnsi="Arial" w:cs="Arial"/>
          <w:sz w:val="24"/>
          <w:szCs w:val="24"/>
        </w:rPr>
        <w:t>013 753 7029</w:t>
      </w:r>
    </w:p>
    <w:p w14:paraId="74605508" w14:textId="7C46CE0F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0" w:history="1">
        <w:r w:rsidR="00D42102">
          <w:rPr>
            <w:rStyle w:val="Hyperlink"/>
            <w:lang w:val="en-US" w:eastAsia="en-ZA"/>
          </w:rPr>
          <w:t>HajariE@arc.agric.za</w:t>
        </w:r>
      </w:hyperlink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404E9AE7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D42102">
        <w:rPr>
          <w:rFonts w:ascii="Calibri" w:hAnsi="Calibri" w:cs="Calibri"/>
          <w:color w:val="000000"/>
          <w:sz w:val="24"/>
          <w:szCs w:val="24"/>
        </w:rPr>
        <w:t>08-18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5FA5AA74" w:rsidR="007743FC" w:rsidRPr="00062FE7" w:rsidRDefault="00D4210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D4210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Gelrite</w:t>
            </w:r>
            <w:proofErr w:type="spellEnd"/>
            <w:r w:rsidRPr="00D4210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, Plant Cell Technology, 1 kg</w:t>
            </w:r>
          </w:p>
        </w:tc>
        <w:tc>
          <w:tcPr>
            <w:tcW w:w="1190" w:type="dxa"/>
          </w:tcPr>
          <w:p w14:paraId="4EDE49F8" w14:textId="7613335A" w:rsidR="007743FC" w:rsidRDefault="00D4210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D42102" w14:paraId="6A456CD4" w14:textId="77777777" w:rsidTr="00AF3EF5">
        <w:tc>
          <w:tcPr>
            <w:tcW w:w="617" w:type="dxa"/>
          </w:tcPr>
          <w:p w14:paraId="4DA981EA" w14:textId="445D7473" w:rsidR="00D42102" w:rsidRDefault="00D4210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7AE9CE83" w14:textId="70C15818" w:rsidR="00D42102" w:rsidRPr="00D42102" w:rsidRDefault="00D4210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210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Hydrochloric acid, 32%, 2.5L, brown glass bottle</w:t>
            </w:r>
          </w:p>
        </w:tc>
        <w:tc>
          <w:tcPr>
            <w:tcW w:w="1190" w:type="dxa"/>
          </w:tcPr>
          <w:p w14:paraId="76A475FE" w14:textId="59A5F669" w:rsidR="00D42102" w:rsidRDefault="00D42102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1E4F7B99" w14:textId="5C8170E2" w:rsidR="00D42102" w:rsidRPr="00094313" w:rsidRDefault="00D42102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26281DB4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1" w:history="1">
        <w:r w:rsidR="00547003" w:rsidRPr="0088196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2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94313"/>
    <w:rsid w:val="000979F5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803D32"/>
    <w:rsid w:val="0081487C"/>
    <w:rsid w:val="00815D41"/>
    <w:rsid w:val="00821C83"/>
    <w:rsid w:val="00835B8A"/>
    <w:rsid w:val="00844848"/>
    <w:rsid w:val="00855F25"/>
    <w:rsid w:val="0085768B"/>
    <w:rsid w:val="00860D95"/>
    <w:rsid w:val="00864898"/>
    <w:rsid w:val="00864D86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575F"/>
    <w:rsid w:val="00C96537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BalakaG@arc.agric.za" TargetMode="External"/><Relationship Id="rId5" Type="http://schemas.openxmlformats.org/officeDocument/2006/relationships/styles" Target="styles.xml"/><Relationship Id="rId10" Type="http://schemas.openxmlformats.org/officeDocument/2006/relationships/hyperlink" Target="mailto:HajariE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90f9c7c8-dc85-4e83-aff2-331ac0111ae2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6711C72-91C7-4A58-AECA-2AFDA15C7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2023-08-10T09:54:00Z</cp:lastPrinted>
  <dcterms:created xsi:type="dcterms:W3CDTF">2023-08-11T08:02:00Z</dcterms:created>
  <dcterms:modified xsi:type="dcterms:W3CDTF">2023-08-11T08:02:00Z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