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829BE" w14:textId="0225880B" w:rsidR="001A7082" w:rsidRPr="001A7082" w:rsidRDefault="000A4E99" w:rsidP="000A4E99">
      <w:pPr>
        <w:widowControl w:val="0"/>
        <w:tabs>
          <w:tab w:val="left" w:pos="900"/>
          <w:tab w:val="left" w:pos="2880"/>
          <w:tab w:val="left" w:pos="5760"/>
          <w:tab w:val="left" w:pos="7920"/>
        </w:tabs>
        <w:spacing w:after="0" w:line="240" w:lineRule="auto"/>
        <w:jc w:val="right"/>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0A4E99">
      <w:pPr>
        <w:widowControl w:val="0"/>
        <w:tabs>
          <w:tab w:val="left" w:pos="900"/>
          <w:tab w:val="left" w:pos="2880"/>
          <w:tab w:val="left" w:pos="5760"/>
          <w:tab w:val="left" w:pos="7920"/>
        </w:tabs>
        <w:spacing w:after="0" w:line="240" w:lineRule="auto"/>
        <w:ind w:left="900" w:hanging="900"/>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0A4E99">
      <w:pPr>
        <w:widowControl w:val="0"/>
        <w:pBdr>
          <w:bottom w:val="single" w:sz="6" w:space="1" w:color="auto"/>
        </w:pBdr>
        <w:tabs>
          <w:tab w:val="left" w:pos="900"/>
          <w:tab w:val="left" w:pos="2880"/>
          <w:tab w:val="left" w:pos="5760"/>
          <w:tab w:val="left" w:pos="7920"/>
        </w:tabs>
        <w:spacing w:after="0" w:line="240" w:lineRule="auto"/>
        <w:ind w:left="900" w:hanging="900"/>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375487A3" w14:textId="3D2D96F8" w:rsidR="00F8556A" w:rsidRDefault="004F6951" w:rsidP="00390EE3">
      <w:pPr>
        <w:widowControl w:val="0"/>
        <w:tabs>
          <w:tab w:val="num" w:pos="993"/>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ab/>
      </w:r>
      <w:r w:rsidR="00F8556A">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sidR="00F8556A">
        <w:rPr>
          <w:rFonts w:ascii="Arial" w:eastAsia="Times New Roman" w:hAnsi="Arial" w:cs="Arial"/>
          <w:snapToGrid w:val="0"/>
          <w:lang w:val="en-GB"/>
        </w:rPr>
        <w:t xml:space="preserve">point system for this tender is the </w:t>
      </w:r>
      <w:r w:rsidR="00F8556A" w:rsidRPr="00646443">
        <w:rPr>
          <w:rFonts w:ascii="Arial" w:eastAsia="Times New Roman" w:hAnsi="Arial" w:cs="Arial"/>
          <w:snapToGrid w:val="0"/>
          <w:color w:val="FF0000"/>
          <w:lang w:val="en-GB"/>
        </w:rPr>
        <w:t xml:space="preserve">80/20 </w:t>
      </w:r>
      <w:r w:rsidR="00F8556A">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390EE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29899A14" w14:textId="49FA9F28" w:rsidR="001A7082" w:rsidRPr="00705695" w:rsidRDefault="001A7082" w:rsidP="00390EE3">
      <w:pPr>
        <w:pStyle w:val="ListParagraph"/>
        <w:widowControl w:val="0"/>
        <w:numPr>
          <w:ilvl w:val="1"/>
          <w:numId w:val="1"/>
        </w:numPr>
        <w:tabs>
          <w:tab w:val="clear" w:pos="900"/>
          <w:tab w:val="left" w:pos="2880"/>
          <w:tab w:val="left" w:pos="5760"/>
          <w:tab w:val="left" w:pos="7920"/>
        </w:tabs>
        <w:spacing w:after="120" w:line="240" w:lineRule="auto"/>
        <w:ind w:left="0" w:firstLine="0"/>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390EE3">
      <w:pPr>
        <w:widowControl w:val="0"/>
        <w:numPr>
          <w:ilvl w:val="0"/>
          <w:numId w:val="3"/>
        </w:numPr>
        <w:tabs>
          <w:tab w:val="num" w:pos="1080"/>
          <w:tab w:val="left" w:pos="7920"/>
        </w:tabs>
        <w:spacing w:after="120" w:line="240" w:lineRule="auto"/>
        <w:ind w:left="1080" w:firstLine="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390EE3">
      <w:pPr>
        <w:widowControl w:val="0"/>
        <w:numPr>
          <w:ilvl w:val="0"/>
          <w:numId w:val="3"/>
        </w:numPr>
        <w:tabs>
          <w:tab w:val="num" w:pos="1080"/>
          <w:tab w:val="left" w:pos="7920"/>
        </w:tabs>
        <w:spacing w:after="120" w:line="240" w:lineRule="auto"/>
        <w:ind w:left="1080" w:firstLine="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390EE3">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390EE3">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6B62C809" w:rsidR="001A7082" w:rsidRPr="001A7082" w:rsidRDefault="000A4E99" w:rsidP="001A708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06F04EA3" w:rsidR="001A7082" w:rsidRPr="001A7082" w:rsidRDefault="000A4E99"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20</w:t>
            </w: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p w14:paraId="33446DDD" w14:textId="77777777" w:rsidR="000A4E99" w:rsidRPr="00871491" w:rsidRDefault="000A4E99" w:rsidP="00EA1C63">
      <w:pPr>
        <w:widowControl w:val="0"/>
        <w:spacing w:after="120" w:line="240" w:lineRule="auto"/>
        <w:jc w:val="both"/>
        <w:rPr>
          <w:rFonts w:ascii="Arial" w:eastAsia="Times New Roman" w:hAnsi="Arial" w:cs="Arial"/>
          <w:b/>
          <w:snapToGrid w:val="0"/>
          <w:lang w:val="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2695"/>
        <w:gridCol w:w="1807"/>
        <w:gridCol w:w="2252"/>
      </w:tblGrid>
      <w:tr w:rsidR="000A4E99" w:rsidRPr="001A7082" w14:paraId="1588AAFD" w14:textId="77777777" w:rsidTr="000A4E99">
        <w:trPr>
          <w:trHeight w:val="863"/>
        </w:trPr>
        <w:tc>
          <w:tcPr>
            <w:tcW w:w="2267" w:type="dxa"/>
            <w:tcBorders>
              <w:top w:val="nil"/>
            </w:tcBorders>
            <w:shd w:val="clear" w:color="auto" w:fill="AEAAAA" w:themeFill="background2" w:themeFillShade="BF"/>
            <w:vAlign w:val="center"/>
          </w:tcPr>
          <w:p w14:paraId="52912D4F" w14:textId="77777777" w:rsidR="000A4E99" w:rsidRPr="001A7082" w:rsidRDefault="000A4E99" w:rsidP="000A4E99">
            <w:pPr>
              <w:kinsoku w:val="0"/>
              <w:overflowPunct w:val="0"/>
              <w:spacing w:before="96" w:after="0" w:line="240" w:lineRule="auto"/>
              <w:jc w:val="center"/>
              <w:textAlignment w:val="baseline"/>
              <w:rPr>
                <w:rFonts w:ascii="Arial" w:eastAsia="Times New Roman" w:hAnsi="Arial" w:cs="Arial"/>
                <w:b/>
                <w:lang w:val="en-US"/>
              </w:rPr>
            </w:pPr>
            <w:r w:rsidRPr="001A7082">
              <w:rPr>
                <w:rFonts w:ascii="Arial" w:eastAsia="Times New Roman" w:hAnsi="Arial" w:cs="Arial"/>
                <w:b/>
                <w:kern w:val="24"/>
                <w:lang w:val="en-US"/>
              </w:rPr>
              <w:lastRenderedPageBreak/>
              <w:t>The specific goals allocated points in terms of this tender</w:t>
            </w:r>
          </w:p>
        </w:tc>
        <w:tc>
          <w:tcPr>
            <w:tcW w:w="2695" w:type="dxa"/>
            <w:shd w:val="clear" w:color="auto" w:fill="C00000"/>
          </w:tcPr>
          <w:p w14:paraId="4A5F06E1" w14:textId="35C0F599" w:rsidR="000A4E99" w:rsidRPr="000A4E99" w:rsidRDefault="000A4E99" w:rsidP="00C60B43">
            <w:pPr>
              <w:kinsoku w:val="0"/>
              <w:overflowPunct w:val="0"/>
              <w:spacing w:before="96" w:after="0" w:line="240" w:lineRule="auto"/>
              <w:jc w:val="center"/>
              <w:textAlignment w:val="baseline"/>
              <w:rPr>
                <w:rFonts w:ascii="Arial" w:eastAsia="Times New Roman" w:hAnsi="Arial" w:cs="Arial"/>
                <w:b/>
                <w:color w:val="171717" w:themeColor="background2" w:themeShade="1A"/>
                <w:kern w:val="24"/>
                <w:sz w:val="24"/>
                <w:szCs w:val="24"/>
                <w:lang w:val="en-US"/>
              </w:rPr>
            </w:pPr>
            <w:r w:rsidRPr="000A4E99">
              <w:rPr>
                <w:rFonts w:ascii="Arial" w:eastAsia="Times New Roman" w:hAnsi="Arial" w:cs="Arial"/>
                <w:b/>
                <w:color w:val="171717" w:themeColor="background2" w:themeShade="1A"/>
                <w:kern w:val="24"/>
                <w:sz w:val="24"/>
                <w:szCs w:val="24"/>
                <w:lang w:val="en-US"/>
              </w:rPr>
              <w:t>Evidence</w:t>
            </w:r>
          </w:p>
        </w:tc>
        <w:tc>
          <w:tcPr>
            <w:tcW w:w="1807" w:type="dxa"/>
            <w:shd w:val="clear" w:color="auto" w:fill="C00000"/>
            <w:vAlign w:val="center"/>
          </w:tcPr>
          <w:p w14:paraId="75446978" w14:textId="0CF5BCF7" w:rsidR="000A4E99" w:rsidRPr="000A4E99" w:rsidRDefault="000A4E99" w:rsidP="00C60B43">
            <w:pPr>
              <w:kinsoku w:val="0"/>
              <w:overflowPunct w:val="0"/>
              <w:spacing w:before="96" w:after="0" w:line="240" w:lineRule="auto"/>
              <w:jc w:val="center"/>
              <w:textAlignment w:val="baseline"/>
              <w:rPr>
                <w:rFonts w:ascii="Arial" w:eastAsia="Times New Roman" w:hAnsi="Arial" w:cs="Arial"/>
                <w:b/>
                <w:color w:val="171717" w:themeColor="background2" w:themeShade="1A"/>
                <w:kern w:val="24"/>
                <w:lang w:val="en-US"/>
              </w:rPr>
            </w:pPr>
            <w:r w:rsidRPr="000A4E99">
              <w:rPr>
                <w:rFonts w:ascii="Arial" w:eastAsia="Times New Roman" w:hAnsi="Arial" w:cs="Arial"/>
                <w:b/>
                <w:color w:val="171717" w:themeColor="background2" w:themeShade="1A"/>
                <w:kern w:val="24"/>
                <w:lang w:val="en-US"/>
              </w:rPr>
              <w:t>Number of points</w:t>
            </w:r>
          </w:p>
          <w:p w14:paraId="5C8F0C1D" w14:textId="77777777" w:rsidR="000A4E99" w:rsidRPr="000A4E99" w:rsidRDefault="000A4E99" w:rsidP="001A7082">
            <w:pPr>
              <w:kinsoku w:val="0"/>
              <w:overflowPunct w:val="0"/>
              <w:spacing w:before="96" w:after="0" w:line="240" w:lineRule="auto"/>
              <w:jc w:val="center"/>
              <w:textAlignment w:val="baseline"/>
              <w:rPr>
                <w:rFonts w:ascii="Arial" w:eastAsia="Times New Roman" w:hAnsi="Arial" w:cs="Arial"/>
                <w:b/>
                <w:color w:val="171717" w:themeColor="background2" w:themeShade="1A"/>
                <w:kern w:val="24"/>
                <w:lang w:val="en-US"/>
              </w:rPr>
            </w:pPr>
            <w:r w:rsidRPr="000A4E99">
              <w:rPr>
                <w:rFonts w:ascii="Arial" w:eastAsia="Times New Roman" w:hAnsi="Arial" w:cs="Arial"/>
                <w:b/>
                <w:color w:val="171717" w:themeColor="background2" w:themeShade="1A"/>
                <w:kern w:val="24"/>
                <w:lang w:val="en-US"/>
              </w:rPr>
              <w:t>allocated</w:t>
            </w:r>
          </w:p>
          <w:p w14:paraId="7CD54E67" w14:textId="77777777" w:rsidR="000A4E99" w:rsidRPr="000A4E99" w:rsidRDefault="000A4E99" w:rsidP="001A7082">
            <w:pPr>
              <w:kinsoku w:val="0"/>
              <w:overflowPunct w:val="0"/>
              <w:spacing w:before="96" w:after="0" w:line="240" w:lineRule="auto"/>
              <w:jc w:val="center"/>
              <w:textAlignment w:val="baseline"/>
              <w:rPr>
                <w:rFonts w:ascii="Arial" w:eastAsia="Times New Roman" w:hAnsi="Arial" w:cs="Arial"/>
                <w:b/>
                <w:color w:val="171717" w:themeColor="background2" w:themeShade="1A"/>
                <w:kern w:val="24"/>
                <w:lang w:val="en-US"/>
              </w:rPr>
            </w:pPr>
            <w:r w:rsidRPr="000A4E99">
              <w:rPr>
                <w:rFonts w:ascii="Arial" w:eastAsia="Times New Roman" w:hAnsi="Arial" w:cs="Arial"/>
                <w:b/>
                <w:color w:val="171717" w:themeColor="background2" w:themeShade="1A"/>
                <w:kern w:val="24"/>
                <w:lang w:val="en-US"/>
              </w:rPr>
              <w:t>(80/20 system)</w:t>
            </w:r>
          </w:p>
          <w:p w14:paraId="76D0A78C" w14:textId="3A04B545" w:rsidR="000A4E99" w:rsidRPr="000A4E99" w:rsidRDefault="000A4E99" w:rsidP="001A7082">
            <w:pPr>
              <w:kinsoku w:val="0"/>
              <w:overflowPunct w:val="0"/>
              <w:spacing w:before="96" w:after="0" w:line="240" w:lineRule="auto"/>
              <w:jc w:val="center"/>
              <w:textAlignment w:val="baseline"/>
              <w:rPr>
                <w:rFonts w:ascii="Arial" w:eastAsia="Times New Roman" w:hAnsi="Arial" w:cs="Arial"/>
                <w:b/>
                <w:color w:val="171717" w:themeColor="background2" w:themeShade="1A"/>
                <w:lang w:val="en-US"/>
              </w:rPr>
            </w:pPr>
            <w:r w:rsidRPr="000A4E99">
              <w:rPr>
                <w:rFonts w:ascii="Arial" w:eastAsia="Times New Roman" w:hAnsi="Arial" w:cs="Arial"/>
                <w:b/>
                <w:color w:val="171717" w:themeColor="background2" w:themeShade="1A"/>
                <w:kern w:val="24"/>
                <w:lang w:val="en-US"/>
              </w:rPr>
              <w:t>(To be completed by the organ of state)</w:t>
            </w:r>
          </w:p>
        </w:tc>
        <w:tc>
          <w:tcPr>
            <w:tcW w:w="2252" w:type="dxa"/>
            <w:shd w:val="clear" w:color="auto" w:fill="F4B083" w:themeFill="accent2" w:themeFillTint="99"/>
          </w:tcPr>
          <w:p w14:paraId="5D642773" w14:textId="77777777" w:rsidR="000A4E99" w:rsidRDefault="000A4E99"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0A4E99" w:rsidRPr="001A7082" w:rsidRDefault="000A4E99"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0A4E99" w:rsidRPr="001A7082" w14:paraId="529AEE2E" w14:textId="77777777" w:rsidTr="000A4E99">
        <w:trPr>
          <w:trHeight w:val="317"/>
        </w:trPr>
        <w:tc>
          <w:tcPr>
            <w:tcW w:w="2267" w:type="dxa"/>
            <w:shd w:val="clear" w:color="auto" w:fill="auto"/>
          </w:tcPr>
          <w:p w14:paraId="37147497" w14:textId="621AF969" w:rsidR="000A4E99" w:rsidRPr="000A4E99" w:rsidRDefault="000A4E99" w:rsidP="000A4E99">
            <w:pPr>
              <w:kinsoku w:val="0"/>
              <w:overflowPunct w:val="0"/>
              <w:spacing w:before="115" w:after="0" w:line="240" w:lineRule="auto"/>
              <w:textAlignment w:val="baseline"/>
              <w:rPr>
                <w:rFonts w:ascii="Arial" w:eastAsia="Times New Roman" w:hAnsi="Arial" w:cs="Arial"/>
                <w:lang w:val="en-US"/>
              </w:rPr>
            </w:pPr>
            <w:r w:rsidRPr="000A4E99">
              <w:rPr>
                <w:rFonts w:ascii="Arial" w:eastAsia="Times New Roman" w:hAnsi="Arial" w:cs="Arial"/>
                <w:noProof/>
                <w:sz w:val="20"/>
                <w:szCs w:val="20"/>
                <w:lang w:val="en-GB" w:eastAsia="en-GB"/>
              </w:rPr>
              <w:t>Persons, or categories of persons, historically disadvantaged- (HDI) by unfair dis crimination on the basis of</w:t>
            </w:r>
          </w:p>
        </w:tc>
        <w:tc>
          <w:tcPr>
            <w:tcW w:w="2695" w:type="dxa"/>
          </w:tcPr>
          <w:p w14:paraId="5F8B9448" w14:textId="77777777" w:rsidR="000A4E99" w:rsidRPr="000A4E99" w:rsidRDefault="000A4E99" w:rsidP="000A4E99">
            <w:pPr>
              <w:pStyle w:val="ListParagraph"/>
              <w:numPr>
                <w:ilvl w:val="0"/>
                <w:numId w:val="17"/>
              </w:numPr>
              <w:autoSpaceDE w:val="0"/>
              <w:autoSpaceDN w:val="0"/>
              <w:spacing w:after="0" w:line="240" w:lineRule="auto"/>
              <w:rPr>
                <w:rFonts w:ascii="Arial" w:eastAsia="Times New Roman" w:hAnsi="Arial" w:cs="Arial"/>
                <w:noProof/>
                <w:sz w:val="20"/>
                <w:szCs w:val="20"/>
                <w:lang w:val="en-GB" w:eastAsia="en-GB"/>
              </w:rPr>
            </w:pPr>
            <w:r w:rsidRPr="000A4E99">
              <w:rPr>
                <w:rFonts w:ascii="Arial" w:eastAsia="Times New Roman" w:hAnsi="Arial" w:cs="Arial"/>
                <w:noProof/>
                <w:sz w:val="20"/>
                <w:szCs w:val="20"/>
                <w:lang w:val="en-GB" w:eastAsia="en-GB"/>
              </w:rPr>
              <w:t>Proof of B-BBEE certificate;</w:t>
            </w:r>
          </w:p>
          <w:p w14:paraId="08C4684C" w14:textId="77777777" w:rsidR="000A4E99" w:rsidRPr="000A4E99" w:rsidRDefault="000A4E99" w:rsidP="000A4E99">
            <w:pPr>
              <w:pStyle w:val="ListParagraph"/>
              <w:numPr>
                <w:ilvl w:val="0"/>
                <w:numId w:val="17"/>
              </w:numPr>
              <w:autoSpaceDE w:val="0"/>
              <w:autoSpaceDN w:val="0"/>
              <w:spacing w:after="0" w:line="240" w:lineRule="auto"/>
              <w:rPr>
                <w:rFonts w:ascii="Arial" w:eastAsia="Times New Roman" w:hAnsi="Arial" w:cs="Arial"/>
                <w:noProof/>
                <w:sz w:val="20"/>
                <w:szCs w:val="20"/>
                <w:lang w:val="en-GB" w:eastAsia="en-GB"/>
              </w:rPr>
            </w:pPr>
            <w:r w:rsidRPr="000A4E99">
              <w:rPr>
                <w:rFonts w:ascii="Arial" w:eastAsia="Times New Roman" w:hAnsi="Arial" w:cs="Arial"/>
                <w:noProof/>
                <w:sz w:val="20"/>
                <w:szCs w:val="20"/>
                <w:lang w:val="en-GB" w:eastAsia="en-GB"/>
              </w:rPr>
              <w:t>Company Registration Certification</w:t>
            </w:r>
          </w:p>
          <w:p w14:paraId="71E1F2CA" w14:textId="77777777" w:rsidR="000A4E99" w:rsidRPr="000A4E99" w:rsidRDefault="000A4E99" w:rsidP="000A4E99">
            <w:pPr>
              <w:pStyle w:val="ListParagraph"/>
              <w:numPr>
                <w:ilvl w:val="0"/>
                <w:numId w:val="17"/>
              </w:numPr>
              <w:autoSpaceDE w:val="0"/>
              <w:autoSpaceDN w:val="0"/>
              <w:spacing w:after="0" w:line="240" w:lineRule="auto"/>
              <w:rPr>
                <w:rFonts w:ascii="Arial" w:eastAsia="Times New Roman" w:hAnsi="Arial" w:cs="Arial"/>
                <w:noProof/>
                <w:sz w:val="20"/>
                <w:szCs w:val="20"/>
                <w:lang w:val="en-GB" w:eastAsia="en-GB"/>
              </w:rPr>
            </w:pPr>
            <w:r w:rsidRPr="000A4E99">
              <w:rPr>
                <w:rFonts w:ascii="Arial" w:eastAsia="Times New Roman" w:hAnsi="Arial" w:cs="Arial"/>
                <w:noProof/>
                <w:sz w:val="20"/>
                <w:szCs w:val="20"/>
                <w:lang w:val="en-GB" w:eastAsia="en-GB"/>
              </w:rPr>
              <w:t>Identification Documentation.</w:t>
            </w:r>
          </w:p>
          <w:p w14:paraId="68D17721" w14:textId="042C1EA8" w:rsidR="000A4E99" w:rsidRPr="000A4E99" w:rsidRDefault="000A4E99" w:rsidP="000A4E99">
            <w:pPr>
              <w:pStyle w:val="ListParagraph"/>
              <w:numPr>
                <w:ilvl w:val="0"/>
                <w:numId w:val="17"/>
              </w:numPr>
              <w:kinsoku w:val="0"/>
              <w:overflowPunct w:val="0"/>
              <w:spacing w:before="115" w:after="0" w:line="240" w:lineRule="auto"/>
              <w:ind w:left="41"/>
              <w:jc w:val="center"/>
              <w:textAlignment w:val="baseline"/>
              <w:rPr>
                <w:rFonts w:ascii="Arial" w:eastAsia="Times New Roman" w:hAnsi="Arial" w:cs="Arial"/>
                <w:lang w:val="en-US"/>
              </w:rPr>
            </w:pPr>
            <w:r w:rsidRPr="000A4E99">
              <w:rPr>
                <w:rFonts w:ascii="Arial" w:eastAsia="Times New Roman" w:hAnsi="Arial" w:cs="Arial"/>
                <w:noProof/>
                <w:sz w:val="20"/>
                <w:szCs w:val="20"/>
                <w:lang w:val="en-GB" w:eastAsia="en-GB"/>
              </w:rPr>
              <w:t>CSD report</w:t>
            </w:r>
          </w:p>
        </w:tc>
        <w:tc>
          <w:tcPr>
            <w:tcW w:w="1807" w:type="dxa"/>
            <w:shd w:val="clear" w:color="auto" w:fill="auto"/>
          </w:tcPr>
          <w:p w14:paraId="20F397AA" w14:textId="3A97B397" w:rsidR="000A4E99" w:rsidRPr="001A7082" w:rsidRDefault="000A4E99" w:rsidP="000A4E99">
            <w:pPr>
              <w:kinsoku w:val="0"/>
              <w:overflowPunct w:val="0"/>
              <w:spacing w:before="96" w:after="0" w:line="240" w:lineRule="auto"/>
              <w:jc w:val="center"/>
              <w:textAlignment w:val="baseline"/>
              <w:rPr>
                <w:rFonts w:ascii="Arial" w:eastAsia="Times New Roman" w:hAnsi="Arial" w:cs="Arial"/>
                <w:lang w:val="en-US"/>
              </w:rPr>
            </w:pPr>
          </w:p>
        </w:tc>
        <w:tc>
          <w:tcPr>
            <w:tcW w:w="2252" w:type="dxa"/>
          </w:tcPr>
          <w:p w14:paraId="040518F4" w14:textId="77777777" w:rsidR="000A4E99" w:rsidRPr="001A7082" w:rsidRDefault="000A4E99" w:rsidP="001A7082">
            <w:pPr>
              <w:kinsoku w:val="0"/>
              <w:overflowPunct w:val="0"/>
              <w:spacing w:before="115" w:after="0" w:line="240" w:lineRule="auto"/>
              <w:jc w:val="center"/>
              <w:textAlignment w:val="baseline"/>
              <w:rPr>
                <w:rFonts w:ascii="Arial" w:eastAsia="Times New Roman" w:hAnsi="Arial" w:cs="Arial"/>
                <w:lang w:val="en-US"/>
              </w:rPr>
            </w:pPr>
          </w:p>
        </w:tc>
      </w:tr>
      <w:tr w:rsidR="000A4E99" w:rsidRPr="001A7082" w14:paraId="20506A73" w14:textId="77777777" w:rsidTr="000A4E99">
        <w:trPr>
          <w:trHeight w:val="317"/>
        </w:trPr>
        <w:tc>
          <w:tcPr>
            <w:tcW w:w="2267" w:type="dxa"/>
            <w:shd w:val="clear" w:color="auto" w:fill="auto"/>
          </w:tcPr>
          <w:p w14:paraId="0DC3A3F4" w14:textId="77777777" w:rsidR="000A4E99" w:rsidRPr="000A4E99" w:rsidRDefault="000A4E99" w:rsidP="000A4E99">
            <w:pPr>
              <w:spacing w:after="0" w:line="240" w:lineRule="auto"/>
              <w:rPr>
                <w:rFonts w:ascii="Arial" w:eastAsia="Calibri" w:hAnsi="Arial" w:cs="Arial"/>
                <w:b/>
                <w:bCs/>
                <w:noProof/>
                <w:sz w:val="20"/>
                <w:szCs w:val="20"/>
                <w:lang w:val="en-GB" w:eastAsia="en-ZA"/>
              </w:rPr>
            </w:pPr>
            <w:r w:rsidRPr="000A4E99">
              <w:rPr>
                <w:rFonts w:ascii="Arial" w:eastAsia="Calibri" w:hAnsi="Arial" w:cs="Arial"/>
                <w:b/>
                <w:bCs/>
                <w:noProof/>
                <w:sz w:val="20"/>
                <w:szCs w:val="20"/>
                <w:lang w:val="en-US" w:eastAsia="en-ZA"/>
              </w:rPr>
              <w:t>Race are black persons (ownership)*</w:t>
            </w:r>
          </w:p>
          <w:p w14:paraId="257570C7" w14:textId="77777777" w:rsidR="000A4E99" w:rsidRPr="000A4E99" w:rsidRDefault="000A4E99" w:rsidP="000A4E99">
            <w:pPr>
              <w:spacing w:after="0" w:line="240" w:lineRule="auto"/>
              <w:rPr>
                <w:rFonts w:ascii="Arial" w:eastAsia="Calibri" w:hAnsi="Arial" w:cs="Arial"/>
                <w:noProof/>
                <w:sz w:val="20"/>
                <w:szCs w:val="20"/>
                <w:lang w:val="en-US" w:eastAsia="en-ZA"/>
              </w:rPr>
            </w:pPr>
            <w:r w:rsidRPr="000A4E99">
              <w:rPr>
                <w:rFonts w:ascii="Arial" w:eastAsia="Calibri" w:hAnsi="Arial" w:cs="Arial"/>
                <w:noProof/>
                <w:sz w:val="20"/>
                <w:szCs w:val="20"/>
                <w:lang w:val="en-US" w:eastAsia="en-ZA"/>
              </w:rPr>
              <w:t xml:space="preserve">More than 50% black ownership = </w:t>
            </w:r>
          </w:p>
          <w:p w14:paraId="2574516B" w14:textId="77777777" w:rsidR="000A4E99" w:rsidRPr="000A4E99" w:rsidRDefault="000A4E99" w:rsidP="000A4E99">
            <w:pPr>
              <w:spacing w:after="0" w:line="240" w:lineRule="auto"/>
              <w:rPr>
                <w:rFonts w:ascii="Arial" w:eastAsia="Calibri" w:hAnsi="Arial" w:cs="Arial"/>
                <w:noProof/>
                <w:sz w:val="20"/>
                <w:szCs w:val="20"/>
                <w:lang w:val="en-US" w:eastAsia="en-ZA"/>
              </w:rPr>
            </w:pPr>
            <w:r w:rsidRPr="000A4E99">
              <w:rPr>
                <w:rFonts w:ascii="Arial" w:eastAsia="Calibri" w:hAnsi="Arial" w:cs="Arial"/>
                <w:noProof/>
                <w:sz w:val="20"/>
                <w:szCs w:val="20"/>
                <w:lang w:val="en-US" w:eastAsia="en-ZA"/>
              </w:rPr>
              <w:t>20 points</w:t>
            </w:r>
          </w:p>
          <w:p w14:paraId="7A644884" w14:textId="77777777" w:rsidR="000A4E99" w:rsidRPr="000A4E99" w:rsidRDefault="000A4E99" w:rsidP="000A4E99">
            <w:pPr>
              <w:spacing w:after="0" w:line="240" w:lineRule="auto"/>
              <w:rPr>
                <w:rFonts w:ascii="Arial" w:eastAsia="Calibri" w:hAnsi="Arial" w:cs="Arial"/>
                <w:noProof/>
                <w:sz w:val="20"/>
                <w:szCs w:val="20"/>
                <w:lang w:val="en-US" w:eastAsia="en-ZA"/>
              </w:rPr>
            </w:pPr>
            <w:r w:rsidRPr="000A4E99">
              <w:rPr>
                <w:rFonts w:ascii="Arial" w:eastAsia="Calibri" w:hAnsi="Arial" w:cs="Arial"/>
                <w:noProof/>
                <w:sz w:val="20"/>
                <w:szCs w:val="20"/>
                <w:lang w:val="en-US" w:eastAsia="en-ZA"/>
              </w:rPr>
              <w:t>Less than 50% black ownership = 10 points</w:t>
            </w:r>
          </w:p>
          <w:p w14:paraId="1CB034A1" w14:textId="743ED734" w:rsidR="000A4E99" w:rsidRPr="001A7082" w:rsidRDefault="000A4E99" w:rsidP="000A4E99">
            <w:pPr>
              <w:kinsoku w:val="0"/>
              <w:overflowPunct w:val="0"/>
              <w:spacing w:before="115" w:after="0" w:line="240" w:lineRule="auto"/>
              <w:jc w:val="center"/>
              <w:textAlignment w:val="baseline"/>
              <w:rPr>
                <w:rFonts w:ascii="Arial" w:eastAsia="Times New Roman" w:hAnsi="Arial" w:cs="Arial"/>
                <w:lang w:val="en-US"/>
              </w:rPr>
            </w:pPr>
            <w:r w:rsidRPr="000A4E99">
              <w:rPr>
                <w:rFonts w:ascii="Arial" w:eastAsia="Calibri" w:hAnsi="Arial" w:cs="Arial"/>
                <w:noProof/>
                <w:sz w:val="20"/>
                <w:szCs w:val="20"/>
                <w:lang w:val="en-US" w:eastAsia="en-ZA"/>
              </w:rPr>
              <w:t>0% black ownership = 0 points</w:t>
            </w:r>
          </w:p>
        </w:tc>
        <w:tc>
          <w:tcPr>
            <w:tcW w:w="2695" w:type="dxa"/>
          </w:tcPr>
          <w:p w14:paraId="5019790C" w14:textId="77777777" w:rsidR="000A4E99" w:rsidRPr="001A7082" w:rsidRDefault="000A4E99" w:rsidP="001A7082">
            <w:pPr>
              <w:kinsoku w:val="0"/>
              <w:overflowPunct w:val="0"/>
              <w:spacing w:before="115" w:after="0" w:line="240" w:lineRule="auto"/>
              <w:jc w:val="center"/>
              <w:textAlignment w:val="baseline"/>
              <w:rPr>
                <w:rFonts w:ascii="Arial" w:eastAsia="Times New Roman" w:hAnsi="Arial" w:cs="Arial"/>
                <w:lang w:val="en-US"/>
              </w:rPr>
            </w:pPr>
          </w:p>
        </w:tc>
        <w:tc>
          <w:tcPr>
            <w:tcW w:w="1807" w:type="dxa"/>
            <w:shd w:val="clear" w:color="auto" w:fill="auto"/>
          </w:tcPr>
          <w:p w14:paraId="57735278" w14:textId="46D40D92" w:rsidR="000A4E99" w:rsidRPr="001A7082" w:rsidRDefault="000A4E99" w:rsidP="001A7082">
            <w:pPr>
              <w:kinsoku w:val="0"/>
              <w:overflowPunct w:val="0"/>
              <w:spacing w:before="115" w:after="0" w:line="240" w:lineRule="auto"/>
              <w:jc w:val="center"/>
              <w:textAlignment w:val="baseline"/>
              <w:rPr>
                <w:rFonts w:ascii="Arial" w:eastAsia="Times New Roman" w:hAnsi="Arial" w:cs="Arial"/>
                <w:lang w:val="en-US"/>
              </w:rPr>
            </w:pPr>
          </w:p>
        </w:tc>
        <w:tc>
          <w:tcPr>
            <w:tcW w:w="2252" w:type="dxa"/>
          </w:tcPr>
          <w:p w14:paraId="0814C82F" w14:textId="77777777" w:rsidR="000A4E99" w:rsidRPr="001A7082" w:rsidRDefault="000A4E99"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footerReference w:type="default" r:id="rId12"/>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F9A78" w14:textId="77777777" w:rsidR="00C36CF6" w:rsidRDefault="00C36CF6" w:rsidP="003B6D93">
      <w:pPr>
        <w:spacing w:after="0" w:line="240" w:lineRule="auto"/>
      </w:pPr>
      <w:r>
        <w:separator/>
      </w:r>
    </w:p>
  </w:endnote>
  <w:endnote w:type="continuationSeparator" w:id="0">
    <w:p w14:paraId="14CCB69C" w14:textId="77777777" w:rsidR="00C36CF6" w:rsidRDefault="00C36CF6"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EA46E" w14:textId="77777777" w:rsidR="00C36CF6" w:rsidRDefault="00C36CF6" w:rsidP="003B6D93">
      <w:pPr>
        <w:spacing w:after="0" w:line="240" w:lineRule="auto"/>
      </w:pPr>
      <w:r>
        <w:separator/>
      </w:r>
    </w:p>
  </w:footnote>
  <w:footnote w:type="continuationSeparator" w:id="0">
    <w:p w14:paraId="6AB096D4" w14:textId="77777777" w:rsidR="00C36CF6" w:rsidRDefault="00C36CF6" w:rsidP="003B6D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175E91"/>
    <w:multiLevelType w:val="hybridMultilevel"/>
    <w:tmpl w:val="48B8108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7"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8"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2"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68CA6D8C"/>
    <w:multiLevelType w:val="hybridMultilevel"/>
    <w:tmpl w:val="D194B3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5" w15:restartNumberingAfterBreak="0">
    <w:nsid w:val="71C554DA"/>
    <w:multiLevelType w:val="hybridMultilevel"/>
    <w:tmpl w:val="F4A8917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6" w15:restartNumberingAfterBreak="0">
    <w:nsid w:val="7ECA5F6F"/>
    <w:multiLevelType w:val="hybridMultilevel"/>
    <w:tmpl w:val="C242E3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931237646">
    <w:abstractNumId w:val="0"/>
  </w:num>
  <w:num w:numId="2" w16cid:durableId="193084303">
    <w:abstractNumId w:val="3"/>
  </w:num>
  <w:num w:numId="3" w16cid:durableId="1348556464">
    <w:abstractNumId w:val="14"/>
  </w:num>
  <w:num w:numId="4" w16cid:durableId="2069108534">
    <w:abstractNumId w:val="10"/>
  </w:num>
  <w:num w:numId="5" w16cid:durableId="1012026301">
    <w:abstractNumId w:val="6"/>
  </w:num>
  <w:num w:numId="6" w16cid:durableId="348141811">
    <w:abstractNumId w:val="7"/>
  </w:num>
  <w:num w:numId="7" w16cid:durableId="570432343">
    <w:abstractNumId w:val="12"/>
  </w:num>
  <w:num w:numId="8" w16cid:durableId="2019429365">
    <w:abstractNumId w:val="11"/>
  </w:num>
  <w:num w:numId="9" w16cid:durableId="987519887">
    <w:abstractNumId w:val="4"/>
  </w:num>
  <w:num w:numId="10" w16cid:durableId="1344287846">
    <w:abstractNumId w:val="2"/>
  </w:num>
  <w:num w:numId="11" w16cid:durableId="537275144">
    <w:abstractNumId w:val="9"/>
  </w:num>
  <w:num w:numId="12" w16cid:durableId="49379694">
    <w:abstractNumId w:val="8"/>
  </w:num>
  <w:num w:numId="13" w16cid:durableId="100533993">
    <w:abstractNumId w:val="1"/>
  </w:num>
  <w:num w:numId="14" w16cid:durableId="1547447676">
    <w:abstractNumId w:val="15"/>
  </w:num>
  <w:num w:numId="15" w16cid:durableId="367801857">
    <w:abstractNumId w:val="16"/>
  </w:num>
  <w:num w:numId="16" w16cid:durableId="1756784847">
    <w:abstractNumId w:val="5"/>
  </w:num>
  <w:num w:numId="17" w16cid:durableId="21087677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A4E99"/>
    <w:rsid w:val="000D5B12"/>
    <w:rsid w:val="000E0271"/>
    <w:rsid w:val="000E7B50"/>
    <w:rsid w:val="000F076C"/>
    <w:rsid w:val="000F2B3F"/>
    <w:rsid w:val="000F48BA"/>
    <w:rsid w:val="00103065"/>
    <w:rsid w:val="0012378B"/>
    <w:rsid w:val="00131B82"/>
    <w:rsid w:val="00151777"/>
    <w:rsid w:val="001754BD"/>
    <w:rsid w:val="00180225"/>
    <w:rsid w:val="001A14EA"/>
    <w:rsid w:val="001A7082"/>
    <w:rsid w:val="001D060B"/>
    <w:rsid w:val="002304CC"/>
    <w:rsid w:val="00251EE3"/>
    <w:rsid w:val="002C3252"/>
    <w:rsid w:val="002F52DB"/>
    <w:rsid w:val="00317207"/>
    <w:rsid w:val="00327A21"/>
    <w:rsid w:val="003441F0"/>
    <w:rsid w:val="00350F7D"/>
    <w:rsid w:val="0037140C"/>
    <w:rsid w:val="00381D8B"/>
    <w:rsid w:val="003902FE"/>
    <w:rsid w:val="00390EE3"/>
    <w:rsid w:val="003B6D93"/>
    <w:rsid w:val="003E1BD3"/>
    <w:rsid w:val="00412659"/>
    <w:rsid w:val="004743FE"/>
    <w:rsid w:val="004C3B2B"/>
    <w:rsid w:val="004C566B"/>
    <w:rsid w:val="004F5BE8"/>
    <w:rsid w:val="004F6951"/>
    <w:rsid w:val="00521061"/>
    <w:rsid w:val="00531F81"/>
    <w:rsid w:val="00564A68"/>
    <w:rsid w:val="005A4856"/>
    <w:rsid w:val="005B70C7"/>
    <w:rsid w:val="005D5CD2"/>
    <w:rsid w:val="005E46A2"/>
    <w:rsid w:val="00633BD2"/>
    <w:rsid w:val="00635A36"/>
    <w:rsid w:val="00646443"/>
    <w:rsid w:val="0067273B"/>
    <w:rsid w:val="006B7A92"/>
    <w:rsid w:val="006C6DAD"/>
    <w:rsid w:val="00705695"/>
    <w:rsid w:val="00716DCA"/>
    <w:rsid w:val="007C114F"/>
    <w:rsid w:val="007D2F85"/>
    <w:rsid w:val="008565F1"/>
    <w:rsid w:val="00871491"/>
    <w:rsid w:val="00896810"/>
    <w:rsid w:val="008974F4"/>
    <w:rsid w:val="008C6D26"/>
    <w:rsid w:val="008D6A5B"/>
    <w:rsid w:val="008E5776"/>
    <w:rsid w:val="00913338"/>
    <w:rsid w:val="00920323"/>
    <w:rsid w:val="00991FE5"/>
    <w:rsid w:val="009C2B0B"/>
    <w:rsid w:val="009C5225"/>
    <w:rsid w:val="00A01D08"/>
    <w:rsid w:val="00A31BF0"/>
    <w:rsid w:val="00A36003"/>
    <w:rsid w:val="00A66F21"/>
    <w:rsid w:val="00A90435"/>
    <w:rsid w:val="00AB1A8B"/>
    <w:rsid w:val="00AF06E7"/>
    <w:rsid w:val="00B2256D"/>
    <w:rsid w:val="00B242AE"/>
    <w:rsid w:val="00B30153"/>
    <w:rsid w:val="00B3093E"/>
    <w:rsid w:val="00B648B8"/>
    <w:rsid w:val="00B715D9"/>
    <w:rsid w:val="00B76ABE"/>
    <w:rsid w:val="00BE1D49"/>
    <w:rsid w:val="00C16F1E"/>
    <w:rsid w:val="00C36CF6"/>
    <w:rsid w:val="00C44B2D"/>
    <w:rsid w:val="00C60B43"/>
    <w:rsid w:val="00C839E2"/>
    <w:rsid w:val="00CA16B5"/>
    <w:rsid w:val="00CF7813"/>
    <w:rsid w:val="00D00E54"/>
    <w:rsid w:val="00D07B68"/>
    <w:rsid w:val="00D238A9"/>
    <w:rsid w:val="00DE6C8E"/>
    <w:rsid w:val="00DF092D"/>
    <w:rsid w:val="00DF38A5"/>
    <w:rsid w:val="00E42F1A"/>
    <w:rsid w:val="00E77B49"/>
    <w:rsid w:val="00EA1C63"/>
    <w:rsid w:val="00F03139"/>
    <w:rsid w:val="00F12BD6"/>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MBD 6.1 IN TERMS OF PPR 2022</File_x0020_Description>
    <Published_x0020_Date xmlns="1d42235c-1810-439b-ab9d-5a1f7be116b4">2022-12-18T22:00:00+00:00</Published_x0020_Date>
    <Size xmlns="1d42235c-1810-439b-ab9d-5a1f7be116b4">51 kb</Size>
    <Content_x0020_Type xmlns="1d42235c-1810-439b-ab9d-5a1f7be116b4">Municipal Bidding Forms</Content_x0020_Type>
    <_dlc_DocId xmlns="b1e5365f-ecd0-4f2a-8b43-9380903b5f7a">ZQFRPC27J642-20-58</_dlc_DocId>
    <_dlc_DocIdUrl xmlns="b1e5365f-ecd0-4f2a-8b43-9380903b5f7a">
      <Url>http://ocpo.treasury.gov.za/Resource_Centre/_layouts/15/DocIdRedir.aspx?ID=ZQFRPC27J642-20-58</Url>
      <Description>ZQFRPC27J642-20-58</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EEC0F-05AD-4E15-B532-94C257DA7B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AC7090-4EBC-4887-9D00-C645035E1118}">
  <ds:schemaRefs>
    <ds:schemaRef ds:uri="http://schemas.microsoft.com/sharepoint/events"/>
  </ds:schemaRefs>
</ds:datastoreItem>
</file>

<file path=customXml/itemProps3.xml><?xml version="1.0" encoding="utf-8"?>
<ds:datastoreItem xmlns:ds="http://schemas.openxmlformats.org/officeDocument/2006/customXml" ds:itemID="{2E6F2295-C896-466F-92F6-94DBC6FBDBB0}">
  <ds:schemaRefs>
    <ds:schemaRef ds:uri="http://schemas.microsoft.com/sharepoint/v3/contenttype/forms"/>
  </ds:schemaRefs>
</ds:datastoreItem>
</file>

<file path=customXml/itemProps4.xml><?xml version="1.0" encoding="utf-8"?>
<ds:datastoreItem xmlns:ds="http://schemas.openxmlformats.org/officeDocument/2006/customXml" ds:itemID="{9852571B-5179-4477-8EE1-ECEC0B7E510F}">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5.xml><?xml version="1.0" encoding="utf-8"?>
<ds:datastoreItem xmlns:ds="http://schemas.openxmlformats.org/officeDocument/2006/customXml" ds:itemID="{0F5C46DA-4BDE-47C6-9837-EE21436C5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1187</Words>
  <Characters>6770</Characters>
  <Application>Microsoft Office Word</Application>
  <DocSecurity>4</DocSecurity>
  <Lines>56</Lines>
  <Paragraphs>15</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MBD 6.1</vt:lpstr>
      <vt:lpstr/>
      <vt:lpstr>80/20	or	90/10	</vt:lpstr>
      <vt:lpstr/>
      <vt:lpstr/>
      <vt:lpstr>80/20	               or	            90/10	</vt:lpstr>
    </vt:vector>
  </TitlesOfParts>
  <Company/>
  <LinksUpToDate>false</LinksUpToDate>
  <CharactersWithSpaces>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MBD 6.1 IN TERMS OF PPR 2022</dc:title>
  <dc:subject/>
  <dc:creator>Nkosinothando Mathebula</dc:creator>
  <cp:keywords/>
  <dc:description/>
  <cp:lastModifiedBy>Wendy Black</cp:lastModifiedBy>
  <cp:revision>2</cp:revision>
  <dcterms:created xsi:type="dcterms:W3CDTF">2023-07-17T08:24:00Z</dcterms:created>
  <dcterms:modified xsi:type="dcterms:W3CDTF">2023-07-17T08:24:00Z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1c70c9a7-16b2-4d50-befa-5ebf0ec24728</vt:lpwstr>
  </property>
</Properties>
</file>