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5C461F5B" w:rsidR="00EC662F" w:rsidRPr="00336747" w:rsidRDefault="00163A63" w:rsidP="00880865">
            <w:pPr>
              <w:spacing w:line="360" w:lineRule="auto"/>
              <w:jc w:val="both"/>
              <w:rPr>
                <w:rFonts w:ascii="Arial" w:hAnsi="Arial" w:cs="Arial"/>
                <w:sz w:val="20"/>
                <w:lang w:val="en-ZA"/>
              </w:rPr>
            </w:pPr>
            <w:r w:rsidRPr="003C476B">
              <w:rPr>
                <w:rFonts w:ascii="Arial" w:hAnsi="Arial" w:cs="Arial"/>
                <w:sz w:val="20"/>
              </w:rPr>
              <w:t>HV Line Construction</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6805C10D" w:rsidR="00EB6A30" w:rsidRPr="00F0521B" w:rsidRDefault="00163A63" w:rsidP="00EB03A4">
            <w:pPr>
              <w:spacing w:before="60" w:after="60" w:line="276" w:lineRule="auto"/>
              <w:jc w:val="both"/>
              <w:rPr>
                <w:rFonts w:ascii="Arial" w:hAnsi="Arial" w:cs="Arial"/>
                <w:sz w:val="20"/>
              </w:rPr>
            </w:pPr>
            <w:r w:rsidRPr="003C476B">
              <w:rPr>
                <w:rFonts w:ascii="Arial" w:hAnsi="Arial" w:cs="Arial"/>
                <w:sz w:val="20"/>
              </w:rPr>
              <w:t>5 years (as and when required)</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6B918D2C" w14:textId="6324BFDF" w:rsidR="006F7826" w:rsidRDefault="006F7826" w:rsidP="00B617FF">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5BFC34B2"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w:t>
      </w:r>
      <w:r w:rsidR="001D657A">
        <w:rPr>
          <w:rFonts w:ascii="Arial" w:hAnsi="Arial" w:cs="Arial"/>
          <w:bCs/>
          <w:sz w:val="20"/>
          <w:lang w:val="en-ZA"/>
        </w:rPr>
        <w:t>C</w:t>
      </w:r>
      <w:r w:rsidRPr="007133D2">
        <w:rPr>
          <w:rFonts w:ascii="Arial" w:hAnsi="Arial" w:cs="Arial"/>
          <w:bCs/>
          <w:sz w:val="20"/>
          <w:lang w:val="en-ZA"/>
        </w:rPr>
        <w:t xml:space="preserve">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77777777" w:rsidR="006F7826" w:rsidRPr="00AB5F47" w:rsidRDefault="006F7826" w:rsidP="006F7826">
      <w:pPr>
        <w:pStyle w:val="ListParagraph"/>
        <w:numPr>
          <w:ilvl w:val="0"/>
          <w:numId w:val="39"/>
        </w:numPr>
        <w:spacing w:after="200" w:line="276" w:lineRule="auto"/>
        <w:jc w:val="both"/>
        <w:rPr>
          <w:rFonts w:ascii="Arial" w:hAnsi="Arial" w:cs="Arial"/>
          <w:bCs/>
          <w:sz w:val="20"/>
          <w:lang w:val="en-ZA"/>
        </w:rPr>
      </w:pPr>
      <w:r w:rsidRPr="00AB5F47">
        <w:rPr>
          <w:rFonts w:ascii="Arial" w:hAnsi="Arial" w:cs="Arial"/>
          <w:bCs/>
          <w:sz w:val="20"/>
          <w:lang w:val="en-ZA"/>
        </w:rPr>
        <w:t>Proof of Disability (where applicable)</w:t>
      </w:r>
    </w:p>
    <w:p w14:paraId="4DB24353" w14:textId="0002D359" w:rsidR="00AB5F47" w:rsidRPr="00AB5F47" w:rsidRDefault="00AB5F47" w:rsidP="00AB5F47">
      <w:pPr>
        <w:pStyle w:val="ListParagraph"/>
        <w:numPr>
          <w:ilvl w:val="0"/>
          <w:numId w:val="39"/>
        </w:numPr>
        <w:spacing w:after="200" w:line="276" w:lineRule="auto"/>
        <w:jc w:val="both"/>
        <w:rPr>
          <w:rFonts w:ascii="Arial" w:hAnsi="Arial" w:cs="Arial"/>
          <w:bCs/>
          <w:sz w:val="20"/>
          <w:lang w:val="en-ZA"/>
        </w:rPr>
      </w:pPr>
      <w:r w:rsidRPr="00AB5F47">
        <w:rPr>
          <w:rFonts w:ascii="Arial" w:hAnsi="Arial" w:cs="Arial"/>
          <w:bCs/>
          <w:sz w:val="20"/>
          <w:lang w:val="en-ZA"/>
        </w:rPr>
        <w:t>In a case of a trust, consortium or joint venture (including incorporated consortia and joint ventures),</w:t>
      </w:r>
      <w:r>
        <w:rPr>
          <w:rFonts w:ascii="Arial" w:hAnsi="Arial" w:cs="Arial"/>
          <w:bCs/>
          <w:sz w:val="20"/>
          <w:lang w:val="en-ZA"/>
        </w:rPr>
        <w:t xml:space="preserve"> </w:t>
      </w:r>
      <w:r w:rsidRPr="00AB5F47">
        <w:rPr>
          <w:rFonts w:ascii="Arial" w:hAnsi="Arial" w:cs="Arial"/>
          <w:bCs/>
          <w:sz w:val="20"/>
          <w:lang w:val="en-ZA"/>
        </w:rPr>
        <w:t>a consolidated B-BBEE status level verification certificate.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40E54FBF" w14:textId="4492EC36" w:rsidR="006F7826" w:rsidRDefault="006F7826" w:rsidP="00EB6A30">
      <w:pPr>
        <w:spacing w:line="276" w:lineRule="auto"/>
        <w:rPr>
          <w:rFonts w:ascii="Arial" w:hAnsi="Arial" w:cs="Arial"/>
        </w:rPr>
      </w:pPr>
    </w:p>
    <w:p w14:paraId="537CB1CD" w14:textId="71BDEBAC" w:rsidR="006E5E06" w:rsidRDefault="006E5E06" w:rsidP="00EB6A30">
      <w:pPr>
        <w:spacing w:line="276" w:lineRule="auto"/>
        <w:rPr>
          <w:rFonts w:ascii="Arial" w:hAnsi="Arial" w:cs="Arial"/>
        </w:rPr>
      </w:pPr>
    </w:p>
    <w:p w14:paraId="1E071C66" w14:textId="272208C9" w:rsidR="006E5E06" w:rsidRDefault="006E5E06" w:rsidP="00EB6A30">
      <w:pPr>
        <w:spacing w:line="276" w:lineRule="auto"/>
        <w:rPr>
          <w:rFonts w:ascii="Arial" w:hAnsi="Arial" w:cs="Arial"/>
        </w:rPr>
      </w:pPr>
    </w:p>
    <w:p w14:paraId="5FB7E1D5" w14:textId="2CA49289" w:rsidR="006E5E06" w:rsidRDefault="006E5E06" w:rsidP="00EB6A30">
      <w:pPr>
        <w:spacing w:line="276" w:lineRule="auto"/>
        <w:rPr>
          <w:rFonts w:ascii="Arial" w:hAnsi="Arial" w:cs="Arial"/>
        </w:rPr>
      </w:pPr>
    </w:p>
    <w:p w14:paraId="32E7808F" w14:textId="77777777" w:rsidR="00163A63" w:rsidRDefault="00163A63" w:rsidP="00163A63">
      <w:pPr>
        <w:autoSpaceDE w:val="0"/>
        <w:autoSpaceDN w:val="0"/>
        <w:adjustRightInd w:val="0"/>
        <w:spacing w:line="276" w:lineRule="auto"/>
        <w:rPr>
          <w:rFonts w:ascii="Arial" w:hAnsi="Arial" w:cs="Arial"/>
          <w:b/>
          <w:sz w:val="20"/>
        </w:rPr>
      </w:pPr>
      <w:bookmarkStart w:id="0" w:name="_Hlk124873248"/>
      <w:r w:rsidRPr="003C476B">
        <w:rPr>
          <w:rFonts w:ascii="Arial" w:hAnsi="Arial" w:cs="Arial"/>
          <w:b/>
          <w:sz w:val="20"/>
        </w:rPr>
        <w:t>Section 2: Objective Criteria</w:t>
      </w:r>
    </w:p>
    <w:p w14:paraId="763BBC3F" w14:textId="77777777" w:rsidR="00163A63" w:rsidRPr="00D31779" w:rsidRDefault="00163A63" w:rsidP="00163A63">
      <w:pPr>
        <w:spacing w:line="276" w:lineRule="auto"/>
        <w:rPr>
          <w:rFonts w:ascii="Arial" w:hAnsi="Arial" w:cs="Arial"/>
          <w:b/>
          <w:sz w:val="20"/>
        </w:rPr>
      </w:pPr>
    </w:p>
    <w:p w14:paraId="6CB1B5F8" w14:textId="77777777" w:rsidR="00163A63" w:rsidRPr="00B46B09" w:rsidRDefault="00163A63" w:rsidP="00163A63">
      <w:pPr>
        <w:spacing w:line="276" w:lineRule="auto"/>
        <w:rPr>
          <w:rFonts w:ascii="Arial" w:hAnsi="Arial" w:cs="Arial"/>
          <w:b/>
          <w:i/>
          <w:iCs/>
          <w:sz w:val="20"/>
        </w:rPr>
      </w:pPr>
      <w:r w:rsidRPr="00B46B09">
        <w:rPr>
          <w:rFonts w:ascii="Arial" w:hAnsi="Arial" w:cs="Arial"/>
          <w:b/>
          <w:i/>
          <w:iCs/>
          <w:sz w:val="20"/>
        </w:rPr>
        <w:t xml:space="preserve">It is the end-user’s responsibility to ensure the execution of this step prior </w:t>
      </w:r>
      <w:r>
        <w:rPr>
          <w:rFonts w:ascii="Arial" w:hAnsi="Arial" w:cs="Arial"/>
          <w:b/>
          <w:i/>
          <w:iCs/>
          <w:sz w:val="20"/>
        </w:rPr>
        <w:t>project specific agreement</w:t>
      </w:r>
      <w:r w:rsidRPr="00B46B09">
        <w:rPr>
          <w:rFonts w:ascii="Arial" w:hAnsi="Arial" w:cs="Arial"/>
          <w:b/>
          <w:i/>
          <w:iCs/>
          <w:sz w:val="20"/>
        </w:rPr>
        <w:t xml:space="preserve"> issue.</w:t>
      </w:r>
    </w:p>
    <w:p w14:paraId="789ED94F" w14:textId="77777777" w:rsidR="00163A63" w:rsidRDefault="00163A63" w:rsidP="00163A63">
      <w:pPr>
        <w:autoSpaceDE w:val="0"/>
        <w:autoSpaceDN w:val="0"/>
        <w:adjustRightInd w:val="0"/>
        <w:spacing w:line="276" w:lineRule="auto"/>
        <w:rPr>
          <w:rFonts w:ascii="Arial" w:hAnsi="Arial" w:cs="Arial"/>
          <w:b/>
          <w:sz w:val="20"/>
        </w:rPr>
      </w:pPr>
    </w:p>
    <w:p w14:paraId="0103B366" w14:textId="77777777" w:rsidR="00163A63" w:rsidRPr="003C476B" w:rsidRDefault="00163A63" w:rsidP="00163A63">
      <w:pPr>
        <w:autoSpaceDE w:val="0"/>
        <w:autoSpaceDN w:val="0"/>
        <w:adjustRightInd w:val="0"/>
        <w:spacing w:line="276" w:lineRule="auto"/>
        <w:rPr>
          <w:rFonts w:ascii="Arial" w:hAnsi="Arial" w:cs="Arial"/>
          <w:b/>
          <w:sz w:val="20"/>
        </w:rPr>
      </w:pPr>
      <w:r>
        <w:rPr>
          <w:rFonts w:ascii="Arial" w:hAnsi="Arial" w:cs="Arial"/>
          <w:b/>
          <w:sz w:val="20"/>
        </w:rPr>
        <w:t xml:space="preserve">2.1 </w:t>
      </w:r>
      <w:r w:rsidRPr="003C476B">
        <w:rPr>
          <w:rFonts w:ascii="Arial" w:hAnsi="Arial" w:cs="Arial"/>
          <w:b/>
          <w:sz w:val="20"/>
        </w:rPr>
        <w:t>Designated Sectors</w:t>
      </w:r>
    </w:p>
    <w:p w14:paraId="060601BC" w14:textId="77777777" w:rsidR="00163A63" w:rsidRPr="003C476B" w:rsidRDefault="00163A63" w:rsidP="00163A63">
      <w:pPr>
        <w:autoSpaceDE w:val="0"/>
        <w:autoSpaceDN w:val="0"/>
        <w:adjustRightInd w:val="0"/>
        <w:spacing w:line="276" w:lineRule="auto"/>
        <w:rPr>
          <w:rFonts w:ascii="Arial" w:hAnsi="Arial" w:cs="Arial"/>
          <w:bCs/>
          <w:sz w:val="20"/>
        </w:rPr>
      </w:pPr>
    </w:p>
    <w:bookmarkEnd w:id="0"/>
    <w:p w14:paraId="2F7D4D2F" w14:textId="77777777" w:rsidR="00163A63" w:rsidRPr="003C476B" w:rsidRDefault="00163A63" w:rsidP="00163A63">
      <w:pPr>
        <w:spacing w:line="276" w:lineRule="auto"/>
        <w:rPr>
          <w:rFonts w:ascii="Arial" w:hAnsi="Arial" w:cs="Arial"/>
          <w:bCs/>
          <w:sz w:val="20"/>
        </w:rPr>
      </w:pPr>
      <w:r w:rsidRPr="003C476B">
        <w:rPr>
          <w:rFonts w:ascii="Arial" w:hAnsi="Arial" w:cs="Arial"/>
          <w:bCs/>
          <w:sz w:val="20"/>
        </w:rPr>
        <w:t xml:space="preserve">Designation will be determined at </w:t>
      </w:r>
      <w:r>
        <w:rPr>
          <w:rFonts w:ascii="Arial" w:hAnsi="Arial" w:cs="Arial"/>
          <w:bCs/>
          <w:sz w:val="20"/>
        </w:rPr>
        <w:t>project specific agreement</w:t>
      </w:r>
      <w:r w:rsidRPr="003C476B">
        <w:rPr>
          <w:rFonts w:ascii="Arial" w:hAnsi="Arial" w:cs="Arial"/>
          <w:bCs/>
          <w:sz w:val="20"/>
        </w:rPr>
        <w:t xml:space="preserve"> stage for each project prior issue.  Where designated sectors will be applicable, the </w:t>
      </w:r>
      <w:r>
        <w:rPr>
          <w:rFonts w:ascii="Arial" w:hAnsi="Arial" w:cs="Arial"/>
          <w:bCs/>
          <w:sz w:val="20"/>
        </w:rPr>
        <w:t xml:space="preserve">contractor will be required to submit </w:t>
      </w:r>
      <w:r w:rsidRPr="003C476B">
        <w:rPr>
          <w:rFonts w:ascii="Arial" w:hAnsi="Arial" w:cs="Arial"/>
          <w:bCs/>
          <w:sz w:val="20"/>
        </w:rPr>
        <w:t>SBD 6.2 Declaration Form and Annex C (Local Content Declaration-Summary Schedule)</w:t>
      </w:r>
      <w:r>
        <w:rPr>
          <w:rFonts w:ascii="Arial" w:hAnsi="Arial" w:cs="Arial"/>
          <w:bCs/>
          <w:sz w:val="20"/>
        </w:rPr>
        <w:t xml:space="preserve"> prior to project specific agreement issue.  This is </w:t>
      </w:r>
      <w:r w:rsidRPr="003C476B">
        <w:rPr>
          <w:rFonts w:ascii="Arial" w:hAnsi="Arial" w:cs="Arial"/>
          <w:bCs/>
          <w:sz w:val="20"/>
        </w:rPr>
        <w:t>mandatory.</w:t>
      </w:r>
    </w:p>
    <w:p w14:paraId="7506D8C6" w14:textId="77777777" w:rsidR="00163A63" w:rsidRPr="003C476B" w:rsidRDefault="00163A63" w:rsidP="00163A63">
      <w:pPr>
        <w:spacing w:line="276" w:lineRule="auto"/>
        <w:rPr>
          <w:rFonts w:ascii="Arial" w:hAnsi="Arial" w:cs="Arial"/>
          <w:bCs/>
          <w:sz w:val="20"/>
        </w:rPr>
      </w:pPr>
    </w:p>
    <w:p w14:paraId="22B71689" w14:textId="77777777" w:rsidR="00163A63" w:rsidRPr="003C476B" w:rsidRDefault="00163A63" w:rsidP="00163A63">
      <w:pPr>
        <w:spacing w:line="276" w:lineRule="auto"/>
        <w:jc w:val="both"/>
        <w:rPr>
          <w:rFonts w:ascii="Arial" w:hAnsi="Arial" w:cs="Arial"/>
          <w:b/>
          <w:sz w:val="20"/>
        </w:rPr>
      </w:pPr>
      <w:r w:rsidRPr="003C476B">
        <w:rPr>
          <w:rFonts w:ascii="Arial" w:hAnsi="Arial" w:cs="Arial"/>
          <w:b/>
          <w:sz w:val="20"/>
        </w:rPr>
        <w:t>2.2 Mandatory Subcontracting as Condition Of Award (Projects &gt;R30million)</w:t>
      </w:r>
    </w:p>
    <w:p w14:paraId="64E84588" w14:textId="77777777" w:rsidR="00163A63" w:rsidRPr="003C476B" w:rsidRDefault="00163A63" w:rsidP="00163A63">
      <w:pPr>
        <w:spacing w:line="276" w:lineRule="auto"/>
        <w:rPr>
          <w:rFonts w:ascii="Arial" w:eastAsiaTheme="minorHAnsi" w:hAnsi="Arial" w:cs="Arial"/>
          <w:sz w:val="20"/>
          <w:lang w:val="en-ZA"/>
        </w:rPr>
      </w:pPr>
    </w:p>
    <w:p w14:paraId="3DC06259" w14:textId="77777777" w:rsidR="00163A63" w:rsidRDefault="00163A63" w:rsidP="00163A63">
      <w:pPr>
        <w:spacing w:line="276" w:lineRule="auto"/>
        <w:rPr>
          <w:rFonts w:ascii="Arial" w:eastAsiaTheme="minorHAnsi" w:hAnsi="Arial" w:cs="Arial"/>
          <w:sz w:val="20"/>
          <w:lang w:val="en-ZA"/>
        </w:rPr>
      </w:pPr>
      <w:r w:rsidRPr="003C476B">
        <w:rPr>
          <w:rFonts w:ascii="Arial" w:eastAsiaTheme="minorHAnsi" w:hAnsi="Arial" w:cs="Arial"/>
          <w:sz w:val="20"/>
          <w:lang w:val="en-ZA"/>
        </w:rPr>
        <w:t xml:space="preserve">Applicability of mandatory subcontracting of 30% will be determined at </w:t>
      </w:r>
      <w:r>
        <w:rPr>
          <w:rFonts w:ascii="Arial" w:hAnsi="Arial" w:cs="Arial"/>
          <w:bCs/>
          <w:sz w:val="20"/>
        </w:rPr>
        <w:t>project specific agreement</w:t>
      </w:r>
      <w:r w:rsidRPr="003C476B">
        <w:rPr>
          <w:rFonts w:ascii="Arial" w:hAnsi="Arial" w:cs="Arial"/>
          <w:bCs/>
          <w:sz w:val="20"/>
        </w:rPr>
        <w:t xml:space="preserve"> </w:t>
      </w:r>
      <w:r w:rsidRPr="003C476B">
        <w:rPr>
          <w:rFonts w:ascii="Arial" w:eastAsiaTheme="minorHAnsi" w:hAnsi="Arial" w:cs="Arial"/>
          <w:sz w:val="20"/>
          <w:lang w:val="en-ZA"/>
        </w:rPr>
        <w:t>stage</w:t>
      </w:r>
      <w:r>
        <w:rPr>
          <w:rFonts w:ascii="Arial" w:eastAsiaTheme="minorHAnsi" w:hAnsi="Arial" w:cs="Arial"/>
          <w:sz w:val="20"/>
          <w:lang w:val="en-ZA"/>
        </w:rPr>
        <w:t>, this will be applicable to projects that are &gt;R30m.</w:t>
      </w:r>
    </w:p>
    <w:p w14:paraId="1889D869" w14:textId="77777777" w:rsidR="00163A63" w:rsidRDefault="00163A63" w:rsidP="00163A63">
      <w:pPr>
        <w:spacing w:before="240" w:after="120" w:line="276" w:lineRule="auto"/>
        <w:rPr>
          <w:rFonts w:ascii="Arial" w:hAnsi="Arial" w:cs="Arial"/>
          <w:b/>
          <w:sz w:val="20"/>
        </w:rPr>
      </w:pPr>
      <w:r w:rsidRPr="00BC1D2B">
        <w:rPr>
          <w:rFonts w:ascii="Arial" w:hAnsi="Arial" w:cs="Arial"/>
          <w:b/>
          <w:sz w:val="20"/>
        </w:rPr>
        <w:t>2.</w:t>
      </w:r>
      <w:r>
        <w:rPr>
          <w:rFonts w:ascii="Arial" w:hAnsi="Arial" w:cs="Arial"/>
          <w:b/>
          <w:sz w:val="20"/>
        </w:rPr>
        <w:t>3</w:t>
      </w:r>
      <w:r w:rsidRPr="00BC1D2B">
        <w:rPr>
          <w:rFonts w:ascii="Arial" w:hAnsi="Arial" w:cs="Arial"/>
          <w:b/>
          <w:sz w:val="20"/>
        </w:rPr>
        <w:t xml:space="preserve"> </w:t>
      </w:r>
      <w:r>
        <w:rPr>
          <w:rFonts w:ascii="Arial" w:hAnsi="Arial" w:cs="Arial"/>
          <w:b/>
          <w:sz w:val="20"/>
        </w:rPr>
        <w:t xml:space="preserve">Mandatory </w:t>
      </w:r>
      <w:r w:rsidRPr="00BC1D2B">
        <w:rPr>
          <w:rFonts w:ascii="Arial" w:hAnsi="Arial" w:cs="Arial"/>
          <w:b/>
          <w:sz w:val="20"/>
        </w:rPr>
        <w:t>CIDB Skills Development</w:t>
      </w:r>
    </w:p>
    <w:p w14:paraId="7B3FF315" w14:textId="77777777" w:rsidR="00163A63" w:rsidRDefault="00163A63" w:rsidP="00163A63">
      <w:pPr>
        <w:spacing w:before="240" w:after="120" w:line="276" w:lineRule="auto"/>
        <w:rPr>
          <w:rFonts w:ascii="Arial" w:hAnsi="Arial" w:cs="Arial"/>
          <w:bCs/>
          <w:sz w:val="20"/>
        </w:rPr>
      </w:pPr>
      <w:r>
        <w:rPr>
          <w:rFonts w:ascii="Arial" w:hAnsi="Arial" w:cs="Arial"/>
          <w:bCs/>
          <w:sz w:val="20"/>
        </w:rPr>
        <w:t>Construction Skills Development Goal (CSDG) will be applicable to projects that are R60m and above at project specific agreement stage.</w:t>
      </w:r>
    </w:p>
    <w:p w14:paraId="5F5D5CA5" w14:textId="77777777" w:rsidR="00163A63" w:rsidRPr="00BC1D2B" w:rsidRDefault="00163A63" w:rsidP="00163A63">
      <w:pPr>
        <w:spacing w:line="276" w:lineRule="auto"/>
        <w:rPr>
          <w:rFonts w:ascii="Arial" w:eastAsiaTheme="minorHAnsi" w:hAnsi="Arial" w:cs="Arial"/>
          <w:sz w:val="20"/>
          <w:lang w:val="en-ZA"/>
        </w:rPr>
      </w:pPr>
    </w:p>
    <w:p w14:paraId="1BB81510" w14:textId="77777777" w:rsidR="00163A63" w:rsidRPr="003C476B" w:rsidRDefault="00163A63" w:rsidP="00163A63">
      <w:pPr>
        <w:spacing w:line="276" w:lineRule="auto"/>
        <w:rPr>
          <w:rFonts w:ascii="Arial" w:hAnsi="Arial" w:cs="Arial"/>
          <w:b/>
          <w:sz w:val="20"/>
        </w:rPr>
      </w:pPr>
      <w:r w:rsidRPr="003C476B">
        <w:rPr>
          <w:rFonts w:ascii="Arial" w:hAnsi="Arial" w:cs="Arial"/>
          <w:b/>
          <w:sz w:val="20"/>
        </w:rPr>
        <w:t xml:space="preserve">Section 3: </w:t>
      </w:r>
      <w:bookmarkStart w:id="1" w:name="_Hlk124873330"/>
      <w:r w:rsidRPr="003C476B">
        <w:rPr>
          <w:rFonts w:ascii="Arial" w:hAnsi="Arial" w:cs="Arial"/>
          <w:b/>
          <w:sz w:val="20"/>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163A63" w:rsidRPr="003C476B" w14:paraId="057881DB" w14:textId="77777777" w:rsidTr="001D4018">
        <w:tc>
          <w:tcPr>
            <w:tcW w:w="9016" w:type="dxa"/>
            <w:shd w:val="clear" w:color="auto" w:fill="000000" w:themeFill="text1"/>
          </w:tcPr>
          <w:bookmarkEnd w:id="1"/>
          <w:p w14:paraId="000CC89B" w14:textId="77777777" w:rsidR="00163A63" w:rsidRPr="003C476B" w:rsidRDefault="00163A63" w:rsidP="001D4018">
            <w:pPr>
              <w:tabs>
                <w:tab w:val="left" w:pos="720"/>
              </w:tabs>
              <w:spacing w:line="276" w:lineRule="auto"/>
              <w:jc w:val="both"/>
              <w:rPr>
                <w:rFonts w:ascii="Arial" w:hAnsi="Arial" w:cs="Arial"/>
                <w:b/>
                <w:sz w:val="20"/>
              </w:rPr>
            </w:pPr>
            <w:r w:rsidRPr="003C476B">
              <w:rPr>
                <w:rFonts w:ascii="Arial" w:hAnsi="Arial" w:cs="Arial"/>
                <w:sz w:val="20"/>
              </w:rPr>
              <w:t>Tenderers who complete and submit the objectives as required, but who do not meet Eskom’s targets, will not be disqualified. SDL&amp;I objectives do not form part of scoring but commitments will form part of contractual obligations</w:t>
            </w:r>
          </w:p>
        </w:tc>
      </w:tr>
      <w:tr w:rsidR="00163A63" w:rsidRPr="003C476B" w14:paraId="496ACBE9" w14:textId="77777777" w:rsidTr="001D4018">
        <w:trPr>
          <w:trHeight w:val="2424"/>
        </w:trPr>
        <w:tc>
          <w:tcPr>
            <w:tcW w:w="9016" w:type="dxa"/>
            <w:shd w:val="clear" w:color="auto" w:fill="FFFFFF" w:themeFill="background1"/>
          </w:tcPr>
          <w:p w14:paraId="7B1A7417" w14:textId="77777777" w:rsidR="00163A63" w:rsidRPr="003C476B" w:rsidRDefault="00163A63" w:rsidP="001D4018">
            <w:pPr>
              <w:tabs>
                <w:tab w:val="left" w:pos="720"/>
              </w:tabs>
              <w:spacing w:line="276" w:lineRule="auto"/>
              <w:jc w:val="both"/>
              <w:rPr>
                <w:rFonts w:ascii="Arial" w:hAnsi="Arial" w:cs="Arial"/>
                <w:sz w:val="20"/>
              </w:rPr>
            </w:pPr>
            <w:r w:rsidRPr="003C476B">
              <w:rPr>
                <w:rFonts w:ascii="Arial" w:hAnsi="Arial" w:cs="Arial"/>
                <w:b/>
                <w:sz w:val="20"/>
              </w:rPr>
              <w:t>3.1 Transformation – BBBEE Improvement or Retention Plan</w:t>
            </w:r>
          </w:p>
          <w:p w14:paraId="40E4936E" w14:textId="77777777" w:rsidR="00163A63" w:rsidRPr="003C476B" w:rsidRDefault="00163A63" w:rsidP="001D4018">
            <w:pPr>
              <w:pStyle w:val="ListParagraph"/>
              <w:spacing w:line="276" w:lineRule="auto"/>
              <w:ind w:left="0"/>
              <w:jc w:val="both"/>
              <w:rPr>
                <w:rFonts w:ascii="Arial" w:eastAsiaTheme="minorHAnsi" w:hAnsi="Arial" w:cs="Arial"/>
                <w:sz w:val="20"/>
              </w:rPr>
            </w:pPr>
            <w:r w:rsidRPr="003C476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1BF8BB27" w14:textId="77777777" w:rsidR="00163A63" w:rsidRPr="003C476B" w:rsidRDefault="00163A63" w:rsidP="001D4018">
            <w:pPr>
              <w:pStyle w:val="ListParagraph"/>
              <w:spacing w:line="276" w:lineRule="auto"/>
              <w:ind w:left="0"/>
              <w:jc w:val="both"/>
              <w:rPr>
                <w:rFonts w:ascii="Arial" w:hAnsi="Arial" w:cs="Arial"/>
                <w:sz w:val="20"/>
              </w:rPr>
            </w:pPr>
          </w:p>
          <w:p w14:paraId="303098FE" w14:textId="77777777" w:rsidR="00163A63" w:rsidRPr="003C476B" w:rsidRDefault="00163A63" w:rsidP="001D4018">
            <w:pPr>
              <w:pStyle w:val="ListParagraph"/>
              <w:spacing w:line="276" w:lineRule="auto"/>
              <w:ind w:left="0"/>
              <w:jc w:val="both"/>
              <w:rPr>
                <w:rFonts w:ascii="Arial" w:hAnsi="Arial" w:cs="Arial"/>
                <w:sz w:val="20"/>
              </w:rPr>
            </w:pPr>
            <w:r w:rsidRPr="003C476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536A093C" w14:textId="77777777" w:rsidR="00163A63" w:rsidRPr="003C476B" w:rsidRDefault="00163A63" w:rsidP="001D4018">
            <w:pPr>
              <w:pStyle w:val="ListParagraph"/>
              <w:spacing w:line="276" w:lineRule="auto"/>
              <w:ind w:left="0"/>
              <w:jc w:val="both"/>
              <w:rPr>
                <w:rFonts w:ascii="Arial" w:hAnsi="Arial" w:cs="Arial"/>
                <w:sz w:val="20"/>
              </w:rPr>
            </w:pPr>
          </w:p>
          <w:p w14:paraId="25F12F25" w14:textId="77777777" w:rsidR="00163A63" w:rsidRPr="003C476B" w:rsidRDefault="00163A63" w:rsidP="001D4018">
            <w:pPr>
              <w:pStyle w:val="ListParagraph"/>
              <w:spacing w:line="276" w:lineRule="auto"/>
              <w:ind w:left="0"/>
              <w:jc w:val="both"/>
              <w:rPr>
                <w:rFonts w:ascii="Arial" w:hAnsi="Arial" w:cs="Arial"/>
                <w:sz w:val="20"/>
              </w:rPr>
            </w:pPr>
            <w:r w:rsidRPr="003C476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30AA6AF2" w14:textId="77777777" w:rsidR="00163A63" w:rsidRPr="003C476B" w:rsidRDefault="00163A63" w:rsidP="001D4018">
            <w:pPr>
              <w:pStyle w:val="ListParagraph"/>
              <w:spacing w:line="276" w:lineRule="auto"/>
              <w:ind w:left="0"/>
              <w:jc w:val="both"/>
              <w:rPr>
                <w:rFonts w:ascii="Arial" w:hAnsi="Arial" w:cs="Arial"/>
                <w:sz w:val="20"/>
              </w:rPr>
            </w:pPr>
          </w:p>
          <w:p w14:paraId="14D58ADA" w14:textId="77777777" w:rsidR="00163A63" w:rsidRPr="003C476B" w:rsidRDefault="00163A63" w:rsidP="001D4018">
            <w:pPr>
              <w:pStyle w:val="ListParagraph"/>
              <w:spacing w:line="276" w:lineRule="auto"/>
              <w:ind w:left="0"/>
              <w:jc w:val="both"/>
              <w:rPr>
                <w:rFonts w:ascii="Arial" w:hAnsi="Arial" w:cs="Arial"/>
                <w:sz w:val="20"/>
              </w:rPr>
            </w:pPr>
            <w:r w:rsidRPr="003C476B">
              <w:rPr>
                <w:rFonts w:ascii="Arial" w:hAnsi="Arial" w:cs="Arial"/>
                <w:sz w:val="20"/>
              </w:rPr>
              <w:t xml:space="preserve">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  Tenderer/s are requested to submit their B-BBEE Improvement Plan as an essential document within 30 days of signing the contract. </w:t>
            </w:r>
          </w:p>
          <w:p w14:paraId="5F3C84DE" w14:textId="77777777" w:rsidR="00163A63" w:rsidRPr="003C476B" w:rsidRDefault="00163A63" w:rsidP="001D4018">
            <w:pPr>
              <w:spacing w:line="276" w:lineRule="auto"/>
              <w:jc w:val="both"/>
              <w:rPr>
                <w:rFonts w:ascii="Arial" w:hAnsi="Arial" w:cs="Arial"/>
                <w:sz w:val="20"/>
              </w:rPr>
            </w:pPr>
            <w:r w:rsidRPr="003C476B">
              <w:rPr>
                <w:rFonts w:ascii="Arial" w:hAnsi="Arial" w:cs="Arial"/>
                <w:b/>
                <w:bCs/>
                <w:sz w:val="20"/>
              </w:rPr>
              <w:t xml:space="preserve">NB: </w:t>
            </w:r>
            <w:r w:rsidRPr="003C476B">
              <w:rPr>
                <w:rFonts w:ascii="Arial" w:hAnsi="Arial" w:cs="Arial"/>
                <w:sz w:val="20"/>
              </w:rPr>
              <w:t xml:space="preserve">A valid B-BBEE certificate or Sworn Affidavit is a condition for contract award, if your company’s annual Total Revenue is R10 Million or less you qualify as an Exempted Micro Enterprise therefore </w:t>
            </w:r>
            <w:r w:rsidRPr="003C476B">
              <w:rPr>
                <w:rFonts w:ascii="Arial" w:hAnsi="Arial" w:cs="Arial"/>
                <w:sz w:val="20"/>
              </w:rPr>
              <w:lastRenderedPageBreak/>
              <w:t>you can submit Sworn Affidavit. If your annual Total Revenue is R50 Million or less, you qualify as Qualifying Small Enterprise and must comply with all of the elements of QSE score card relevant to your sector unless an entity is at least 51% Black owned you are required to obtain a Sworn affidavit. If your Annual Total Revenue is above R50m you need to submit a Valid B-BBEE certificate</w:t>
            </w:r>
          </w:p>
          <w:p w14:paraId="2FC210EA" w14:textId="77777777" w:rsidR="00163A63" w:rsidRPr="003C476B" w:rsidRDefault="00163A63" w:rsidP="001D4018">
            <w:pPr>
              <w:spacing w:line="276" w:lineRule="auto"/>
              <w:jc w:val="both"/>
              <w:rPr>
                <w:rFonts w:ascii="Arial" w:hAnsi="Arial" w:cs="Arial"/>
                <w:sz w:val="20"/>
                <w:lang w:eastAsia="en-ZA"/>
              </w:rPr>
            </w:pPr>
          </w:p>
          <w:p w14:paraId="430FB9CC" w14:textId="77777777" w:rsidR="00163A63" w:rsidRPr="003C476B" w:rsidRDefault="00163A63" w:rsidP="001D4018">
            <w:pPr>
              <w:tabs>
                <w:tab w:val="left" w:pos="720"/>
              </w:tabs>
              <w:spacing w:line="276" w:lineRule="auto"/>
              <w:jc w:val="both"/>
              <w:rPr>
                <w:rFonts w:ascii="Arial" w:hAnsi="Arial" w:cs="Arial"/>
                <w:b/>
                <w:sz w:val="20"/>
                <w:lang w:val="en-ZA"/>
              </w:rPr>
            </w:pPr>
            <w:r w:rsidRPr="003C476B">
              <w:rPr>
                <w:rFonts w:ascii="Arial" w:hAnsi="Arial" w:cs="Arial"/>
                <w:b/>
                <w:sz w:val="20"/>
                <w:lang w:val="en-ZA"/>
              </w:rPr>
              <w:t>3.2 Local Procurement Content</w:t>
            </w:r>
          </w:p>
          <w:p w14:paraId="4D57AA50" w14:textId="77777777" w:rsidR="00163A63" w:rsidRPr="003C476B" w:rsidRDefault="00163A63" w:rsidP="001D4018">
            <w:pPr>
              <w:tabs>
                <w:tab w:val="left" w:pos="720"/>
              </w:tabs>
              <w:spacing w:line="276" w:lineRule="auto"/>
              <w:jc w:val="both"/>
              <w:rPr>
                <w:rFonts w:ascii="Arial" w:hAnsi="Arial" w:cs="Arial"/>
                <w:bCs/>
                <w:sz w:val="20"/>
                <w:lang w:val="en-ZA"/>
              </w:rPr>
            </w:pPr>
          </w:p>
          <w:p w14:paraId="372DABC9" w14:textId="77777777" w:rsidR="00163A63" w:rsidRPr="003C476B" w:rsidRDefault="00163A63" w:rsidP="001D4018">
            <w:pPr>
              <w:spacing w:line="276" w:lineRule="auto"/>
              <w:jc w:val="both"/>
              <w:rPr>
                <w:rFonts w:ascii="Arial" w:hAnsi="Arial" w:cs="Arial"/>
                <w:sz w:val="20"/>
              </w:rPr>
            </w:pPr>
            <w:r w:rsidRPr="003C476B">
              <w:rPr>
                <w:rFonts w:ascii="Arial" w:hAnsi="Arial" w:cs="Arial"/>
                <w:sz w:val="20"/>
              </w:rPr>
              <w:t xml:space="preserve">Local Procurement Content refers to value added in South Africa by South African resources. This contract only involves local goods and/or services, thus, local procurement content is </w:t>
            </w:r>
            <w:r w:rsidRPr="003C476B">
              <w:rPr>
                <w:rFonts w:ascii="Arial" w:hAnsi="Arial" w:cs="Arial"/>
                <w:b/>
                <w:bCs/>
                <w:sz w:val="20"/>
                <w:u w:val="single"/>
              </w:rPr>
              <w:t>100%</w:t>
            </w:r>
            <w:r w:rsidRPr="003C476B">
              <w:rPr>
                <w:rFonts w:ascii="Arial" w:hAnsi="Arial" w:cs="Arial"/>
                <w:sz w:val="20"/>
              </w:rPr>
              <w:t>.</w:t>
            </w:r>
          </w:p>
          <w:p w14:paraId="6E2406FF" w14:textId="77777777" w:rsidR="00163A63" w:rsidRPr="003C476B" w:rsidRDefault="00163A63" w:rsidP="001D4018">
            <w:pPr>
              <w:tabs>
                <w:tab w:val="left" w:pos="720"/>
              </w:tabs>
              <w:spacing w:line="276" w:lineRule="auto"/>
              <w:jc w:val="both"/>
              <w:rPr>
                <w:rFonts w:ascii="Arial" w:hAnsi="Arial" w:cs="Arial"/>
                <w:bCs/>
                <w:sz w:val="20"/>
                <w:lang w:val="en-ZA"/>
              </w:rPr>
            </w:pPr>
          </w:p>
          <w:p w14:paraId="772D61B0" w14:textId="77777777" w:rsidR="00163A63" w:rsidRPr="003C476B" w:rsidRDefault="00163A63" w:rsidP="001D4018">
            <w:pPr>
              <w:tabs>
                <w:tab w:val="left" w:pos="720"/>
              </w:tabs>
              <w:spacing w:line="276" w:lineRule="auto"/>
              <w:jc w:val="both"/>
              <w:rPr>
                <w:rFonts w:ascii="Arial" w:hAnsi="Arial" w:cs="Arial"/>
                <w:b/>
                <w:sz w:val="20"/>
                <w:lang w:val="en-ZA"/>
              </w:rPr>
            </w:pPr>
            <w:r w:rsidRPr="003C476B">
              <w:rPr>
                <w:rFonts w:ascii="Arial" w:hAnsi="Arial" w:cs="Arial"/>
                <w:b/>
                <w:sz w:val="20"/>
                <w:lang w:val="en-ZA"/>
              </w:rPr>
              <w:t>3.3 Procurement spend on</w:t>
            </w:r>
            <w:r w:rsidRPr="003C476B">
              <w:rPr>
                <w:rFonts w:ascii="Arial" w:hAnsi="Arial" w:cs="Arial"/>
                <w:b/>
                <w:sz w:val="20"/>
              </w:rPr>
              <w:t xml:space="preserve"> entities with a minimum 51% black ownership</w:t>
            </w:r>
          </w:p>
          <w:p w14:paraId="2309A349" w14:textId="77777777" w:rsidR="00163A63" w:rsidRDefault="00163A63" w:rsidP="001D4018">
            <w:pPr>
              <w:tabs>
                <w:tab w:val="left" w:pos="720"/>
              </w:tabs>
              <w:spacing w:line="276" w:lineRule="auto"/>
              <w:jc w:val="both"/>
              <w:rPr>
                <w:rFonts w:ascii="Arial" w:hAnsi="Arial" w:cs="Arial"/>
                <w:sz w:val="20"/>
                <w:lang w:val="en-ZA"/>
              </w:rPr>
            </w:pPr>
          </w:p>
          <w:p w14:paraId="43C9F538" w14:textId="77777777" w:rsidR="00163A63" w:rsidRPr="00E27F70" w:rsidRDefault="00163A63" w:rsidP="001D4018">
            <w:pPr>
              <w:spacing w:line="276" w:lineRule="auto"/>
              <w:rPr>
                <w:rFonts w:ascii="Arial" w:hAnsi="Arial" w:cs="Arial"/>
                <w:b/>
                <w:i/>
                <w:iCs/>
                <w:sz w:val="20"/>
              </w:rPr>
            </w:pPr>
            <w:r w:rsidRPr="00B46B09">
              <w:rPr>
                <w:rFonts w:ascii="Arial" w:hAnsi="Arial" w:cs="Arial"/>
                <w:b/>
                <w:i/>
                <w:iCs/>
                <w:sz w:val="20"/>
              </w:rPr>
              <w:t xml:space="preserve">It is the end-user’s responsibility to ensure the execution of this step </w:t>
            </w:r>
            <w:r w:rsidRPr="00E27F70">
              <w:rPr>
                <w:rFonts w:ascii="Arial" w:hAnsi="Arial" w:cs="Arial"/>
                <w:b/>
                <w:i/>
                <w:iCs/>
                <w:sz w:val="20"/>
              </w:rPr>
              <w:t xml:space="preserve">prior </w:t>
            </w:r>
            <w:r w:rsidRPr="00E27F70">
              <w:rPr>
                <w:rFonts w:ascii="Arial" w:hAnsi="Arial" w:cs="Arial"/>
                <w:b/>
                <w:sz w:val="20"/>
              </w:rPr>
              <w:t xml:space="preserve">project specific agreement </w:t>
            </w:r>
            <w:r w:rsidRPr="00E27F70">
              <w:rPr>
                <w:rFonts w:ascii="Arial" w:hAnsi="Arial" w:cs="Arial"/>
                <w:b/>
                <w:i/>
                <w:iCs/>
                <w:sz w:val="20"/>
              </w:rPr>
              <w:t>issue.</w:t>
            </w:r>
          </w:p>
          <w:p w14:paraId="35D14D0C" w14:textId="77777777" w:rsidR="00163A63" w:rsidRPr="003C476B" w:rsidRDefault="00163A63" w:rsidP="001D4018">
            <w:pPr>
              <w:tabs>
                <w:tab w:val="left" w:pos="720"/>
              </w:tabs>
              <w:spacing w:line="276" w:lineRule="auto"/>
              <w:jc w:val="both"/>
              <w:rPr>
                <w:rFonts w:ascii="Arial" w:hAnsi="Arial" w:cs="Arial"/>
                <w:sz w:val="20"/>
                <w:lang w:val="en-ZA"/>
              </w:rPr>
            </w:pPr>
          </w:p>
          <w:p w14:paraId="398587D2" w14:textId="77777777" w:rsidR="00163A63" w:rsidRPr="003C476B" w:rsidRDefault="00163A63" w:rsidP="001D4018">
            <w:pPr>
              <w:spacing w:line="276" w:lineRule="auto"/>
              <w:ind w:left="11" w:hanging="11"/>
              <w:jc w:val="both"/>
              <w:rPr>
                <w:rFonts w:ascii="Arial" w:eastAsia="Calibri" w:hAnsi="Arial" w:cs="Arial"/>
                <w:color w:val="000000"/>
                <w:sz w:val="20"/>
                <w:lang w:val="en-ZA"/>
              </w:rPr>
            </w:pPr>
            <w:r w:rsidRPr="003C476B">
              <w:rPr>
                <w:rFonts w:ascii="Arial" w:eastAsia="Calibri" w:hAnsi="Arial" w:cs="Arial"/>
                <w:color w:val="000000"/>
                <w:sz w:val="20"/>
                <w:lang w:val="en-ZA"/>
              </w:rPr>
              <w:t xml:space="preserve">Successful tenderers will be required to contribute to supplier development, through subcontracting, by transferring skills to LIMLANGA Cluster (Mpumalanga), </w:t>
            </w:r>
            <w:r>
              <w:rPr>
                <w:rFonts w:ascii="Arial" w:eastAsia="Calibri" w:hAnsi="Arial" w:cs="Arial"/>
                <w:color w:val="000000"/>
                <w:sz w:val="20"/>
                <w:lang w:val="en-ZA"/>
              </w:rPr>
              <w:t>E</w:t>
            </w:r>
            <w:r w:rsidRPr="003C476B">
              <w:rPr>
                <w:rFonts w:ascii="Arial" w:eastAsia="Calibri" w:hAnsi="Arial" w:cs="Arial"/>
                <w:color w:val="000000"/>
                <w:sz w:val="20"/>
                <w:lang w:val="en-ZA"/>
              </w:rPr>
              <w:t xml:space="preserve">lectrification </w:t>
            </w:r>
            <w:r>
              <w:rPr>
                <w:rFonts w:ascii="Arial" w:eastAsia="Calibri" w:hAnsi="Arial" w:cs="Arial"/>
                <w:color w:val="000000"/>
                <w:sz w:val="20"/>
                <w:lang w:val="en-ZA"/>
              </w:rPr>
              <w:t xml:space="preserve">/ MV Line construction </w:t>
            </w:r>
            <w:r w:rsidRPr="003C476B">
              <w:rPr>
                <w:rFonts w:ascii="Arial" w:eastAsia="Calibri" w:hAnsi="Arial" w:cs="Arial"/>
                <w:color w:val="000000"/>
                <w:sz w:val="20"/>
                <w:lang w:val="en-ZA"/>
              </w:rPr>
              <w:t>contractors as follows:</w:t>
            </w:r>
          </w:p>
          <w:p w14:paraId="52B8618C" w14:textId="77777777" w:rsidR="00163A63" w:rsidRPr="003C476B" w:rsidRDefault="00163A63" w:rsidP="001D4018">
            <w:pPr>
              <w:spacing w:line="276" w:lineRule="auto"/>
              <w:ind w:left="11" w:hanging="11"/>
              <w:jc w:val="both"/>
              <w:rPr>
                <w:rFonts w:ascii="Arial" w:eastAsia="Calibri" w:hAnsi="Arial" w:cs="Arial"/>
                <w:color w:val="000000"/>
                <w:sz w:val="20"/>
                <w:lang w:val="en-ZA"/>
              </w:rPr>
            </w:pPr>
          </w:p>
          <w:p w14:paraId="06832509" w14:textId="77777777" w:rsidR="00163A63" w:rsidRPr="003C476B" w:rsidRDefault="00163A63" w:rsidP="001D4018">
            <w:pPr>
              <w:spacing w:line="276" w:lineRule="auto"/>
              <w:ind w:left="11" w:hanging="11"/>
              <w:jc w:val="both"/>
              <w:rPr>
                <w:rFonts w:ascii="Arial" w:eastAsia="Calibri" w:hAnsi="Arial" w:cs="Arial"/>
                <w:color w:val="000000"/>
                <w:sz w:val="20"/>
                <w:lang w:val="en-ZA"/>
              </w:rPr>
            </w:pPr>
            <w:r w:rsidRPr="003C476B">
              <w:rPr>
                <w:rFonts w:ascii="Arial" w:eastAsia="Calibri" w:hAnsi="Arial" w:cs="Arial"/>
                <w:color w:val="000000"/>
                <w:sz w:val="20"/>
                <w:lang w:val="en-ZA"/>
              </w:rPr>
              <w:t>Subcontract the construction of 1km (</w:t>
            </w:r>
            <w:r w:rsidRPr="003C476B">
              <w:rPr>
                <w:rFonts w:ascii="Arial" w:eastAsia="Calibri" w:hAnsi="Arial" w:cs="Arial"/>
                <w:b/>
                <w:bCs/>
                <w:color w:val="000000"/>
                <w:sz w:val="20"/>
                <w:u w:val="single"/>
                <w:lang w:val="en-ZA"/>
              </w:rPr>
              <w:t>on projects that are 5kms and above</w:t>
            </w:r>
            <w:r w:rsidRPr="003C476B">
              <w:rPr>
                <w:rFonts w:ascii="Arial" w:eastAsia="Calibri" w:hAnsi="Arial" w:cs="Arial"/>
                <w:color w:val="000000"/>
                <w:sz w:val="20"/>
                <w:lang w:val="en-ZA"/>
              </w:rPr>
              <w:t>), with the guidance and supervision of the main contractor.</w:t>
            </w:r>
          </w:p>
          <w:p w14:paraId="70307055" w14:textId="77777777" w:rsidR="00163A63" w:rsidRPr="003C476B" w:rsidRDefault="00163A63" w:rsidP="001D4018">
            <w:pPr>
              <w:spacing w:line="276" w:lineRule="auto"/>
              <w:ind w:left="11" w:hanging="11"/>
              <w:jc w:val="both"/>
              <w:rPr>
                <w:rFonts w:ascii="Arial" w:eastAsia="Calibri" w:hAnsi="Arial" w:cs="Arial"/>
                <w:color w:val="000000"/>
                <w:sz w:val="20"/>
                <w:lang w:val="en-ZA"/>
              </w:rPr>
            </w:pPr>
          </w:p>
          <w:p w14:paraId="0D525136" w14:textId="77777777" w:rsidR="00163A63" w:rsidRPr="003C476B" w:rsidRDefault="00163A63" w:rsidP="001D4018">
            <w:pPr>
              <w:spacing w:line="276" w:lineRule="auto"/>
              <w:ind w:left="11" w:hanging="11"/>
              <w:jc w:val="both"/>
              <w:rPr>
                <w:rFonts w:ascii="Arial" w:eastAsia="Calibri" w:hAnsi="Arial" w:cs="Arial"/>
                <w:color w:val="000000"/>
                <w:sz w:val="20"/>
                <w:lang w:val="en-ZA"/>
              </w:rPr>
            </w:pPr>
            <w:r w:rsidRPr="003C476B">
              <w:rPr>
                <w:rFonts w:ascii="Arial" w:eastAsia="Calibri" w:hAnsi="Arial" w:cs="Arial"/>
                <w:color w:val="000000"/>
                <w:sz w:val="20"/>
                <w:lang w:val="en-ZA"/>
              </w:rPr>
              <w:t>The subcontractors will be those on the list to be made available by SDL&amp;I through the Project Manager.  The main contractor shall only approach subcontractors outside this list, in the event that those on the list are not available.</w:t>
            </w:r>
          </w:p>
          <w:p w14:paraId="2A02407D" w14:textId="77777777" w:rsidR="00163A63" w:rsidRPr="003C476B" w:rsidRDefault="00163A63" w:rsidP="001D4018">
            <w:pPr>
              <w:spacing w:line="276" w:lineRule="auto"/>
              <w:ind w:left="11" w:hanging="11"/>
              <w:jc w:val="both"/>
              <w:rPr>
                <w:rFonts w:ascii="Arial" w:eastAsia="Calibri" w:hAnsi="Arial" w:cs="Arial"/>
                <w:color w:val="000000"/>
                <w:sz w:val="20"/>
                <w:lang w:val="en-ZA"/>
              </w:rPr>
            </w:pPr>
          </w:p>
          <w:p w14:paraId="3370B3E8" w14:textId="77777777" w:rsidR="00163A63" w:rsidRPr="003C476B" w:rsidRDefault="00163A63" w:rsidP="001D4018">
            <w:pPr>
              <w:spacing w:line="276" w:lineRule="auto"/>
              <w:ind w:left="11" w:hanging="11"/>
              <w:jc w:val="both"/>
              <w:rPr>
                <w:rFonts w:ascii="Arial" w:eastAsia="Calibri" w:hAnsi="Arial" w:cs="Arial"/>
                <w:b/>
                <w:bCs/>
                <w:color w:val="000000"/>
                <w:sz w:val="20"/>
                <w:lang w:val="en-ZA"/>
              </w:rPr>
            </w:pPr>
            <w:r w:rsidRPr="003C476B">
              <w:rPr>
                <w:rFonts w:ascii="Arial" w:eastAsia="Calibri" w:hAnsi="Arial" w:cs="Arial"/>
                <w:b/>
                <w:bCs/>
                <w:color w:val="000000"/>
                <w:sz w:val="20"/>
                <w:lang w:val="en-ZA"/>
              </w:rPr>
              <w:t>Completion Certificates</w:t>
            </w:r>
          </w:p>
          <w:p w14:paraId="05B2A37A" w14:textId="77777777" w:rsidR="00163A63" w:rsidRPr="003C476B" w:rsidRDefault="00163A63" w:rsidP="001D4018">
            <w:pPr>
              <w:spacing w:line="276" w:lineRule="auto"/>
              <w:jc w:val="both"/>
              <w:rPr>
                <w:rFonts w:ascii="Arial" w:eastAsia="Calibri" w:hAnsi="Arial" w:cs="Arial"/>
                <w:sz w:val="20"/>
                <w:lang w:val="en-ZA"/>
              </w:rPr>
            </w:pPr>
            <w:r w:rsidRPr="003C476B">
              <w:rPr>
                <w:rFonts w:ascii="Arial" w:eastAsia="Calibri" w:hAnsi="Arial" w:cs="Arial"/>
                <w:color w:val="000000"/>
                <w:sz w:val="20"/>
                <w:lang w:val="en-ZA"/>
              </w:rPr>
              <w:t xml:space="preserve">The main contractor will be required to issue a completion certificate to the subcontractor indicating the length and name of the line completed by the subcontractor under the main contractor, </w:t>
            </w:r>
            <w:r w:rsidRPr="003C476B">
              <w:rPr>
                <w:rFonts w:ascii="Arial" w:eastAsia="Calibri" w:hAnsi="Arial" w:cs="Arial"/>
                <w:sz w:val="20"/>
                <w:lang w:val="en-ZA"/>
              </w:rPr>
              <w:t>the completion certificate MUST be signed by the main contractor, the subcontractor and signed off by Eskom’s representative / Project Manager.</w:t>
            </w:r>
          </w:p>
          <w:p w14:paraId="31362AC8" w14:textId="77777777" w:rsidR="00163A63" w:rsidRPr="003C476B" w:rsidRDefault="00163A63" w:rsidP="001D4018">
            <w:pPr>
              <w:spacing w:line="276" w:lineRule="auto"/>
              <w:ind w:left="11" w:hanging="11"/>
              <w:jc w:val="both"/>
              <w:rPr>
                <w:rFonts w:ascii="Arial" w:eastAsia="Calibri" w:hAnsi="Arial" w:cs="Arial"/>
                <w:sz w:val="20"/>
                <w:lang w:val="en-ZA"/>
              </w:rPr>
            </w:pPr>
          </w:p>
          <w:p w14:paraId="0613FB9F" w14:textId="77777777" w:rsidR="00163A63" w:rsidRPr="003C476B" w:rsidRDefault="00163A63" w:rsidP="001D4018">
            <w:pPr>
              <w:spacing w:line="276" w:lineRule="auto"/>
              <w:ind w:left="11" w:hanging="11"/>
              <w:jc w:val="both"/>
              <w:rPr>
                <w:rFonts w:ascii="Arial" w:eastAsia="Calibri" w:hAnsi="Arial" w:cs="Arial"/>
                <w:b/>
                <w:color w:val="000000"/>
                <w:sz w:val="20"/>
                <w:u w:val="single"/>
                <w:lang w:val="en-ZA"/>
              </w:rPr>
            </w:pPr>
            <w:r w:rsidRPr="003C476B">
              <w:rPr>
                <w:rFonts w:ascii="Arial" w:eastAsia="Calibri" w:hAnsi="Arial" w:cs="Arial"/>
                <w:b/>
                <w:color w:val="000000"/>
                <w:sz w:val="20"/>
                <w:lang w:val="en-ZA"/>
              </w:rPr>
              <w:t>Selection Criteria of Subcontractors: (</w:t>
            </w:r>
            <w:r w:rsidRPr="003C476B">
              <w:rPr>
                <w:rFonts w:ascii="Arial" w:eastAsia="Calibri" w:hAnsi="Arial" w:cs="Arial"/>
                <w:b/>
                <w:color w:val="000000"/>
                <w:sz w:val="20"/>
                <w:u w:val="single"/>
                <w:lang w:val="en-ZA"/>
              </w:rPr>
              <w:t>Buyer to note that this information is for strategy approval and not to be published in the invitation to tender)</w:t>
            </w:r>
          </w:p>
          <w:p w14:paraId="47A8C8BF" w14:textId="77777777" w:rsidR="00163A63" w:rsidRPr="003C476B" w:rsidRDefault="00163A63" w:rsidP="001D4018">
            <w:pPr>
              <w:spacing w:line="276" w:lineRule="auto"/>
              <w:ind w:left="11"/>
              <w:jc w:val="both"/>
              <w:rPr>
                <w:rFonts w:ascii="Arial" w:eastAsia="Calibri" w:hAnsi="Arial" w:cs="Arial"/>
                <w:sz w:val="20"/>
                <w:lang w:val="en-ZA"/>
              </w:rPr>
            </w:pPr>
          </w:p>
          <w:p w14:paraId="312A13E4" w14:textId="77777777" w:rsidR="00163A63" w:rsidRPr="003C476B" w:rsidRDefault="00163A63" w:rsidP="001D4018">
            <w:pPr>
              <w:tabs>
                <w:tab w:val="left" w:pos="426"/>
              </w:tabs>
              <w:autoSpaceDE w:val="0"/>
              <w:autoSpaceDN w:val="0"/>
              <w:adjustRightInd w:val="0"/>
              <w:spacing w:line="276" w:lineRule="auto"/>
              <w:ind w:left="66"/>
              <w:jc w:val="both"/>
              <w:rPr>
                <w:rFonts w:ascii="Arial" w:hAnsi="Arial" w:cs="Arial"/>
                <w:b/>
                <w:bCs/>
                <w:sz w:val="20"/>
                <w:lang w:val="en-ZA"/>
              </w:rPr>
            </w:pPr>
            <w:r w:rsidRPr="003C476B">
              <w:rPr>
                <w:rFonts w:ascii="Arial" w:hAnsi="Arial" w:cs="Arial"/>
                <w:b/>
                <w:bCs/>
                <w:sz w:val="20"/>
                <w:lang w:val="en-ZA"/>
              </w:rPr>
              <w:t>Criteria</w:t>
            </w:r>
          </w:p>
          <w:p w14:paraId="3649D6C3" w14:textId="77777777" w:rsidR="00163A63" w:rsidRPr="003C476B" w:rsidRDefault="00163A63" w:rsidP="001D4018">
            <w:pPr>
              <w:tabs>
                <w:tab w:val="left" w:pos="426"/>
              </w:tabs>
              <w:autoSpaceDE w:val="0"/>
              <w:autoSpaceDN w:val="0"/>
              <w:adjustRightInd w:val="0"/>
              <w:spacing w:line="276" w:lineRule="auto"/>
              <w:ind w:left="66"/>
              <w:jc w:val="both"/>
              <w:rPr>
                <w:rFonts w:ascii="Arial" w:hAnsi="Arial" w:cs="Arial"/>
                <w:bCs/>
                <w:sz w:val="20"/>
                <w:lang w:val="en-ZA"/>
              </w:rPr>
            </w:pPr>
            <w:r w:rsidRPr="003C476B">
              <w:rPr>
                <w:rFonts w:ascii="Arial" w:hAnsi="Arial" w:cs="Arial"/>
                <w:bCs/>
                <w:sz w:val="20"/>
                <w:lang w:val="en-ZA"/>
              </w:rPr>
              <w:t>Contractors on the list for HV line construction development will be those who have met the following criteria:</w:t>
            </w:r>
          </w:p>
          <w:p w14:paraId="49C0D4E0" w14:textId="77777777" w:rsidR="00163A63" w:rsidRPr="003C476B" w:rsidRDefault="00163A63" w:rsidP="001D4018">
            <w:pPr>
              <w:tabs>
                <w:tab w:val="left" w:pos="426"/>
              </w:tabs>
              <w:autoSpaceDE w:val="0"/>
              <w:autoSpaceDN w:val="0"/>
              <w:adjustRightInd w:val="0"/>
              <w:spacing w:line="276" w:lineRule="auto"/>
              <w:jc w:val="both"/>
              <w:rPr>
                <w:rFonts w:ascii="Arial" w:hAnsi="Arial" w:cs="Arial"/>
                <w:bCs/>
                <w:sz w:val="20"/>
                <w:lang w:val="en-ZA"/>
              </w:rPr>
            </w:pPr>
          </w:p>
          <w:p w14:paraId="05B36DA5" w14:textId="77777777" w:rsidR="00163A63" w:rsidRPr="003C476B" w:rsidRDefault="00163A63" w:rsidP="001D4018">
            <w:pPr>
              <w:tabs>
                <w:tab w:val="left" w:pos="426"/>
              </w:tabs>
              <w:autoSpaceDE w:val="0"/>
              <w:autoSpaceDN w:val="0"/>
              <w:adjustRightInd w:val="0"/>
              <w:spacing w:line="276" w:lineRule="auto"/>
              <w:jc w:val="both"/>
              <w:rPr>
                <w:rFonts w:ascii="Arial" w:hAnsi="Arial" w:cs="Arial"/>
                <w:b/>
                <w:bCs/>
                <w:sz w:val="20"/>
                <w:lang w:val="en-ZA"/>
              </w:rPr>
            </w:pPr>
            <w:r w:rsidRPr="003C476B">
              <w:rPr>
                <w:rFonts w:ascii="Arial" w:hAnsi="Arial" w:cs="Arial"/>
                <w:b/>
                <w:bCs/>
                <w:sz w:val="20"/>
                <w:lang w:val="en-ZA"/>
              </w:rPr>
              <w:t xml:space="preserve">Electrification </w:t>
            </w:r>
            <w:r>
              <w:rPr>
                <w:rFonts w:ascii="Arial" w:hAnsi="Arial" w:cs="Arial"/>
                <w:b/>
                <w:bCs/>
                <w:sz w:val="20"/>
                <w:lang w:val="en-ZA"/>
              </w:rPr>
              <w:t xml:space="preserve">/ MV Line Construction </w:t>
            </w:r>
            <w:r w:rsidRPr="003C476B">
              <w:rPr>
                <w:rFonts w:ascii="Arial" w:hAnsi="Arial" w:cs="Arial"/>
                <w:b/>
                <w:bCs/>
                <w:sz w:val="20"/>
                <w:lang w:val="en-ZA"/>
              </w:rPr>
              <w:t>Contractors</w:t>
            </w:r>
          </w:p>
          <w:p w14:paraId="4F82055E" w14:textId="77777777" w:rsidR="00163A63" w:rsidRPr="003C476B" w:rsidRDefault="00163A63" w:rsidP="00163A63">
            <w:pPr>
              <w:numPr>
                <w:ilvl w:val="0"/>
                <w:numId w:val="47"/>
              </w:numPr>
              <w:tabs>
                <w:tab w:val="left" w:pos="426"/>
              </w:tabs>
              <w:autoSpaceDE w:val="0"/>
              <w:autoSpaceDN w:val="0"/>
              <w:adjustRightInd w:val="0"/>
              <w:spacing w:line="276" w:lineRule="auto"/>
              <w:ind w:left="360"/>
              <w:jc w:val="both"/>
              <w:rPr>
                <w:rFonts w:ascii="Arial" w:hAnsi="Arial" w:cs="Arial"/>
                <w:bCs/>
                <w:sz w:val="20"/>
                <w:lang w:val="en-ZA"/>
              </w:rPr>
            </w:pPr>
            <w:r w:rsidRPr="003C476B">
              <w:rPr>
                <w:rFonts w:ascii="Arial" w:hAnsi="Arial" w:cs="Arial"/>
                <w:bCs/>
                <w:sz w:val="20"/>
                <w:lang w:val="en-ZA"/>
              </w:rPr>
              <w:t xml:space="preserve">Must have executed a minimum of two </w:t>
            </w:r>
            <w:r>
              <w:rPr>
                <w:rFonts w:ascii="Arial" w:hAnsi="Arial" w:cs="Arial"/>
                <w:bCs/>
                <w:sz w:val="20"/>
                <w:lang w:val="en-ZA"/>
              </w:rPr>
              <w:t>E</w:t>
            </w:r>
            <w:r w:rsidRPr="003C476B">
              <w:rPr>
                <w:rFonts w:ascii="Arial" w:hAnsi="Arial" w:cs="Arial"/>
                <w:bCs/>
                <w:sz w:val="20"/>
                <w:lang w:val="en-ZA"/>
              </w:rPr>
              <w:t xml:space="preserve">lectrification </w:t>
            </w:r>
            <w:r>
              <w:rPr>
                <w:rFonts w:ascii="Arial" w:hAnsi="Arial" w:cs="Arial"/>
                <w:bCs/>
                <w:sz w:val="20"/>
                <w:lang w:val="en-ZA"/>
              </w:rPr>
              <w:t>/ two MV Line construction projects</w:t>
            </w:r>
          </w:p>
          <w:p w14:paraId="4A14CA5A" w14:textId="77777777" w:rsidR="00163A63" w:rsidRPr="003C476B" w:rsidRDefault="00163A63" w:rsidP="00163A63">
            <w:pPr>
              <w:numPr>
                <w:ilvl w:val="0"/>
                <w:numId w:val="47"/>
              </w:numPr>
              <w:tabs>
                <w:tab w:val="left" w:pos="426"/>
              </w:tabs>
              <w:autoSpaceDE w:val="0"/>
              <w:autoSpaceDN w:val="0"/>
              <w:adjustRightInd w:val="0"/>
              <w:spacing w:line="276" w:lineRule="auto"/>
              <w:ind w:left="360"/>
              <w:jc w:val="both"/>
              <w:rPr>
                <w:rFonts w:ascii="Arial" w:hAnsi="Arial" w:cs="Arial"/>
                <w:bCs/>
                <w:sz w:val="20"/>
                <w:lang w:val="en-ZA"/>
              </w:rPr>
            </w:pPr>
            <w:r w:rsidRPr="003C476B">
              <w:rPr>
                <w:rFonts w:ascii="Arial" w:hAnsi="Arial" w:cs="Arial"/>
                <w:bCs/>
                <w:sz w:val="20"/>
                <w:lang w:val="en-ZA"/>
              </w:rPr>
              <w:t xml:space="preserve">CIDB grade </w:t>
            </w:r>
            <w:r>
              <w:rPr>
                <w:rFonts w:ascii="Arial" w:hAnsi="Arial" w:cs="Arial"/>
                <w:bCs/>
                <w:sz w:val="20"/>
                <w:lang w:val="en-ZA"/>
              </w:rPr>
              <w:t>4</w:t>
            </w:r>
            <w:r w:rsidRPr="003C476B">
              <w:rPr>
                <w:rFonts w:ascii="Arial" w:hAnsi="Arial" w:cs="Arial"/>
                <w:bCs/>
                <w:sz w:val="20"/>
                <w:lang w:val="en-ZA"/>
              </w:rPr>
              <w:t>EP</w:t>
            </w:r>
          </w:p>
          <w:p w14:paraId="1AA3CB6B" w14:textId="77777777" w:rsidR="00163A63" w:rsidRPr="003C476B" w:rsidRDefault="00163A63" w:rsidP="00163A63">
            <w:pPr>
              <w:numPr>
                <w:ilvl w:val="0"/>
                <w:numId w:val="47"/>
              </w:numPr>
              <w:tabs>
                <w:tab w:val="left" w:pos="426"/>
              </w:tabs>
              <w:autoSpaceDE w:val="0"/>
              <w:autoSpaceDN w:val="0"/>
              <w:adjustRightInd w:val="0"/>
              <w:spacing w:line="276" w:lineRule="auto"/>
              <w:ind w:left="360"/>
              <w:jc w:val="both"/>
              <w:rPr>
                <w:rFonts w:ascii="Arial" w:hAnsi="Arial" w:cs="Arial"/>
                <w:bCs/>
                <w:sz w:val="20"/>
                <w:lang w:val="en-ZA"/>
              </w:rPr>
            </w:pPr>
            <w:r w:rsidRPr="003C476B">
              <w:rPr>
                <w:rFonts w:ascii="Arial" w:hAnsi="Arial" w:cs="Arial"/>
                <w:bCs/>
                <w:sz w:val="20"/>
                <w:lang w:val="en-ZA"/>
              </w:rPr>
              <w:t xml:space="preserve">Have tools and equipment (including vehicles and crane truck) </w:t>
            </w:r>
            <w:r w:rsidRPr="003C476B">
              <w:rPr>
                <w:rFonts w:ascii="Arial" w:hAnsi="Arial" w:cs="Arial"/>
                <w:b/>
                <w:sz w:val="20"/>
                <w:u w:val="single"/>
                <w:lang w:val="en-ZA"/>
              </w:rPr>
              <w:t>owned</w:t>
            </w:r>
            <w:r w:rsidRPr="003C476B">
              <w:rPr>
                <w:rFonts w:ascii="Arial" w:hAnsi="Arial" w:cs="Arial"/>
                <w:bCs/>
                <w:sz w:val="20"/>
                <w:lang w:val="en-ZA"/>
              </w:rPr>
              <w:t xml:space="preserve"> by the entity</w:t>
            </w:r>
          </w:p>
          <w:p w14:paraId="18BF90DB" w14:textId="77777777" w:rsidR="00163A63" w:rsidRPr="003C476B" w:rsidRDefault="00163A63" w:rsidP="00163A63">
            <w:pPr>
              <w:numPr>
                <w:ilvl w:val="0"/>
                <w:numId w:val="47"/>
              </w:numPr>
              <w:tabs>
                <w:tab w:val="left" w:pos="426"/>
              </w:tabs>
              <w:autoSpaceDE w:val="0"/>
              <w:autoSpaceDN w:val="0"/>
              <w:adjustRightInd w:val="0"/>
              <w:spacing w:line="276" w:lineRule="auto"/>
              <w:ind w:left="360"/>
              <w:jc w:val="both"/>
              <w:rPr>
                <w:rFonts w:ascii="Arial" w:hAnsi="Arial" w:cs="Arial"/>
                <w:bCs/>
                <w:sz w:val="20"/>
                <w:lang w:val="en-ZA"/>
              </w:rPr>
            </w:pPr>
            <w:r w:rsidRPr="003C476B">
              <w:rPr>
                <w:rFonts w:ascii="Arial" w:hAnsi="Arial" w:cs="Arial"/>
                <w:bCs/>
                <w:sz w:val="20"/>
                <w:lang w:val="en-ZA"/>
              </w:rPr>
              <w:t>Have at least four teams with Authorised, Outcome 3, Responsible Person, available for the duration of the development program.</w:t>
            </w:r>
          </w:p>
          <w:p w14:paraId="0824D1E4" w14:textId="77777777" w:rsidR="00163A63" w:rsidRPr="003C476B" w:rsidRDefault="00163A63" w:rsidP="001D4018">
            <w:pPr>
              <w:tabs>
                <w:tab w:val="left" w:pos="426"/>
              </w:tabs>
              <w:autoSpaceDE w:val="0"/>
              <w:autoSpaceDN w:val="0"/>
              <w:adjustRightInd w:val="0"/>
              <w:spacing w:line="276" w:lineRule="auto"/>
              <w:jc w:val="both"/>
              <w:rPr>
                <w:rFonts w:ascii="Arial" w:hAnsi="Arial" w:cs="Arial"/>
                <w:bCs/>
                <w:sz w:val="20"/>
                <w:lang w:val="en-ZA"/>
              </w:rPr>
            </w:pPr>
          </w:p>
          <w:p w14:paraId="0794D160" w14:textId="77777777" w:rsidR="00163A63" w:rsidRPr="003C476B" w:rsidRDefault="00163A63" w:rsidP="001D4018">
            <w:pPr>
              <w:spacing w:line="276" w:lineRule="auto"/>
              <w:jc w:val="both"/>
              <w:rPr>
                <w:rFonts w:ascii="Arial" w:hAnsi="Arial" w:cs="Arial"/>
                <w:b/>
                <w:bCs/>
                <w:sz w:val="20"/>
                <w:lang w:val="en-ZA"/>
              </w:rPr>
            </w:pPr>
            <w:r w:rsidRPr="003C476B">
              <w:rPr>
                <w:rFonts w:ascii="Arial" w:hAnsi="Arial" w:cs="Arial"/>
                <w:b/>
                <w:bCs/>
                <w:sz w:val="20"/>
                <w:lang w:val="en-ZA"/>
              </w:rPr>
              <w:t>Procurement Spend on Designated Groups:</w:t>
            </w:r>
          </w:p>
          <w:p w14:paraId="73311688" w14:textId="77777777" w:rsidR="00163A63" w:rsidRPr="003C476B" w:rsidRDefault="00163A63" w:rsidP="001D4018">
            <w:pPr>
              <w:spacing w:line="276" w:lineRule="auto"/>
              <w:jc w:val="both"/>
              <w:rPr>
                <w:rFonts w:ascii="Arial" w:hAnsi="Arial" w:cs="Arial"/>
                <w:sz w:val="20"/>
                <w:lang w:val="en-ZA"/>
              </w:rPr>
            </w:pPr>
          </w:p>
          <w:p w14:paraId="3D3A4443" w14:textId="77777777" w:rsidR="00163A63" w:rsidRPr="003C476B" w:rsidRDefault="00163A63" w:rsidP="001D4018">
            <w:pPr>
              <w:tabs>
                <w:tab w:val="left" w:pos="720"/>
              </w:tabs>
              <w:spacing w:line="276" w:lineRule="auto"/>
              <w:jc w:val="both"/>
              <w:rPr>
                <w:rFonts w:ascii="Arial" w:hAnsi="Arial" w:cs="Arial"/>
                <w:sz w:val="20"/>
                <w:lang w:val="en-ZA"/>
              </w:rPr>
            </w:pPr>
            <w:r w:rsidRPr="003C476B">
              <w:rPr>
                <w:rFonts w:ascii="Arial" w:hAnsi="Arial" w:cs="Arial"/>
                <w:sz w:val="20"/>
                <w:lang w:val="en-ZA"/>
              </w:rPr>
              <w:t>Activities, as a proportion of the local procurement content:</w:t>
            </w:r>
          </w:p>
          <w:p w14:paraId="7F5984B2" w14:textId="77777777" w:rsidR="00163A63" w:rsidRPr="003C476B" w:rsidRDefault="00163A63" w:rsidP="00163A63">
            <w:pPr>
              <w:pStyle w:val="ListParagraph"/>
              <w:numPr>
                <w:ilvl w:val="0"/>
                <w:numId w:val="48"/>
              </w:numPr>
              <w:spacing w:line="276" w:lineRule="auto"/>
              <w:jc w:val="both"/>
              <w:rPr>
                <w:rFonts w:ascii="Arial" w:hAnsi="Arial" w:cs="Arial"/>
                <w:sz w:val="20"/>
                <w:lang w:val="en-ZA"/>
              </w:rPr>
            </w:pPr>
            <w:r w:rsidRPr="003C476B">
              <w:rPr>
                <w:rFonts w:ascii="Arial" w:hAnsi="Arial" w:cs="Arial"/>
                <w:sz w:val="20"/>
                <w:lang w:val="en-ZA"/>
              </w:rPr>
              <w:lastRenderedPageBreak/>
              <w:t>indirect expenses (e.g. overheads) on goods and services supplied to the contractor/supplier by designated groups; and</w:t>
            </w:r>
          </w:p>
          <w:p w14:paraId="28449002" w14:textId="77777777" w:rsidR="00163A63" w:rsidRPr="003C476B" w:rsidRDefault="00163A63" w:rsidP="00163A63">
            <w:pPr>
              <w:pStyle w:val="ListParagraph"/>
              <w:numPr>
                <w:ilvl w:val="0"/>
                <w:numId w:val="48"/>
              </w:numPr>
              <w:tabs>
                <w:tab w:val="left" w:pos="720"/>
              </w:tabs>
              <w:spacing w:line="276" w:lineRule="auto"/>
              <w:jc w:val="both"/>
              <w:rPr>
                <w:rFonts w:ascii="Arial" w:hAnsi="Arial" w:cs="Arial"/>
                <w:sz w:val="20"/>
                <w:lang w:val="en-ZA"/>
              </w:rPr>
            </w:pPr>
            <w:r w:rsidRPr="003C476B">
              <w:rPr>
                <w:rFonts w:ascii="Arial" w:hAnsi="Arial" w:cs="Arial"/>
                <w:sz w:val="20"/>
                <w:lang w:val="en-ZA"/>
              </w:rPr>
              <w:t>direct spend on goods and services supplied by the subcontractors for the execution of the scope of work, which may be subcontracted to designated black owned enterprises</w:t>
            </w:r>
          </w:p>
          <w:p w14:paraId="69557391" w14:textId="77777777" w:rsidR="00163A63" w:rsidRPr="003C476B" w:rsidRDefault="00163A63" w:rsidP="001D4018">
            <w:pPr>
              <w:tabs>
                <w:tab w:val="left" w:pos="720"/>
              </w:tabs>
              <w:spacing w:line="276" w:lineRule="auto"/>
              <w:jc w:val="both"/>
              <w:rPr>
                <w:rFonts w:ascii="Arial" w:hAnsi="Arial" w:cs="Arial"/>
                <w:b/>
                <w:bCs/>
                <w:sz w:val="20"/>
                <w:lang w:val="en-ZA"/>
              </w:rPr>
            </w:pPr>
            <w:r w:rsidRPr="003C476B">
              <w:rPr>
                <w:rFonts w:ascii="Arial" w:hAnsi="Arial" w:cs="Arial"/>
                <w:b/>
                <w:bCs/>
                <w:sz w:val="20"/>
                <w:lang w:val="en-ZA"/>
              </w:rPr>
              <w:t>Procurement spend on designated groups must be submitted in the table below.</w:t>
            </w:r>
          </w:p>
          <w:p w14:paraId="0E3F6F86" w14:textId="77777777" w:rsidR="00163A63" w:rsidRPr="003C476B" w:rsidRDefault="00163A63" w:rsidP="001D4018">
            <w:pPr>
              <w:tabs>
                <w:tab w:val="left" w:pos="720"/>
              </w:tabs>
              <w:spacing w:line="276" w:lineRule="auto"/>
              <w:jc w:val="both"/>
              <w:rPr>
                <w:rFonts w:ascii="Arial" w:hAnsi="Arial" w:cs="Arial"/>
                <w:sz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3544"/>
            </w:tblGrid>
            <w:tr w:rsidR="00163A63" w:rsidRPr="003C476B" w14:paraId="2B4CCB52" w14:textId="77777777" w:rsidTr="001D4018">
              <w:tc>
                <w:tcPr>
                  <w:tcW w:w="4705" w:type="dxa"/>
                  <w:shd w:val="clear" w:color="auto" w:fill="auto"/>
                  <w:vAlign w:val="bottom"/>
                </w:tcPr>
                <w:p w14:paraId="32A62619" w14:textId="77777777" w:rsidR="00163A63" w:rsidRPr="003C476B" w:rsidRDefault="00163A63" w:rsidP="001D4018">
                  <w:pPr>
                    <w:spacing w:line="276" w:lineRule="auto"/>
                    <w:contextualSpacing/>
                    <w:jc w:val="both"/>
                    <w:rPr>
                      <w:rFonts w:ascii="Arial" w:eastAsia="Calibri" w:hAnsi="Arial" w:cs="Arial"/>
                      <w:b/>
                      <w:sz w:val="20"/>
                      <w:lang w:val="en-ZA"/>
                    </w:rPr>
                  </w:pPr>
                  <w:r w:rsidRPr="003C476B">
                    <w:rPr>
                      <w:rFonts w:ascii="Arial" w:eastAsia="Calibri" w:hAnsi="Arial" w:cs="Arial"/>
                      <w:b/>
                      <w:sz w:val="20"/>
                      <w:lang w:val="en-ZA"/>
                    </w:rPr>
                    <w:t>Procurement from Designated Group</w:t>
                  </w:r>
                </w:p>
              </w:tc>
              <w:tc>
                <w:tcPr>
                  <w:tcW w:w="3544" w:type="dxa"/>
                  <w:shd w:val="clear" w:color="auto" w:fill="auto"/>
                  <w:vAlign w:val="bottom"/>
                </w:tcPr>
                <w:p w14:paraId="2B104C53" w14:textId="77777777" w:rsidR="00163A63" w:rsidRPr="003C476B" w:rsidRDefault="00163A63" w:rsidP="001D4018">
                  <w:pPr>
                    <w:spacing w:line="276" w:lineRule="auto"/>
                    <w:contextualSpacing/>
                    <w:jc w:val="both"/>
                    <w:rPr>
                      <w:rFonts w:ascii="Arial" w:eastAsia="Calibri" w:hAnsi="Arial" w:cs="Arial"/>
                      <w:b/>
                      <w:sz w:val="20"/>
                      <w:lang w:val="en-ZA"/>
                    </w:rPr>
                  </w:pPr>
                  <w:r w:rsidRPr="003C476B">
                    <w:rPr>
                      <w:rFonts w:ascii="Arial" w:eastAsia="Calibri" w:hAnsi="Arial" w:cs="Arial"/>
                      <w:b/>
                      <w:sz w:val="20"/>
                      <w:lang w:val="en-ZA"/>
                    </w:rPr>
                    <w:t>Tenderer’s Procurement %</w:t>
                  </w:r>
                </w:p>
              </w:tc>
            </w:tr>
            <w:tr w:rsidR="00163A63" w:rsidRPr="003C476B" w14:paraId="2496A161" w14:textId="77777777" w:rsidTr="001D4018">
              <w:trPr>
                <w:trHeight w:val="445"/>
              </w:trPr>
              <w:tc>
                <w:tcPr>
                  <w:tcW w:w="4705" w:type="dxa"/>
                  <w:tcBorders>
                    <w:top w:val="single" w:sz="4" w:space="0" w:color="auto"/>
                    <w:left w:val="single" w:sz="4" w:space="0" w:color="auto"/>
                    <w:bottom w:val="single" w:sz="4" w:space="0" w:color="auto"/>
                    <w:right w:val="single" w:sz="4" w:space="0" w:color="auto"/>
                  </w:tcBorders>
                  <w:shd w:val="clear" w:color="auto" w:fill="auto"/>
                  <w:vAlign w:val="bottom"/>
                </w:tcPr>
                <w:p w14:paraId="3C20C0FC" w14:textId="77777777" w:rsidR="00163A63" w:rsidRPr="003C476B" w:rsidRDefault="00163A63" w:rsidP="001D4018">
                  <w:pPr>
                    <w:spacing w:line="276" w:lineRule="auto"/>
                    <w:contextualSpacing/>
                    <w:jc w:val="both"/>
                    <w:rPr>
                      <w:rFonts w:ascii="Arial" w:eastAsia="Calibri" w:hAnsi="Arial" w:cs="Arial"/>
                      <w:sz w:val="20"/>
                      <w:lang w:val="en-ZA"/>
                    </w:rPr>
                  </w:pPr>
                  <w:r w:rsidRPr="003C476B">
                    <w:rPr>
                      <w:rFonts w:ascii="Arial" w:eastAsia="Calibri" w:hAnsi="Arial" w:cs="Arial"/>
                      <w:sz w:val="20"/>
                      <w:lang w:val="en-ZA"/>
                    </w:rPr>
                    <w:t xml:space="preserve">Procurement from EME/QSE black owned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F98663A" w14:textId="77777777" w:rsidR="00163A63" w:rsidRPr="003C476B" w:rsidRDefault="00163A63" w:rsidP="001D4018">
                  <w:pPr>
                    <w:spacing w:line="276" w:lineRule="auto"/>
                    <w:contextualSpacing/>
                    <w:jc w:val="both"/>
                    <w:rPr>
                      <w:rFonts w:ascii="Arial" w:eastAsia="Calibri" w:hAnsi="Arial" w:cs="Arial"/>
                      <w:sz w:val="20"/>
                      <w:lang w:val="en-ZA"/>
                    </w:rPr>
                  </w:pPr>
                  <w:r w:rsidRPr="003C476B">
                    <w:rPr>
                      <w:rFonts w:ascii="Arial" w:eastAsia="Calibri" w:hAnsi="Arial" w:cs="Arial"/>
                      <w:sz w:val="20"/>
                      <w:lang w:val="en-ZA"/>
                    </w:rPr>
                    <w:t>To be indicated at task order stage</w:t>
                  </w:r>
                </w:p>
              </w:tc>
            </w:tr>
            <w:tr w:rsidR="00163A63" w:rsidRPr="003C476B" w14:paraId="1D4EA711" w14:textId="77777777" w:rsidTr="001D4018">
              <w:trPr>
                <w:trHeight w:val="445"/>
              </w:trPr>
              <w:tc>
                <w:tcPr>
                  <w:tcW w:w="4705" w:type="dxa"/>
                  <w:tcBorders>
                    <w:top w:val="single" w:sz="4" w:space="0" w:color="auto"/>
                    <w:left w:val="single" w:sz="4" w:space="0" w:color="auto"/>
                    <w:bottom w:val="single" w:sz="4" w:space="0" w:color="auto"/>
                    <w:right w:val="single" w:sz="4" w:space="0" w:color="auto"/>
                  </w:tcBorders>
                  <w:shd w:val="clear" w:color="auto" w:fill="auto"/>
                  <w:vAlign w:val="bottom"/>
                </w:tcPr>
                <w:p w14:paraId="41B9C5B4" w14:textId="77777777" w:rsidR="00163A63" w:rsidRPr="003C476B" w:rsidRDefault="00163A63" w:rsidP="001D4018">
                  <w:pPr>
                    <w:spacing w:line="276" w:lineRule="auto"/>
                    <w:contextualSpacing/>
                    <w:jc w:val="both"/>
                    <w:rPr>
                      <w:rFonts w:ascii="Arial" w:eastAsia="Calibri" w:hAnsi="Arial" w:cs="Arial"/>
                      <w:sz w:val="20"/>
                      <w:lang w:val="en-ZA"/>
                    </w:rPr>
                  </w:pPr>
                  <w:r w:rsidRPr="003C476B">
                    <w:rPr>
                      <w:rFonts w:ascii="Arial" w:eastAsia="Calibri" w:hAnsi="Arial" w:cs="Arial"/>
                      <w:sz w:val="20"/>
                      <w:lang w:val="en-ZA"/>
                    </w:rPr>
                    <w:t>Procurement from EME/QSE black youth owned</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EE25E77" w14:textId="77777777" w:rsidR="00163A63" w:rsidRPr="003C476B" w:rsidRDefault="00163A63" w:rsidP="001D4018">
                  <w:pPr>
                    <w:spacing w:line="276" w:lineRule="auto"/>
                    <w:contextualSpacing/>
                    <w:jc w:val="both"/>
                    <w:rPr>
                      <w:rFonts w:ascii="Arial" w:eastAsia="Calibri" w:hAnsi="Arial" w:cs="Arial"/>
                      <w:sz w:val="20"/>
                      <w:lang w:val="en-ZA"/>
                    </w:rPr>
                  </w:pPr>
                  <w:r w:rsidRPr="003C476B">
                    <w:rPr>
                      <w:rFonts w:ascii="Arial" w:eastAsia="Calibri" w:hAnsi="Arial" w:cs="Arial"/>
                      <w:sz w:val="20"/>
                      <w:lang w:val="en-ZA"/>
                    </w:rPr>
                    <w:t>To be indicated at task order stage</w:t>
                  </w:r>
                </w:p>
              </w:tc>
            </w:tr>
            <w:tr w:rsidR="00163A63" w:rsidRPr="003C476B" w14:paraId="0BFB1888" w14:textId="77777777" w:rsidTr="001D4018">
              <w:trPr>
                <w:trHeight w:val="445"/>
              </w:trPr>
              <w:tc>
                <w:tcPr>
                  <w:tcW w:w="4705" w:type="dxa"/>
                  <w:tcBorders>
                    <w:top w:val="single" w:sz="4" w:space="0" w:color="auto"/>
                    <w:left w:val="single" w:sz="4" w:space="0" w:color="auto"/>
                    <w:bottom w:val="single" w:sz="4" w:space="0" w:color="auto"/>
                    <w:right w:val="single" w:sz="4" w:space="0" w:color="auto"/>
                  </w:tcBorders>
                  <w:shd w:val="clear" w:color="auto" w:fill="auto"/>
                  <w:vAlign w:val="bottom"/>
                </w:tcPr>
                <w:p w14:paraId="6D6BF49D" w14:textId="77777777" w:rsidR="00163A63" w:rsidRPr="003C476B" w:rsidRDefault="00163A63" w:rsidP="001D4018">
                  <w:pPr>
                    <w:spacing w:line="276" w:lineRule="auto"/>
                    <w:contextualSpacing/>
                    <w:jc w:val="both"/>
                    <w:rPr>
                      <w:rFonts w:ascii="Arial" w:eastAsia="Calibri" w:hAnsi="Arial" w:cs="Arial"/>
                      <w:sz w:val="20"/>
                      <w:lang w:val="en-ZA"/>
                    </w:rPr>
                  </w:pPr>
                  <w:r w:rsidRPr="003C476B">
                    <w:rPr>
                      <w:rFonts w:ascii="Arial" w:eastAsia="Calibri" w:hAnsi="Arial" w:cs="Arial"/>
                      <w:sz w:val="20"/>
                      <w:lang w:val="en-ZA"/>
                    </w:rPr>
                    <w:t>Procurement from EME/QSE black women owned</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942923" w14:textId="77777777" w:rsidR="00163A63" w:rsidRPr="003C476B" w:rsidRDefault="00163A63" w:rsidP="001D4018">
                  <w:pPr>
                    <w:spacing w:line="276" w:lineRule="auto"/>
                    <w:contextualSpacing/>
                    <w:jc w:val="both"/>
                    <w:rPr>
                      <w:rFonts w:ascii="Arial" w:eastAsia="Calibri" w:hAnsi="Arial" w:cs="Arial"/>
                      <w:sz w:val="20"/>
                      <w:lang w:val="en-ZA"/>
                    </w:rPr>
                  </w:pPr>
                  <w:r w:rsidRPr="003C476B">
                    <w:rPr>
                      <w:rFonts w:ascii="Arial" w:eastAsia="Calibri" w:hAnsi="Arial" w:cs="Arial"/>
                      <w:sz w:val="20"/>
                      <w:lang w:val="en-ZA"/>
                    </w:rPr>
                    <w:t>To be indicated at task order stage</w:t>
                  </w:r>
                </w:p>
              </w:tc>
            </w:tr>
          </w:tbl>
          <w:p w14:paraId="3AE8D3B3" w14:textId="77777777" w:rsidR="00163A63" w:rsidRPr="003C476B" w:rsidRDefault="00163A63" w:rsidP="001D4018">
            <w:pPr>
              <w:tabs>
                <w:tab w:val="left" w:pos="720"/>
              </w:tabs>
              <w:spacing w:line="276" w:lineRule="auto"/>
              <w:jc w:val="both"/>
              <w:rPr>
                <w:rFonts w:ascii="Arial" w:hAnsi="Arial" w:cs="Arial"/>
                <w:sz w:val="20"/>
                <w:lang w:val="en-ZA"/>
              </w:rPr>
            </w:pPr>
          </w:p>
          <w:p w14:paraId="110E6002" w14:textId="77777777" w:rsidR="00163A63" w:rsidRPr="003C476B" w:rsidRDefault="00163A63" w:rsidP="001D4018">
            <w:pPr>
              <w:tabs>
                <w:tab w:val="left" w:pos="720"/>
              </w:tabs>
              <w:spacing w:line="276" w:lineRule="auto"/>
              <w:jc w:val="both"/>
              <w:rPr>
                <w:rFonts w:ascii="Arial" w:hAnsi="Arial" w:cs="Arial"/>
                <w:sz w:val="20"/>
              </w:rPr>
            </w:pPr>
            <w:r w:rsidRPr="003C476B">
              <w:rPr>
                <w:rFonts w:ascii="Arial" w:hAnsi="Arial" w:cs="Arial"/>
                <w:sz w:val="20"/>
              </w:rPr>
              <w:t>Note: The contractor is to first prioritise areas local to site when sourcing, then move outward to the rest of the province and the country.</w:t>
            </w:r>
          </w:p>
          <w:p w14:paraId="6F85E85E" w14:textId="77777777" w:rsidR="00163A63" w:rsidRPr="003C476B" w:rsidRDefault="00163A63" w:rsidP="001D4018">
            <w:pPr>
              <w:tabs>
                <w:tab w:val="left" w:pos="720"/>
              </w:tabs>
              <w:spacing w:line="276" w:lineRule="auto"/>
              <w:jc w:val="both"/>
              <w:rPr>
                <w:rFonts w:ascii="Arial" w:hAnsi="Arial" w:cs="Arial"/>
                <w:sz w:val="20"/>
                <w:lang w:val="en-ZA"/>
              </w:rPr>
            </w:pPr>
          </w:p>
          <w:p w14:paraId="7F304E76" w14:textId="77777777" w:rsidR="00163A63" w:rsidRPr="003C476B" w:rsidRDefault="00163A63" w:rsidP="001D4018">
            <w:pPr>
              <w:tabs>
                <w:tab w:val="left" w:pos="142"/>
                <w:tab w:val="left" w:pos="567"/>
                <w:tab w:val="left" w:pos="851"/>
              </w:tabs>
              <w:spacing w:line="276" w:lineRule="auto"/>
              <w:contextualSpacing/>
              <w:jc w:val="both"/>
              <w:rPr>
                <w:rFonts w:ascii="Arial" w:eastAsia="Calibri" w:hAnsi="Arial" w:cs="Arial"/>
                <w:b/>
                <w:sz w:val="20"/>
                <w:lang w:val="en-ZA"/>
              </w:rPr>
            </w:pPr>
            <w:r w:rsidRPr="003C476B">
              <w:rPr>
                <w:rFonts w:ascii="Arial" w:eastAsia="Calibri" w:hAnsi="Arial" w:cs="Arial"/>
                <w:b/>
                <w:sz w:val="20"/>
                <w:lang w:val="en-ZA"/>
              </w:rPr>
              <w:t>3.4 Job Creation</w:t>
            </w:r>
          </w:p>
          <w:p w14:paraId="7B3F0FDB" w14:textId="77777777" w:rsidR="00163A63" w:rsidRPr="003C476B" w:rsidRDefault="00163A63" w:rsidP="00163A63">
            <w:pPr>
              <w:pStyle w:val="ListParagraph"/>
              <w:numPr>
                <w:ilvl w:val="0"/>
                <w:numId w:val="49"/>
              </w:numPr>
              <w:spacing w:line="276" w:lineRule="auto"/>
              <w:jc w:val="both"/>
              <w:rPr>
                <w:rFonts w:ascii="Arial" w:eastAsia="Calibri" w:hAnsi="Arial" w:cs="Arial"/>
                <w:sz w:val="20"/>
                <w:lang w:val="en-ZA"/>
              </w:rPr>
            </w:pPr>
            <w:r w:rsidRPr="003C476B">
              <w:rPr>
                <w:rFonts w:ascii="Arial" w:hAnsi="Arial" w:cs="Arial"/>
                <w:sz w:val="20"/>
              </w:rPr>
              <w:t>Tenderers will be required to indicate the number of jobs created and or retained for each project (task order).</w:t>
            </w:r>
          </w:p>
          <w:p w14:paraId="3D5042AA" w14:textId="77777777" w:rsidR="00163A63" w:rsidRPr="003C476B" w:rsidRDefault="00163A63" w:rsidP="00163A63">
            <w:pPr>
              <w:pStyle w:val="ListParagraph"/>
              <w:numPr>
                <w:ilvl w:val="0"/>
                <w:numId w:val="49"/>
              </w:numPr>
              <w:spacing w:line="276" w:lineRule="auto"/>
              <w:rPr>
                <w:rFonts w:ascii="Arial" w:hAnsi="Arial" w:cs="Arial"/>
                <w:bCs/>
                <w:sz w:val="20"/>
              </w:rPr>
            </w:pPr>
            <w:r w:rsidRPr="003C476B">
              <w:rPr>
                <w:rFonts w:ascii="Arial" w:hAnsi="Arial" w:cs="Arial"/>
                <w:bCs/>
                <w:sz w:val="20"/>
              </w:rPr>
              <w:t>Communities based local to site (areas around site) should be prioritised for employment and all unskilled labourers sourced from areas local to site.</w:t>
            </w:r>
          </w:p>
          <w:p w14:paraId="4B1A4235" w14:textId="77777777" w:rsidR="00163A63" w:rsidRPr="003C476B" w:rsidRDefault="00163A63" w:rsidP="001D4018">
            <w:pPr>
              <w:spacing w:line="276" w:lineRule="auto"/>
              <w:rPr>
                <w:rFonts w:ascii="Arial" w:hAnsi="Arial" w:cs="Arial"/>
                <w:sz w:val="20"/>
              </w:rPr>
            </w:pPr>
          </w:p>
        </w:tc>
      </w:tr>
    </w:tbl>
    <w:p w14:paraId="748671A1" w14:textId="77777777" w:rsidR="006E5E06" w:rsidRDefault="006E5E06" w:rsidP="00EB6A30">
      <w:pPr>
        <w:spacing w:after="120" w:line="276" w:lineRule="auto"/>
        <w:rPr>
          <w:rFonts w:ascii="Arial" w:hAnsi="Arial" w:cs="Arial"/>
          <w:b/>
          <w:sz w:val="22"/>
        </w:rPr>
      </w:pPr>
    </w:p>
    <w:p w14:paraId="14951245" w14:textId="34E94846"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1C6B54">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32CA6AF0" w14:textId="7F70F828" w:rsidR="00163A63" w:rsidRDefault="00163A63" w:rsidP="00C7656D">
      <w:pPr>
        <w:spacing w:after="200" w:line="276" w:lineRule="auto"/>
        <w:rPr>
          <w:rFonts w:ascii="Arial" w:hAnsi="Arial" w:cs="Arial"/>
          <w:b/>
          <w:sz w:val="22"/>
        </w:rPr>
      </w:pPr>
    </w:p>
    <w:p w14:paraId="2BED1FA7" w14:textId="77777777" w:rsidR="00163A63" w:rsidRDefault="00163A63">
      <w:pPr>
        <w:spacing w:after="200" w:line="276" w:lineRule="auto"/>
        <w:rPr>
          <w:rFonts w:ascii="Arial" w:hAnsi="Arial" w:cs="Arial"/>
          <w:b/>
          <w:sz w:val="22"/>
        </w:rPr>
      </w:pPr>
      <w:r>
        <w:rPr>
          <w:rFonts w:ascii="Arial" w:hAnsi="Arial" w:cs="Arial"/>
          <w:b/>
          <w:sz w:val="22"/>
        </w:rPr>
        <w:br w:type="page"/>
      </w:r>
    </w:p>
    <w:p w14:paraId="35DAD45A" w14:textId="50FBDC19"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2"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2"/>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5C6D2EAA" w14:textId="12E4988C"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p w14:paraId="0F2B1C4E" w14:textId="64C22346" w:rsidR="00175644" w:rsidRDefault="00175644" w:rsidP="00304117">
      <w:pPr>
        <w:pBdr>
          <w:bottom w:val="single" w:sz="12" w:space="1" w:color="auto"/>
        </w:pBdr>
        <w:tabs>
          <w:tab w:val="left" w:pos="720"/>
        </w:tabs>
        <w:jc w:val="both"/>
        <w:rPr>
          <w:rFonts w:ascii="Arial" w:hAnsi="Arial" w:cs="Arial"/>
          <w:b/>
          <w:sz w:val="20"/>
        </w:rPr>
      </w:pPr>
    </w:p>
    <w:p w14:paraId="06D022F4" w14:textId="77777777" w:rsidR="006E5E06" w:rsidRDefault="006E5E06" w:rsidP="00304117">
      <w:pPr>
        <w:pBdr>
          <w:bottom w:val="single" w:sz="12" w:space="1" w:color="auto"/>
        </w:pBdr>
        <w:tabs>
          <w:tab w:val="left" w:pos="720"/>
        </w:tabs>
        <w:jc w:val="both"/>
        <w:rPr>
          <w:rFonts w:ascii="Arial" w:hAnsi="Arial" w:cs="Arial"/>
          <w:b/>
          <w:sz w:val="20"/>
        </w:rPr>
      </w:pPr>
    </w:p>
    <w:p w14:paraId="09590270" w14:textId="07467332" w:rsidR="00175644" w:rsidRDefault="00175644" w:rsidP="00304117">
      <w:pPr>
        <w:pBdr>
          <w:bottom w:val="single" w:sz="12" w:space="1" w:color="auto"/>
        </w:pBdr>
        <w:tabs>
          <w:tab w:val="left" w:pos="720"/>
        </w:tabs>
        <w:jc w:val="both"/>
        <w:rPr>
          <w:rFonts w:ascii="Arial" w:hAnsi="Arial" w:cs="Arial"/>
          <w:b/>
          <w:sz w:val="16"/>
          <w:szCs w:val="16"/>
        </w:rPr>
      </w:pPr>
    </w:p>
    <w:p w14:paraId="34BE0035" w14:textId="77777777" w:rsidR="006E5E06" w:rsidRPr="006E5E06" w:rsidRDefault="006E5E06" w:rsidP="00304117">
      <w:pPr>
        <w:pBdr>
          <w:bottom w:val="single" w:sz="12" w:space="1" w:color="auto"/>
        </w:pBdr>
        <w:tabs>
          <w:tab w:val="left" w:pos="720"/>
        </w:tabs>
        <w:jc w:val="both"/>
        <w:rPr>
          <w:rFonts w:ascii="Arial" w:hAnsi="Arial" w:cs="Arial"/>
          <w:b/>
          <w:sz w:val="8"/>
          <w:szCs w:val="8"/>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637D14">
        <w:tc>
          <w:tcPr>
            <w:tcW w:w="4508"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77E438DB" w14:textId="77777777" w:rsidR="00324D94" w:rsidRDefault="00324D94" w:rsidP="00324D94">
                  <w:pPr>
                    <w:tabs>
                      <w:tab w:val="left" w:pos="720"/>
                    </w:tabs>
                    <w:jc w:val="both"/>
                    <w:rPr>
                      <w:rFonts w:ascii="Arial" w:hAnsi="Arial" w:cs="Arial"/>
                      <w:sz w:val="20"/>
                    </w:rPr>
                  </w:pPr>
                </w:p>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1D722807" w14:textId="317AAFDB" w:rsidR="00637D14" w:rsidRPr="00AC3774" w:rsidRDefault="00637D14" w:rsidP="00AC3774">
            <w:pPr>
              <w:tabs>
                <w:tab w:val="left" w:pos="720"/>
              </w:tabs>
              <w:jc w:val="both"/>
              <w:rPr>
                <w:rFonts w:ascii="Arial" w:hAnsi="Arial" w:cs="Arial"/>
                <w:sz w:val="20"/>
              </w:rPr>
            </w:pP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4AB92BF7"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27E0D233" w14:textId="3CD8808B" w:rsidR="00637D14" w:rsidRPr="00AC3774" w:rsidRDefault="00637D14" w:rsidP="00FB1E51">
            <w:pPr>
              <w:tabs>
                <w:tab w:val="left" w:pos="720"/>
              </w:tabs>
              <w:jc w:val="both"/>
              <w:rPr>
                <w:rFonts w:ascii="Arial" w:hAnsi="Arial" w:cs="Arial"/>
                <w:sz w:val="20"/>
              </w:rPr>
            </w:pP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B97A" w14:textId="77777777" w:rsidR="00954BA6" w:rsidRDefault="00954BA6" w:rsidP="00201A98">
      <w:r>
        <w:separator/>
      </w:r>
    </w:p>
  </w:endnote>
  <w:endnote w:type="continuationSeparator" w:id="0">
    <w:p w14:paraId="3D76FF76" w14:textId="77777777" w:rsidR="00954BA6" w:rsidRDefault="00954BA6"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5AD1" w14:textId="77777777" w:rsidR="00954BA6" w:rsidRDefault="00954BA6" w:rsidP="00201A98">
      <w:r>
        <w:separator/>
      </w:r>
    </w:p>
  </w:footnote>
  <w:footnote w:type="continuationSeparator" w:id="0">
    <w:p w14:paraId="429A1136" w14:textId="77777777" w:rsidR="00954BA6" w:rsidRDefault="00954BA6"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000000"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5212002"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EA7580"/>
    <w:multiLevelType w:val="hybridMultilevel"/>
    <w:tmpl w:val="58623FD2"/>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A143303"/>
    <w:multiLevelType w:val="hybridMultilevel"/>
    <w:tmpl w:val="82D6C7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0"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6"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F6A7540"/>
    <w:multiLevelType w:val="hybridMultilevel"/>
    <w:tmpl w:val="F1A86D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31"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3"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4" w15:restartNumberingAfterBreak="0">
    <w:nsid w:val="59DF00F6"/>
    <w:multiLevelType w:val="hybridMultilevel"/>
    <w:tmpl w:val="3FAC0474"/>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8"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9"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1"/>
  </w:num>
  <w:num w:numId="2" w16cid:durableId="769589901">
    <w:abstractNumId w:val="33"/>
  </w:num>
  <w:num w:numId="3" w16cid:durableId="1636983690">
    <w:abstractNumId w:val="35"/>
  </w:num>
  <w:num w:numId="4" w16cid:durableId="1049838470">
    <w:abstractNumId w:val="4"/>
  </w:num>
  <w:num w:numId="5" w16cid:durableId="747270413">
    <w:abstractNumId w:val="17"/>
  </w:num>
  <w:num w:numId="6" w16cid:durableId="298614127">
    <w:abstractNumId w:val="21"/>
  </w:num>
  <w:num w:numId="7" w16cid:durableId="886451534">
    <w:abstractNumId w:val="41"/>
  </w:num>
  <w:num w:numId="8" w16cid:durableId="1364016205">
    <w:abstractNumId w:val="7"/>
  </w:num>
  <w:num w:numId="9" w16cid:durableId="501093778">
    <w:abstractNumId w:val="25"/>
  </w:num>
  <w:num w:numId="10" w16cid:durableId="296688292">
    <w:abstractNumId w:val="30"/>
  </w:num>
  <w:num w:numId="11" w16cid:durableId="1367868149">
    <w:abstractNumId w:val="38"/>
  </w:num>
  <w:num w:numId="12" w16cid:durableId="1739786048">
    <w:abstractNumId w:val="15"/>
  </w:num>
  <w:num w:numId="13" w16cid:durableId="621349608">
    <w:abstractNumId w:val="26"/>
  </w:num>
  <w:num w:numId="14" w16cid:durableId="416682265">
    <w:abstractNumId w:val="19"/>
  </w:num>
  <w:num w:numId="15" w16cid:durableId="867644372">
    <w:abstractNumId w:val="20"/>
  </w:num>
  <w:num w:numId="16" w16cid:durableId="1411199536">
    <w:abstractNumId w:val="2"/>
  </w:num>
  <w:num w:numId="17" w16cid:durableId="768938162">
    <w:abstractNumId w:val="23"/>
  </w:num>
  <w:num w:numId="18" w16cid:durableId="1103381334">
    <w:abstractNumId w:val="9"/>
  </w:num>
  <w:num w:numId="19" w16cid:durableId="1185709056">
    <w:abstractNumId w:val="32"/>
  </w:num>
  <w:num w:numId="20" w16cid:durableId="160703720">
    <w:abstractNumId w:val="16"/>
  </w:num>
  <w:num w:numId="21" w16cid:durableId="1083262651">
    <w:abstractNumId w:val="28"/>
  </w:num>
  <w:num w:numId="22" w16cid:durableId="594288937">
    <w:abstractNumId w:val="18"/>
  </w:num>
  <w:num w:numId="23" w16cid:durableId="137694747">
    <w:abstractNumId w:val="39"/>
  </w:num>
  <w:num w:numId="24" w16cid:durableId="1635332457">
    <w:abstractNumId w:val="24"/>
  </w:num>
  <w:num w:numId="25" w16cid:durableId="356195997">
    <w:abstractNumId w:val="13"/>
  </w:num>
  <w:num w:numId="26" w16cid:durableId="1068723575">
    <w:abstractNumId w:val="16"/>
  </w:num>
  <w:num w:numId="27" w16cid:durableId="1280183404">
    <w:abstractNumId w:val="45"/>
  </w:num>
  <w:num w:numId="28" w16cid:durableId="391970900">
    <w:abstractNumId w:val="29"/>
  </w:num>
  <w:num w:numId="29" w16cid:durableId="2142724945">
    <w:abstractNumId w:val="6"/>
  </w:num>
  <w:num w:numId="30" w16cid:durableId="1111973304">
    <w:abstractNumId w:val="36"/>
  </w:num>
  <w:num w:numId="31" w16cid:durableId="1998069011">
    <w:abstractNumId w:val="47"/>
  </w:num>
  <w:num w:numId="32" w16cid:durableId="1712143695">
    <w:abstractNumId w:val="43"/>
  </w:num>
  <w:num w:numId="33" w16cid:durableId="778767238">
    <w:abstractNumId w:val="37"/>
  </w:num>
  <w:num w:numId="34" w16cid:durableId="1249457635">
    <w:abstractNumId w:val="46"/>
  </w:num>
  <w:num w:numId="35" w16cid:durableId="1195466582">
    <w:abstractNumId w:val="22"/>
  </w:num>
  <w:num w:numId="36" w16cid:durableId="937130701">
    <w:abstractNumId w:val="44"/>
  </w:num>
  <w:num w:numId="37" w16cid:durableId="438137684">
    <w:abstractNumId w:val="10"/>
  </w:num>
  <w:num w:numId="38" w16cid:durableId="31392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2"/>
  </w:num>
  <w:num w:numId="41" w16cid:durableId="986789375">
    <w:abstractNumId w:val="5"/>
  </w:num>
  <w:num w:numId="42" w16cid:durableId="733353706">
    <w:abstractNumId w:val="0"/>
  </w:num>
  <w:num w:numId="43" w16cid:durableId="859053093">
    <w:abstractNumId w:val="31"/>
  </w:num>
  <w:num w:numId="44" w16cid:durableId="2065517844">
    <w:abstractNumId w:val="1"/>
  </w:num>
  <w:num w:numId="45" w16cid:durableId="1979189320">
    <w:abstractNumId w:val="40"/>
  </w:num>
  <w:num w:numId="46" w16cid:durableId="1853454794">
    <w:abstractNumId w:val="34"/>
  </w:num>
  <w:num w:numId="47" w16cid:durableId="322659994">
    <w:abstractNumId w:val="27"/>
  </w:num>
  <w:num w:numId="48" w16cid:durableId="1403218637">
    <w:abstractNumId w:val="14"/>
  </w:num>
  <w:num w:numId="49" w16cid:durableId="1866477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0968"/>
    <w:rsid w:val="00023030"/>
    <w:rsid w:val="000263D8"/>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01F"/>
    <w:rsid w:val="000D4357"/>
    <w:rsid w:val="000E1AB5"/>
    <w:rsid w:val="000F528A"/>
    <w:rsid w:val="001022DD"/>
    <w:rsid w:val="00105474"/>
    <w:rsid w:val="00111B2E"/>
    <w:rsid w:val="00113DFD"/>
    <w:rsid w:val="00115ECC"/>
    <w:rsid w:val="0011612D"/>
    <w:rsid w:val="00140917"/>
    <w:rsid w:val="001477A3"/>
    <w:rsid w:val="00151F81"/>
    <w:rsid w:val="001521AD"/>
    <w:rsid w:val="00154240"/>
    <w:rsid w:val="00155040"/>
    <w:rsid w:val="00155248"/>
    <w:rsid w:val="00163A63"/>
    <w:rsid w:val="001645BF"/>
    <w:rsid w:val="00173BE4"/>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D657A"/>
    <w:rsid w:val="001E3CF5"/>
    <w:rsid w:val="001E4F28"/>
    <w:rsid w:val="001E64BB"/>
    <w:rsid w:val="00201A98"/>
    <w:rsid w:val="00203FB8"/>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4D94"/>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13A7"/>
    <w:rsid w:val="004251A4"/>
    <w:rsid w:val="004364AE"/>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C4F76"/>
    <w:rsid w:val="005D7F0D"/>
    <w:rsid w:val="005E0073"/>
    <w:rsid w:val="005E3BE0"/>
    <w:rsid w:val="005E6044"/>
    <w:rsid w:val="00602047"/>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A7814"/>
    <w:rsid w:val="007B57E6"/>
    <w:rsid w:val="007C0A56"/>
    <w:rsid w:val="007D4E0A"/>
    <w:rsid w:val="007D5975"/>
    <w:rsid w:val="007E0CE5"/>
    <w:rsid w:val="007F15E3"/>
    <w:rsid w:val="00810BAA"/>
    <w:rsid w:val="00821626"/>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F57DD"/>
    <w:rsid w:val="008F5BEC"/>
    <w:rsid w:val="009017B9"/>
    <w:rsid w:val="00903604"/>
    <w:rsid w:val="00914474"/>
    <w:rsid w:val="009214A0"/>
    <w:rsid w:val="00924E22"/>
    <w:rsid w:val="00931DE5"/>
    <w:rsid w:val="00944D59"/>
    <w:rsid w:val="00954BA6"/>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2C"/>
    <w:rsid w:val="00A651E0"/>
    <w:rsid w:val="00A6602E"/>
    <w:rsid w:val="00A67C16"/>
    <w:rsid w:val="00A72491"/>
    <w:rsid w:val="00A72A16"/>
    <w:rsid w:val="00A91CB3"/>
    <w:rsid w:val="00AA16F4"/>
    <w:rsid w:val="00AA403D"/>
    <w:rsid w:val="00AB4D3B"/>
    <w:rsid w:val="00AB5F47"/>
    <w:rsid w:val="00AB64E3"/>
    <w:rsid w:val="00AB650A"/>
    <w:rsid w:val="00AC21FB"/>
    <w:rsid w:val="00AC3774"/>
    <w:rsid w:val="00AD784B"/>
    <w:rsid w:val="00AE7139"/>
    <w:rsid w:val="00AF35DE"/>
    <w:rsid w:val="00AF6824"/>
    <w:rsid w:val="00B00E72"/>
    <w:rsid w:val="00B0566F"/>
    <w:rsid w:val="00B16C39"/>
    <w:rsid w:val="00B263C0"/>
    <w:rsid w:val="00B27F4B"/>
    <w:rsid w:val="00B3212E"/>
    <w:rsid w:val="00B32FC7"/>
    <w:rsid w:val="00B35AA2"/>
    <w:rsid w:val="00B44389"/>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781D"/>
    <w:rsid w:val="00D04B3C"/>
    <w:rsid w:val="00D21895"/>
    <w:rsid w:val="00D2565A"/>
    <w:rsid w:val="00D32E5C"/>
    <w:rsid w:val="00D3660F"/>
    <w:rsid w:val="00D3699D"/>
    <w:rsid w:val="00D415A5"/>
    <w:rsid w:val="00D45AEE"/>
    <w:rsid w:val="00D479A6"/>
    <w:rsid w:val="00D5588B"/>
    <w:rsid w:val="00D60523"/>
    <w:rsid w:val="00D71719"/>
    <w:rsid w:val="00D73F08"/>
    <w:rsid w:val="00D754CB"/>
    <w:rsid w:val="00D817F7"/>
    <w:rsid w:val="00D86CD2"/>
    <w:rsid w:val="00D871DD"/>
    <w:rsid w:val="00DA1B06"/>
    <w:rsid w:val="00DA3954"/>
    <w:rsid w:val="00DB22F3"/>
    <w:rsid w:val="00DB6A92"/>
    <w:rsid w:val="00DC3353"/>
    <w:rsid w:val="00DC6795"/>
    <w:rsid w:val="00DD5408"/>
    <w:rsid w:val="00DD7B12"/>
    <w:rsid w:val="00DE2368"/>
    <w:rsid w:val="00DF46B0"/>
    <w:rsid w:val="00E112C5"/>
    <w:rsid w:val="00E2355B"/>
    <w:rsid w:val="00E238C2"/>
    <w:rsid w:val="00E26D9A"/>
    <w:rsid w:val="00E35EB0"/>
    <w:rsid w:val="00E3774F"/>
    <w:rsid w:val="00E500CF"/>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16E0"/>
    <w:rsid w:val="00F3247D"/>
    <w:rsid w:val="00F337F6"/>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Ncomeka Xuma</cp:lastModifiedBy>
  <cp:revision>3</cp:revision>
  <cp:lastPrinted>2023-01-25T15:41:00Z</cp:lastPrinted>
  <dcterms:created xsi:type="dcterms:W3CDTF">2025-07-28T10:43:00Z</dcterms:created>
  <dcterms:modified xsi:type="dcterms:W3CDTF">2025-07-28T10:47:00Z</dcterms:modified>
</cp:coreProperties>
</file>