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02D46BDA"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w:t>
      </w:r>
      <w:r w:rsidR="003C2B8F">
        <w:rPr>
          <w:rFonts w:cs="Arial"/>
          <w:b/>
          <w:bCs/>
          <w:sz w:val="20"/>
          <w:szCs w:val="20"/>
        </w:rPr>
        <w:t>5</w:t>
      </w:r>
      <w:r w:rsidR="004A0491">
        <w:rPr>
          <w:rFonts w:cs="Arial"/>
          <w:b/>
          <w:bCs/>
          <w:sz w:val="20"/>
          <w:szCs w:val="20"/>
        </w:rPr>
        <w:t>34</w:t>
      </w:r>
      <w:r w:rsidR="005C3F40" w:rsidRPr="005C3F40">
        <w:rPr>
          <w:rFonts w:cs="Arial"/>
          <w:b/>
          <w:bCs/>
          <w:sz w:val="20"/>
          <w:szCs w:val="20"/>
        </w:rPr>
        <w:t xml:space="preserve">W  </w:t>
      </w:r>
    </w:p>
    <w:p w14:paraId="128D32E8" w14:textId="2998AB98"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w:t>
      </w:r>
      <w:r w:rsidR="003C2B8F">
        <w:rPr>
          <w:rFonts w:cs="Arial"/>
          <w:b/>
          <w:bCs/>
          <w:sz w:val="18"/>
          <w:szCs w:val="18"/>
        </w:rPr>
        <w:t>8</w:t>
      </w:r>
      <w:r w:rsidR="004A0491">
        <w:rPr>
          <w:rFonts w:cs="Arial"/>
          <w:b/>
          <w:bCs/>
          <w:sz w:val="18"/>
          <w:szCs w:val="18"/>
        </w:rPr>
        <w:t>114</w:t>
      </w:r>
      <w:r w:rsidRPr="005C3F40">
        <w:rPr>
          <w:rFonts w:cs="Arial"/>
          <w:b/>
          <w:bCs/>
          <w:sz w:val="18"/>
          <w:szCs w:val="18"/>
        </w:rPr>
        <w:t xml:space="preserve">: KZN: DEPARTMENT OF </w:t>
      </w:r>
      <w:r w:rsidR="00B024E9">
        <w:rPr>
          <w:rFonts w:cs="Arial"/>
          <w:b/>
          <w:bCs/>
          <w:sz w:val="18"/>
          <w:szCs w:val="18"/>
        </w:rPr>
        <w:t xml:space="preserve">CO-OPERATIVE GOVERNANCE AND  </w:t>
      </w:r>
    </w:p>
    <w:p w14:paraId="40CE7EE1" w14:textId="6E4CCBD9" w:rsidR="00B024E9"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4A0491">
        <w:rPr>
          <w:rFonts w:cs="Arial"/>
          <w:b/>
          <w:bCs/>
          <w:sz w:val="18"/>
          <w:szCs w:val="18"/>
        </w:rPr>
        <w:t>INANDA</w:t>
      </w:r>
      <w:r>
        <w:rPr>
          <w:rFonts w:cs="Arial"/>
          <w:b/>
          <w:bCs/>
          <w:sz w:val="18"/>
          <w:szCs w:val="18"/>
        </w:rPr>
        <w:t xml:space="preserve">: </w:t>
      </w:r>
      <w:r w:rsidR="004A0491">
        <w:rPr>
          <w:rFonts w:cs="Arial"/>
          <w:b/>
          <w:bCs/>
          <w:sz w:val="18"/>
          <w:szCs w:val="18"/>
        </w:rPr>
        <w:t>QADI</w:t>
      </w:r>
      <w:r>
        <w:rPr>
          <w:rFonts w:cs="Arial"/>
          <w:b/>
          <w:bCs/>
          <w:sz w:val="18"/>
          <w:szCs w:val="18"/>
        </w:rPr>
        <w:t xml:space="preserve"> </w:t>
      </w:r>
    </w:p>
    <w:p w14:paraId="01D8F2B6" w14:textId="39758E7F" w:rsidR="00B024E9" w:rsidRDefault="00B024E9" w:rsidP="0034133A">
      <w:pPr>
        <w:rPr>
          <w:rFonts w:cs="Arial"/>
          <w:b/>
          <w:bCs/>
          <w:sz w:val="18"/>
          <w:szCs w:val="18"/>
        </w:rPr>
      </w:pPr>
      <w:r>
        <w:rPr>
          <w:rFonts w:cs="Arial"/>
          <w:b/>
          <w:bCs/>
          <w:sz w:val="18"/>
          <w:szCs w:val="18"/>
        </w:rPr>
        <w:t xml:space="preserve">                                                                    TRADITIONAL </w:t>
      </w:r>
      <w:r w:rsidR="008B1F40">
        <w:rPr>
          <w:rFonts w:cs="Arial"/>
          <w:b/>
          <w:bCs/>
          <w:sz w:val="18"/>
          <w:szCs w:val="18"/>
        </w:rPr>
        <w:t>COURT</w:t>
      </w:r>
      <w:r>
        <w:rPr>
          <w:rFonts w:cs="Arial"/>
          <w:b/>
          <w:bCs/>
          <w:sz w:val="18"/>
          <w:szCs w:val="18"/>
        </w:rPr>
        <w:t xml:space="preserve">: REHABILITATION, REFURBISHMENT AND  </w:t>
      </w:r>
    </w:p>
    <w:p w14:paraId="6179D88B" w14:textId="61CE053F" w:rsidR="0034133A" w:rsidRPr="005C3F40" w:rsidRDefault="00B024E9" w:rsidP="0034133A">
      <w:pPr>
        <w:rPr>
          <w:rFonts w:cs="Arial"/>
          <w:b/>
          <w:bCs/>
          <w:sz w:val="18"/>
          <w:szCs w:val="18"/>
        </w:rPr>
      </w:pPr>
      <w:r>
        <w:rPr>
          <w:rFonts w:cs="Arial"/>
          <w:b/>
          <w:bCs/>
          <w:sz w:val="18"/>
          <w:szCs w:val="18"/>
        </w:rPr>
        <w:t xml:space="preserve">                                                                    MAINTENANCE</w:t>
      </w:r>
      <w:r w:rsidR="00D538A6">
        <w:rPr>
          <w:rFonts w:cs="Arial"/>
          <w:b/>
          <w:bCs/>
          <w:sz w:val="18"/>
          <w:szCs w:val="18"/>
        </w:rPr>
        <w:t>.</w:t>
      </w:r>
    </w:p>
    <w:p w14:paraId="34B95F7C" w14:textId="366081AE"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4A0491">
        <w:rPr>
          <w:rFonts w:ascii="Arial" w:hAnsi="Arial" w:cs="Arial"/>
          <w:sz w:val="18"/>
          <w:szCs w:val="18"/>
        </w:rPr>
        <w:t>5</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767A92DB"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proofErr w:type="spellStart"/>
      <w:r w:rsidR="004A0491">
        <w:rPr>
          <w:rFonts w:cs="Arial"/>
          <w:bCs/>
          <w:sz w:val="20"/>
          <w:szCs w:val="20"/>
        </w:rPr>
        <w:t>Inanda</w:t>
      </w:r>
      <w:proofErr w:type="spellEnd"/>
    </w:p>
    <w:p w14:paraId="3F8B7AEF" w14:textId="54F38A28"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4A0491">
        <w:rPr>
          <w:rFonts w:ascii="Arial" w:hAnsi="Arial" w:cs="Arial"/>
          <w:sz w:val="20"/>
          <w:szCs w:val="20"/>
        </w:rPr>
        <w:t>Twelve</w:t>
      </w:r>
      <w:r w:rsidR="00505D5B" w:rsidRPr="005E6575">
        <w:rPr>
          <w:rFonts w:ascii="Arial" w:hAnsi="Arial" w:cs="Arial"/>
          <w:sz w:val="20"/>
          <w:szCs w:val="20"/>
        </w:rPr>
        <w:t xml:space="preserve"> (</w:t>
      </w:r>
      <w:r w:rsidR="004A0491">
        <w:rPr>
          <w:rFonts w:ascii="Arial" w:hAnsi="Arial" w:cs="Arial"/>
          <w:sz w:val="20"/>
          <w:szCs w:val="20"/>
        </w:rPr>
        <w:t>12</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1FC06F0E"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3C2B8F">
        <w:rPr>
          <w:rFonts w:cs="Arial"/>
          <w:sz w:val="20"/>
          <w:szCs w:val="20"/>
        </w:rPr>
        <w:t>3</w:t>
      </w:r>
      <w:r w:rsidR="004A0491">
        <w:rPr>
          <w:rFonts w:cs="Arial"/>
          <w:sz w:val="20"/>
          <w:szCs w:val="20"/>
        </w:rPr>
        <w:t>80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4915541B"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0266A9">
        <w:rPr>
          <w:rFonts w:cs="Arial"/>
          <w:bCs/>
          <w:sz w:val="20"/>
          <w:szCs w:val="20"/>
        </w:rPr>
        <w:t>Department of Public Works – 455A King Cetshwayo Highway Conference Centre (Dining Hall)</w:t>
      </w:r>
    </w:p>
    <w:p w14:paraId="2DC56D5F" w14:textId="70D81A8D" w:rsidR="00B55C5F" w:rsidRDefault="00B55C5F" w:rsidP="00FA0B06">
      <w:pPr>
        <w:rPr>
          <w:rFonts w:cs="Arial"/>
          <w:bCs/>
          <w:sz w:val="20"/>
          <w:szCs w:val="20"/>
        </w:rPr>
      </w:pPr>
      <w:r>
        <w:rPr>
          <w:rFonts w:cs="Arial"/>
          <w:bCs/>
          <w:sz w:val="20"/>
          <w:szCs w:val="20"/>
        </w:rPr>
        <w:t xml:space="preserve">Date: </w:t>
      </w:r>
      <w:r w:rsidR="000266A9">
        <w:rPr>
          <w:rFonts w:cs="Arial"/>
          <w:bCs/>
          <w:sz w:val="20"/>
          <w:szCs w:val="20"/>
        </w:rPr>
        <w:t>28 August 2023</w:t>
      </w:r>
    </w:p>
    <w:p w14:paraId="2FE4EC59" w14:textId="0BC273C2" w:rsidR="00B55C5F" w:rsidRDefault="00B55C5F" w:rsidP="00FA0B06">
      <w:pPr>
        <w:rPr>
          <w:rFonts w:cs="Arial"/>
          <w:sz w:val="20"/>
          <w:szCs w:val="20"/>
        </w:rPr>
      </w:pPr>
      <w:r>
        <w:rPr>
          <w:rFonts w:cs="Arial"/>
          <w:bCs/>
          <w:sz w:val="20"/>
          <w:szCs w:val="20"/>
        </w:rPr>
        <w:t xml:space="preserve">Time: </w:t>
      </w:r>
      <w:r w:rsidR="000266A9">
        <w:rPr>
          <w:rFonts w:cs="Arial"/>
          <w:bCs/>
          <w:sz w:val="20"/>
          <w:szCs w:val="20"/>
        </w:rPr>
        <w:t>11h00</w:t>
      </w:r>
    </w:p>
    <w:p w14:paraId="017A452E" w14:textId="77777777" w:rsidR="00FA0B06" w:rsidRDefault="00FA0B06" w:rsidP="00FA0B06">
      <w:pPr>
        <w:rPr>
          <w:rFonts w:cs="Arial"/>
          <w:sz w:val="20"/>
          <w:szCs w:val="20"/>
        </w:rPr>
      </w:pPr>
    </w:p>
    <w:p w14:paraId="61A3B711" w14:textId="440B1435"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0266A9">
        <w:rPr>
          <w:rFonts w:cs="Arial"/>
          <w:b/>
          <w:sz w:val="20"/>
          <w:szCs w:val="20"/>
        </w:rPr>
        <w:t>11 September 2023</w:t>
      </w:r>
      <w:r w:rsidR="00D60DC1">
        <w:rPr>
          <w:rFonts w:cs="Arial"/>
          <w:b/>
          <w:sz w:val="20"/>
          <w:szCs w:val="20"/>
        </w:rPr>
        <w:t xml:space="preserve"> </w:t>
      </w:r>
      <w:r>
        <w:rPr>
          <w:rFonts w:cs="Arial"/>
          <w:b/>
          <w:sz w:val="20"/>
          <w:szCs w:val="20"/>
        </w:rPr>
        <w:t xml:space="preserve">at 11H00 </w:t>
      </w:r>
      <w:r w:rsidR="00B946C3">
        <w:rPr>
          <w:rFonts w:cs="Arial"/>
          <w:b/>
          <w:sz w:val="20"/>
          <w:szCs w:val="20"/>
        </w:rPr>
        <w:t>(455A King Cetshwayo Highway, Mayville -basemen</w:t>
      </w:r>
      <w:r w:rsidR="008B1F40">
        <w:rPr>
          <w:rFonts w:cs="Arial"/>
          <w:b/>
          <w:sz w:val="20"/>
          <w:szCs w:val="20"/>
        </w:rPr>
        <w:t>t</w:t>
      </w:r>
      <w:r w:rsidR="00B946C3">
        <w:rPr>
          <w:rFonts w:cs="Arial"/>
          <w:b/>
          <w:sz w:val="20"/>
          <w:szCs w:val="20"/>
        </w:rPr>
        <w:t xml:space="preserve"> tender office)</w:t>
      </w: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0AB0087E"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4A0491">
        <w:rPr>
          <w:rFonts w:cs="Arial"/>
          <w:b/>
          <w:sz w:val="20"/>
          <w:szCs w:val="20"/>
        </w:rPr>
        <w:t>12</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4EB60F78"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w:t>
      </w:r>
      <w:r w:rsidR="004A0491">
        <w:rPr>
          <w:rFonts w:cs="Arial"/>
          <w:b/>
          <w:sz w:val="20"/>
          <w:szCs w:val="20"/>
          <w:lang w:val="de-DE"/>
        </w:rPr>
        <w:t>2 513 8726</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3C2B8F">
        <w:rPr>
          <w:rFonts w:cs="Arial"/>
          <w:b/>
          <w:sz w:val="20"/>
          <w:szCs w:val="20"/>
          <w:lang w:val="de-DE"/>
        </w:rPr>
        <w:t>nivaan.koobair</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79A504B7" w14:textId="77777777" w:rsidR="008B1F40" w:rsidRDefault="008B1F40" w:rsidP="00BE3499">
      <w:pPr>
        <w:pStyle w:val="ListParagraph"/>
        <w:ind w:hanging="436"/>
        <w:rPr>
          <w:rFonts w:cs="Arial"/>
          <w:bCs/>
          <w:sz w:val="18"/>
          <w:szCs w:val="18"/>
        </w:rPr>
      </w:pPr>
    </w:p>
    <w:p w14:paraId="4DD2F0AA" w14:textId="7B78A27E"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0266A9">
        <w:rPr>
          <w:rFonts w:cs="Arial"/>
          <w:bCs/>
          <w:sz w:val="18"/>
          <w:szCs w:val="18"/>
        </w:rPr>
        <w:t>: 18 August 2023</w:t>
      </w:r>
    </w:p>
    <w:p w14:paraId="0E9B78DE" w14:textId="77777777" w:rsidR="000266A9" w:rsidRDefault="000266A9" w:rsidP="00BE3499">
      <w:pPr>
        <w:ind w:left="716" w:hanging="432"/>
        <w:rPr>
          <w:rFonts w:cs="Arial"/>
          <w:bCs/>
          <w:sz w:val="18"/>
          <w:szCs w:val="18"/>
        </w:rPr>
      </w:pP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7AA34619" w:rsidR="00BE3499" w:rsidRPr="00B946C3" w:rsidRDefault="00BE3499" w:rsidP="00B946C3">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8B1F40">
        <w:rPr>
          <w:rFonts w:cs="Calibri"/>
          <w:bCs/>
          <w:sz w:val="18"/>
          <w:szCs w:val="18"/>
        </w:rPr>
        <w:t xml:space="preserve"> and volume 2 together with all supporting documents</w:t>
      </w:r>
      <w:r>
        <w:rPr>
          <w:rFonts w:cs="Calibri"/>
          <w:bCs/>
          <w:sz w:val="18"/>
          <w:szCs w:val="18"/>
        </w:rPr>
        <w:t xml:space="preserve"> at close of  </w:t>
      </w:r>
      <w:r w:rsidR="008B1F40">
        <w:rPr>
          <w:rFonts w:cs="Calibri"/>
          <w:bCs/>
          <w:sz w:val="18"/>
          <w:szCs w:val="18"/>
        </w:rPr>
        <w:t>tender</w:t>
      </w:r>
      <w:r>
        <w:rPr>
          <w:rFonts w:cs="Calibri"/>
          <w:bCs/>
          <w:sz w:val="18"/>
          <w:szCs w:val="18"/>
        </w:rPr>
        <w:t xml:space="preserve">.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3C2B8F" w:rsidRDefault="00BE3499" w:rsidP="00F76696">
      <w:pPr>
        <w:pStyle w:val="ListParagraph"/>
        <w:ind w:left="765" w:hanging="339"/>
        <w:rPr>
          <w:rFonts w:cs="Calibri"/>
          <w:b/>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w:t>
      </w:r>
      <w:r w:rsidR="00A90A1F" w:rsidRPr="003C2B8F">
        <w:rPr>
          <w:rFonts w:cs="Calibri"/>
          <w:b/>
          <w:sz w:val="18"/>
          <w:szCs w:val="18"/>
        </w:rPr>
        <w:t>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15EF116C" w:rsidR="00B024E9" w:rsidRPr="00046B7C" w:rsidRDefault="00B024E9" w:rsidP="003F2443">
            <w:pPr>
              <w:pStyle w:val="ListParagraph"/>
              <w:ind w:left="0"/>
              <w:rPr>
                <w:rFonts w:cs="Calibri"/>
                <w:bCs/>
                <w:sz w:val="20"/>
                <w:szCs w:val="20"/>
              </w:rPr>
            </w:pPr>
            <w:r>
              <w:rPr>
                <w:rFonts w:cs="Calibri"/>
                <w:bCs/>
                <w:sz w:val="20"/>
                <w:szCs w:val="20"/>
              </w:rPr>
              <w:t>2)</w:t>
            </w:r>
            <w:r w:rsidR="0018628D">
              <w:rPr>
                <w:rFonts w:cs="Calibri"/>
                <w:bCs/>
                <w:sz w:val="20"/>
                <w:szCs w:val="20"/>
              </w:rPr>
              <w:t xml:space="preserve">Ownership by People who are </w:t>
            </w:r>
            <w:r w:rsidR="003C2B8F">
              <w:rPr>
                <w:rFonts w:cs="Calibri"/>
                <w:bCs/>
                <w:sz w:val="20"/>
                <w:szCs w:val="20"/>
              </w:rPr>
              <w:t>Wo</w:t>
            </w:r>
            <w:r w:rsidR="000266A9">
              <w:rPr>
                <w:rFonts w:cs="Calibri"/>
                <w:bCs/>
                <w:sz w:val="20"/>
                <w:szCs w:val="20"/>
              </w:rPr>
              <w:t>men</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27C7" w14:textId="77777777" w:rsidR="003D28BA" w:rsidRDefault="003D28BA" w:rsidP="00B22844">
      <w:pPr>
        <w:spacing w:line="240" w:lineRule="auto"/>
      </w:pPr>
      <w:r>
        <w:separator/>
      </w:r>
    </w:p>
  </w:endnote>
  <w:endnote w:type="continuationSeparator" w:id="0">
    <w:p w14:paraId="00C24117" w14:textId="77777777" w:rsidR="003D28BA" w:rsidRDefault="003D28BA"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69FD" w14:textId="77777777" w:rsidR="003D28BA" w:rsidRDefault="003D28BA" w:rsidP="00B22844">
      <w:pPr>
        <w:spacing w:line="240" w:lineRule="auto"/>
      </w:pPr>
      <w:r>
        <w:separator/>
      </w:r>
    </w:p>
  </w:footnote>
  <w:footnote w:type="continuationSeparator" w:id="0">
    <w:p w14:paraId="743D06AD" w14:textId="77777777" w:rsidR="003D28BA" w:rsidRDefault="003D28BA"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266A9"/>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1A69"/>
    <w:rsid w:val="002C333A"/>
    <w:rsid w:val="00310222"/>
    <w:rsid w:val="0031497B"/>
    <w:rsid w:val="00323BD0"/>
    <w:rsid w:val="003255B4"/>
    <w:rsid w:val="00325FA9"/>
    <w:rsid w:val="00332235"/>
    <w:rsid w:val="00333208"/>
    <w:rsid w:val="003359B1"/>
    <w:rsid w:val="003365A2"/>
    <w:rsid w:val="0034133A"/>
    <w:rsid w:val="0034622D"/>
    <w:rsid w:val="00347D65"/>
    <w:rsid w:val="00364E6F"/>
    <w:rsid w:val="0036541C"/>
    <w:rsid w:val="0039387B"/>
    <w:rsid w:val="003A665E"/>
    <w:rsid w:val="003B068D"/>
    <w:rsid w:val="003B116C"/>
    <w:rsid w:val="003B3E03"/>
    <w:rsid w:val="003B6D70"/>
    <w:rsid w:val="003C2B8F"/>
    <w:rsid w:val="003C306D"/>
    <w:rsid w:val="003D28BA"/>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A0491"/>
    <w:rsid w:val="004A1027"/>
    <w:rsid w:val="004A4247"/>
    <w:rsid w:val="004A4FA1"/>
    <w:rsid w:val="004C0CE5"/>
    <w:rsid w:val="004C1879"/>
    <w:rsid w:val="004C7B61"/>
    <w:rsid w:val="004D67F5"/>
    <w:rsid w:val="004E4681"/>
    <w:rsid w:val="004F3CD9"/>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B1F40"/>
    <w:rsid w:val="008D08DF"/>
    <w:rsid w:val="008D69B2"/>
    <w:rsid w:val="008D6B3A"/>
    <w:rsid w:val="008E5A20"/>
    <w:rsid w:val="008E5EC6"/>
    <w:rsid w:val="008E6A98"/>
    <w:rsid w:val="008F4ADD"/>
    <w:rsid w:val="009120DB"/>
    <w:rsid w:val="0091384D"/>
    <w:rsid w:val="00922854"/>
    <w:rsid w:val="0092550D"/>
    <w:rsid w:val="00933BC1"/>
    <w:rsid w:val="0094685A"/>
    <w:rsid w:val="00960492"/>
    <w:rsid w:val="00970AEF"/>
    <w:rsid w:val="00985A10"/>
    <w:rsid w:val="00991D6E"/>
    <w:rsid w:val="00994670"/>
    <w:rsid w:val="009A23D2"/>
    <w:rsid w:val="009A2812"/>
    <w:rsid w:val="009A5FF6"/>
    <w:rsid w:val="009A6CA2"/>
    <w:rsid w:val="009B1B27"/>
    <w:rsid w:val="009B4CD7"/>
    <w:rsid w:val="009C39F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24E9"/>
    <w:rsid w:val="00B06ADE"/>
    <w:rsid w:val="00B12435"/>
    <w:rsid w:val="00B22844"/>
    <w:rsid w:val="00B305FA"/>
    <w:rsid w:val="00B47AA5"/>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84387"/>
    <w:rsid w:val="00E90A25"/>
    <w:rsid w:val="00E91EA5"/>
    <w:rsid w:val="00EA5E5E"/>
    <w:rsid w:val="00EB120E"/>
    <w:rsid w:val="00EB294C"/>
    <w:rsid w:val="00EB2F02"/>
    <w:rsid w:val="00EC63DB"/>
    <w:rsid w:val="00ED41AC"/>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4.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2023-07-10T06:10:00Z</cp:lastPrinted>
  <dcterms:created xsi:type="dcterms:W3CDTF">2023-08-11T09:37:00Z</dcterms:created>
  <dcterms:modified xsi:type="dcterms:W3CDTF">2023-08-11T09:37:00Z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