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E5" w:rsidRPr="008B76E4" w:rsidRDefault="009357F1" w:rsidP="00902452">
      <w:pPr>
        <w:spacing w:line="240" w:lineRule="auto"/>
        <w:jc w:val="both"/>
        <w:rPr>
          <w:b/>
          <w:lang w:val="en-US"/>
        </w:rPr>
      </w:pPr>
      <w:r w:rsidRPr="008B76E4">
        <w:rPr>
          <w:b/>
          <w:lang w:val="en-US"/>
        </w:rPr>
        <w:t>MAT00458 - Provision of Maintenance and Repairs of Milling Plant at Matimba Power Station</w:t>
      </w:r>
    </w:p>
    <w:p w:rsidR="008B76E4" w:rsidRPr="008B76E4" w:rsidRDefault="008B76E4" w:rsidP="00902452">
      <w:pPr>
        <w:pStyle w:val="ListParagraph"/>
        <w:numPr>
          <w:ilvl w:val="0"/>
          <w:numId w:val="2"/>
        </w:numPr>
        <w:spacing w:line="240" w:lineRule="auto"/>
        <w:jc w:val="both"/>
        <w:rPr>
          <w:b/>
          <w:i/>
        </w:rPr>
      </w:pPr>
      <w:r w:rsidRPr="008B76E4">
        <w:rPr>
          <w:b/>
          <w:i/>
        </w:rPr>
        <w:t>Question/Comment</w:t>
      </w:r>
    </w:p>
    <w:p w:rsidR="00BB09E8" w:rsidRPr="008B76E4" w:rsidRDefault="00BB09E8" w:rsidP="00902452">
      <w:pPr>
        <w:pStyle w:val="ListParagraph"/>
        <w:spacing w:line="240" w:lineRule="auto"/>
        <w:jc w:val="both"/>
      </w:pPr>
      <w:r w:rsidRPr="008B76E4">
        <w:rPr>
          <w:i/>
          <w:iCs/>
        </w:rPr>
        <w:t>The Price List</w:t>
      </w:r>
      <w:r w:rsidRPr="008B76E4">
        <w:t xml:space="preserve"> C2.2 and Clause 4.3.5 Plant &amp; Materials provided “free issue” by the </w:t>
      </w:r>
      <w:r w:rsidRPr="008B76E4">
        <w:rPr>
          <w:i/>
          <w:iCs/>
        </w:rPr>
        <w:t xml:space="preserve">Employer </w:t>
      </w:r>
      <w:r w:rsidRPr="008B76E4">
        <w:t>of the Employers Service Information</w:t>
      </w:r>
      <w:r w:rsidRPr="008B76E4">
        <w:rPr>
          <w:i/>
          <w:iCs/>
        </w:rPr>
        <w:t xml:space="preserve"> </w:t>
      </w:r>
      <w:r w:rsidRPr="008B76E4">
        <w:t xml:space="preserve">contradicts each other. </w:t>
      </w:r>
    </w:p>
    <w:p w:rsidR="00BB09E8" w:rsidRPr="008B76E4" w:rsidRDefault="00BB09E8" w:rsidP="00902452">
      <w:pPr>
        <w:pStyle w:val="ListParagraph"/>
        <w:numPr>
          <w:ilvl w:val="1"/>
          <w:numId w:val="2"/>
        </w:numPr>
        <w:spacing w:line="240" w:lineRule="auto"/>
        <w:jc w:val="both"/>
      </w:pPr>
      <w:r w:rsidRPr="008B76E4">
        <w:t xml:space="preserve">Clause 4.3.5 states </w:t>
      </w:r>
      <w:r w:rsidR="006C7C51" w:rsidRPr="008B76E4">
        <w:t>that: All</w:t>
      </w:r>
      <w:r w:rsidRPr="008B76E4">
        <w:t xml:space="preserve"> materials, </w:t>
      </w:r>
      <w:proofErr w:type="spellStart"/>
      <w:r w:rsidRPr="008B76E4">
        <w:t>e.g</w:t>
      </w:r>
      <w:proofErr w:type="spellEnd"/>
      <w:r w:rsidRPr="008B76E4">
        <w:t xml:space="preserve"> components, spare parts, cleaning materials and steel will be provided by the Employer to carry out the service. The </w:t>
      </w:r>
      <w:r w:rsidR="008B76E4" w:rsidRPr="008B76E4">
        <w:t>Contractor will</w:t>
      </w:r>
      <w:r w:rsidRPr="008B76E4">
        <w:t xml:space="preserve"> collect the materials at the issuing store on site and inspect if fit for use and ensure the correct quantity is received. Care and control will be taken of material while in the possession of the </w:t>
      </w:r>
      <w:r w:rsidR="008B76E4" w:rsidRPr="008B76E4">
        <w:t>Contractor and</w:t>
      </w:r>
      <w:r w:rsidRPr="008B76E4">
        <w:t xml:space="preserve"> unused material will be handed over to the Employer. Temporary storage of material will be in a safe and secure place during work in progress. Please advise why </w:t>
      </w:r>
      <w:proofErr w:type="gramStart"/>
      <w:r w:rsidRPr="008B76E4">
        <w:t>should we</w:t>
      </w:r>
      <w:proofErr w:type="gramEnd"/>
      <w:r w:rsidRPr="008B76E4">
        <w:t xml:space="preserve"> then quote for the Stock and Non-stock items as per the C2.2 </w:t>
      </w:r>
      <w:r w:rsidRPr="008B76E4">
        <w:rPr>
          <w:i/>
          <w:iCs/>
        </w:rPr>
        <w:t>the price list.</w:t>
      </w:r>
    </w:p>
    <w:p w:rsidR="00BB09E8" w:rsidRPr="008B76E4" w:rsidRDefault="00BB09E8" w:rsidP="00902452">
      <w:pPr>
        <w:pStyle w:val="ListParagraph"/>
        <w:numPr>
          <w:ilvl w:val="1"/>
          <w:numId w:val="2"/>
        </w:numPr>
        <w:spacing w:line="240" w:lineRule="auto"/>
        <w:jc w:val="both"/>
      </w:pPr>
      <w:r w:rsidRPr="008B76E4">
        <w:rPr>
          <w:rFonts w:cs="Arial"/>
        </w:rPr>
        <w:t>If we have to price in accordance with C2.2</w:t>
      </w:r>
      <w:r w:rsidRPr="008B76E4">
        <w:rPr>
          <w:rFonts w:cs="Arial"/>
          <w:i/>
          <w:iCs/>
        </w:rPr>
        <w:t xml:space="preserve"> the price </w:t>
      </w:r>
      <w:proofErr w:type="gramStart"/>
      <w:r w:rsidRPr="008B76E4">
        <w:rPr>
          <w:rFonts w:cs="Arial"/>
          <w:i/>
          <w:iCs/>
        </w:rPr>
        <w:t>list</w:t>
      </w:r>
      <w:r w:rsidRPr="008B76E4">
        <w:rPr>
          <w:rFonts w:cs="Arial"/>
        </w:rPr>
        <w:t xml:space="preserve"> ,</w:t>
      </w:r>
      <w:proofErr w:type="gramEnd"/>
      <w:r w:rsidRPr="008B76E4">
        <w:rPr>
          <w:rFonts w:cs="Arial"/>
        </w:rPr>
        <w:t xml:space="preserve"> then more details and or drawings will be required in order to obtain quotations from suppliers. </w:t>
      </w:r>
    </w:p>
    <w:p w:rsidR="008B76E4" w:rsidRPr="00E64EA9" w:rsidRDefault="008B76E4" w:rsidP="00902452">
      <w:pPr>
        <w:pStyle w:val="ListParagraph"/>
        <w:spacing w:line="240" w:lineRule="auto"/>
        <w:jc w:val="both"/>
        <w:rPr>
          <w:b/>
          <w:i/>
          <w:color w:val="1F3864" w:themeColor="accent5" w:themeShade="80"/>
          <w:u w:val="single"/>
        </w:rPr>
      </w:pPr>
      <w:r w:rsidRPr="00E64EA9">
        <w:rPr>
          <w:rFonts w:cs="Arial"/>
          <w:b/>
          <w:i/>
          <w:color w:val="1F3864" w:themeColor="accent5" w:themeShade="80"/>
          <w:u w:val="single"/>
        </w:rPr>
        <w:t>Response</w:t>
      </w:r>
    </w:p>
    <w:p w:rsidR="00BB09E8" w:rsidRPr="005D4BE8" w:rsidRDefault="00BB09E8" w:rsidP="00902452">
      <w:pPr>
        <w:pStyle w:val="ListParagraph"/>
        <w:numPr>
          <w:ilvl w:val="1"/>
          <w:numId w:val="2"/>
        </w:numPr>
        <w:spacing w:line="240" w:lineRule="auto"/>
        <w:jc w:val="both"/>
        <w:rPr>
          <w:color w:val="1F3864" w:themeColor="accent5" w:themeShade="80"/>
        </w:rPr>
      </w:pPr>
      <w:r w:rsidRPr="005D4BE8">
        <w:rPr>
          <w:color w:val="1F3864" w:themeColor="accent5" w:themeShade="80"/>
        </w:rPr>
        <w:t>It is correct that Eskom will supply material, etc. as per clause indicated on as and when required basis.</w:t>
      </w:r>
    </w:p>
    <w:p w:rsidR="006C7C51" w:rsidRPr="00E64EA9" w:rsidRDefault="00BB09E8" w:rsidP="00902452">
      <w:pPr>
        <w:pStyle w:val="ListParagraph"/>
        <w:spacing w:line="240" w:lineRule="auto"/>
        <w:ind w:left="1440"/>
        <w:jc w:val="both"/>
        <w:rPr>
          <w:color w:val="1F3864" w:themeColor="accent5" w:themeShade="80"/>
        </w:rPr>
      </w:pPr>
      <w:r w:rsidRPr="00E64EA9">
        <w:rPr>
          <w:color w:val="1F3864" w:themeColor="accent5" w:themeShade="80"/>
        </w:rPr>
        <w:t>The items (stock and non- stock) that are listed on the contract for pricing are of a critical nature and will only be required on an urgent basis from the contractor as determined by the employer.</w:t>
      </w:r>
    </w:p>
    <w:p w:rsidR="00F21718" w:rsidRPr="008B7E86" w:rsidRDefault="00BB09E8" w:rsidP="00902452">
      <w:pPr>
        <w:pStyle w:val="ListParagraph"/>
        <w:spacing w:line="240" w:lineRule="auto"/>
        <w:ind w:left="1440"/>
        <w:jc w:val="both"/>
        <w:rPr>
          <w:b/>
          <w:color w:val="1F3864" w:themeColor="accent5" w:themeShade="80"/>
        </w:rPr>
      </w:pPr>
      <w:r w:rsidRPr="00E64EA9">
        <w:rPr>
          <w:color w:val="1F3864" w:themeColor="accent5" w:themeShade="80"/>
        </w:rPr>
        <w:t xml:space="preserve">Find attached more information (drawings and specs) regarding the items </w:t>
      </w:r>
      <w:r w:rsidRPr="00E64EA9">
        <w:rPr>
          <w:b/>
          <w:color w:val="1F3864" w:themeColor="accent5" w:themeShade="80"/>
        </w:rPr>
        <w:t>[drawings and specs uploaded on addendum folder]</w:t>
      </w:r>
    </w:p>
    <w:p w:rsidR="008B76E4" w:rsidRPr="008B76E4" w:rsidRDefault="008B76E4" w:rsidP="00902452">
      <w:pPr>
        <w:pStyle w:val="ListParagraph"/>
        <w:numPr>
          <w:ilvl w:val="0"/>
          <w:numId w:val="2"/>
        </w:numPr>
        <w:spacing w:line="240" w:lineRule="auto"/>
        <w:jc w:val="both"/>
        <w:rPr>
          <w:b/>
        </w:rPr>
      </w:pPr>
      <w:r w:rsidRPr="008B76E4">
        <w:rPr>
          <w:b/>
        </w:rPr>
        <w:t>Question/Comment</w:t>
      </w:r>
    </w:p>
    <w:p w:rsidR="008B76E4" w:rsidRPr="006C7C51" w:rsidRDefault="008B76E4" w:rsidP="00902452">
      <w:pPr>
        <w:pStyle w:val="ListParagraph"/>
        <w:numPr>
          <w:ilvl w:val="1"/>
          <w:numId w:val="2"/>
        </w:numPr>
        <w:spacing w:line="240" w:lineRule="auto"/>
        <w:jc w:val="both"/>
        <w:rPr>
          <w:color w:val="2F5496" w:themeColor="accent5" w:themeShade="BF"/>
        </w:rPr>
      </w:pPr>
      <w:r w:rsidRPr="008B76E4">
        <w:t xml:space="preserve">Attached are a spreadsheet from the price list for the above-mentioned tender where we </w:t>
      </w:r>
      <w:r w:rsidR="006C7C51">
        <w:t xml:space="preserve">need </w:t>
      </w:r>
      <w:r w:rsidRPr="008B76E4">
        <w:t>additional information or drawing</w:t>
      </w:r>
    </w:p>
    <w:p w:rsidR="008B76E4" w:rsidRPr="00E64EA9" w:rsidRDefault="008B76E4" w:rsidP="00902452">
      <w:pPr>
        <w:pStyle w:val="ListParagraph"/>
        <w:spacing w:line="240" w:lineRule="auto"/>
        <w:jc w:val="both"/>
        <w:rPr>
          <w:b/>
          <w:i/>
          <w:color w:val="1F3864" w:themeColor="accent5" w:themeShade="80"/>
          <w:u w:val="single"/>
        </w:rPr>
      </w:pPr>
      <w:r w:rsidRPr="00E64EA9">
        <w:rPr>
          <w:rFonts w:cs="Arial"/>
          <w:b/>
          <w:i/>
          <w:color w:val="1F3864" w:themeColor="accent5" w:themeShade="80"/>
          <w:u w:val="single"/>
        </w:rPr>
        <w:t>Response</w:t>
      </w:r>
    </w:p>
    <w:p w:rsidR="00F21718" w:rsidRPr="008B7E86" w:rsidRDefault="008B76E4" w:rsidP="00902452">
      <w:pPr>
        <w:pStyle w:val="ListParagraph"/>
        <w:numPr>
          <w:ilvl w:val="1"/>
          <w:numId w:val="2"/>
        </w:numPr>
        <w:spacing w:line="240" w:lineRule="auto"/>
        <w:jc w:val="both"/>
        <w:rPr>
          <w:color w:val="1F3864" w:themeColor="accent5" w:themeShade="80"/>
        </w:rPr>
      </w:pPr>
      <w:r w:rsidRPr="00E64EA9">
        <w:rPr>
          <w:color w:val="1F3864" w:themeColor="accent5" w:themeShade="80"/>
        </w:rPr>
        <w:t>drawings and sp</w:t>
      </w:r>
      <w:r w:rsidR="00E64EA9" w:rsidRPr="00E64EA9">
        <w:rPr>
          <w:color w:val="1F3864" w:themeColor="accent5" w:themeShade="80"/>
        </w:rPr>
        <w:t>ecs uploaded on addendum folder</w:t>
      </w:r>
    </w:p>
    <w:p w:rsidR="00F21718" w:rsidRPr="008B76E4" w:rsidRDefault="00F21718" w:rsidP="00902452">
      <w:pPr>
        <w:pStyle w:val="ListParagraph"/>
        <w:numPr>
          <w:ilvl w:val="0"/>
          <w:numId w:val="2"/>
        </w:numPr>
        <w:spacing w:line="240" w:lineRule="auto"/>
        <w:jc w:val="both"/>
        <w:rPr>
          <w:b/>
          <w:i/>
        </w:rPr>
      </w:pPr>
      <w:r w:rsidRPr="008B76E4">
        <w:rPr>
          <w:b/>
          <w:i/>
        </w:rPr>
        <w:t>Question/Comment</w:t>
      </w:r>
    </w:p>
    <w:p w:rsidR="00F21718" w:rsidRDefault="00F21718" w:rsidP="00902452">
      <w:pPr>
        <w:pStyle w:val="ListParagraph"/>
        <w:spacing w:line="240" w:lineRule="auto"/>
        <w:jc w:val="both"/>
      </w:pPr>
      <w:r>
        <w:t xml:space="preserve">Please clarify the Price List as per our understanding this prices for the Scope plus the people which becomes difficult to comply </w:t>
      </w:r>
      <w:proofErr w:type="gramStart"/>
      <w:r>
        <w:t>to</w:t>
      </w:r>
      <w:proofErr w:type="gramEnd"/>
      <w:r>
        <w:t xml:space="preserve"> the NEC Regulation</w:t>
      </w:r>
    </w:p>
    <w:p w:rsidR="00F21718" w:rsidRDefault="00F21718" w:rsidP="00902452">
      <w:pPr>
        <w:pStyle w:val="ListParagraph"/>
        <w:numPr>
          <w:ilvl w:val="1"/>
          <w:numId w:val="2"/>
        </w:numPr>
        <w:spacing w:line="240" w:lineRule="auto"/>
        <w:jc w:val="both"/>
        <w:rPr>
          <w:rFonts w:eastAsia="Times New Roman"/>
        </w:rPr>
      </w:pPr>
      <w:r>
        <w:rPr>
          <w:rFonts w:eastAsia="Times New Roman"/>
        </w:rPr>
        <w:t>The Scoping per head versus the Scoping per activity which we believe it should either or.</w:t>
      </w:r>
    </w:p>
    <w:p w:rsidR="00F21718" w:rsidRDefault="00F21718" w:rsidP="00902452">
      <w:pPr>
        <w:pStyle w:val="ListParagraph"/>
        <w:numPr>
          <w:ilvl w:val="1"/>
          <w:numId w:val="2"/>
        </w:numPr>
        <w:spacing w:line="240" w:lineRule="auto"/>
        <w:jc w:val="both"/>
        <w:rPr>
          <w:rFonts w:eastAsia="Times New Roman"/>
        </w:rPr>
      </w:pPr>
      <w:r>
        <w:rPr>
          <w:rFonts w:eastAsia="Times New Roman"/>
        </w:rPr>
        <w:t>How do we cater for standby, Call out Stay-</w:t>
      </w:r>
      <w:proofErr w:type="spellStart"/>
      <w:r>
        <w:rPr>
          <w:rFonts w:eastAsia="Times New Roman"/>
        </w:rPr>
        <w:t>ons</w:t>
      </w:r>
      <w:proofErr w:type="spellEnd"/>
      <w:r>
        <w:rPr>
          <w:rFonts w:eastAsia="Times New Roman"/>
        </w:rPr>
        <w:t xml:space="preserve"> if it is per activity</w:t>
      </w:r>
    </w:p>
    <w:p w:rsidR="00F21718" w:rsidRDefault="00F21718" w:rsidP="00902452">
      <w:pPr>
        <w:pStyle w:val="ListParagraph"/>
        <w:numPr>
          <w:ilvl w:val="1"/>
          <w:numId w:val="2"/>
        </w:numPr>
        <w:spacing w:line="240" w:lineRule="auto"/>
        <w:jc w:val="both"/>
        <w:rPr>
          <w:rFonts w:eastAsia="Times New Roman"/>
        </w:rPr>
      </w:pPr>
      <w:r>
        <w:rPr>
          <w:rFonts w:eastAsia="Times New Roman"/>
        </w:rPr>
        <w:t xml:space="preserve">What has happened to the previous billing regime </w:t>
      </w:r>
    </w:p>
    <w:p w:rsidR="00F21718" w:rsidRPr="00E64EA9" w:rsidRDefault="00F21718" w:rsidP="00902452">
      <w:pPr>
        <w:pStyle w:val="ListParagraph"/>
        <w:spacing w:line="240" w:lineRule="auto"/>
        <w:jc w:val="both"/>
        <w:rPr>
          <w:rFonts w:cs="Arial"/>
          <w:b/>
          <w:i/>
          <w:color w:val="1F3864" w:themeColor="accent5" w:themeShade="80"/>
          <w:u w:val="single"/>
        </w:rPr>
      </w:pPr>
      <w:r w:rsidRPr="00E64EA9">
        <w:rPr>
          <w:rFonts w:cs="Arial"/>
          <w:b/>
          <w:i/>
          <w:color w:val="1F3864" w:themeColor="accent5" w:themeShade="80"/>
          <w:u w:val="single"/>
        </w:rPr>
        <w:t>Response</w:t>
      </w:r>
    </w:p>
    <w:p w:rsidR="00F21718" w:rsidRPr="005D4BE8" w:rsidRDefault="00A413E5" w:rsidP="00902452">
      <w:pPr>
        <w:pStyle w:val="ListParagraph"/>
        <w:numPr>
          <w:ilvl w:val="1"/>
          <w:numId w:val="2"/>
        </w:numPr>
        <w:spacing w:line="240" w:lineRule="auto"/>
        <w:jc w:val="both"/>
        <w:rPr>
          <w:rFonts w:cs="Arial"/>
          <w:color w:val="1F3864" w:themeColor="accent5" w:themeShade="80"/>
        </w:rPr>
      </w:pPr>
      <w:r w:rsidRPr="005D4BE8">
        <w:rPr>
          <w:rFonts w:cs="Arial"/>
          <w:color w:val="1F3864" w:themeColor="accent5" w:themeShade="80"/>
        </w:rPr>
        <w:t xml:space="preserve">The contract is </w:t>
      </w:r>
      <w:r w:rsidR="00AE2DF8" w:rsidRPr="005D4BE8">
        <w:rPr>
          <w:rFonts w:cs="Arial"/>
          <w:color w:val="1F3864" w:themeColor="accent5" w:themeShade="80"/>
        </w:rPr>
        <w:t xml:space="preserve">rates based for the core crew and activity based on an “as and when required basis” which may then require additional personnel </w:t>
      </w:r>
    </w:p>
    <w:p w:rsidR="00F21718" w:rsidRPr="008B76E4" w:rsidRDefault="00F21718" w:rsidP="00902452">
      <w:pPr>
        <w:pStyle w:val="ListParagraph"/>
        <w:numPr>
          <w:ilvl w:val="0"/>
          <w:numId w:val="2"/>
        </w:numPr>
        <w:spacing w:line="240" w:lineRule="auto"/>
        <w:jc w:val="both"/>
        <w:rPr>
          <w:b/>
          <w:i/>
        </w:rPr>
      </w:pPr>
      <w:r w:rsidRPr="008B76E4">
        <w:rPr>
          <w:b/>
          <w:i/>
        </w:rPr>
        <w:t>Question/Comment</w:t>
      </w:r>
    </w:p>
    <w:p w:rsidR="00BB18D6" w:rsidRPr="00451A72" w:rsidRDefault="00BB18D6" w:rsidP="00902452">
      <w:pPr>
        <w:pStyle w:val="ListParagraph"/>
        <w:spacing w:line="240" w:lineRule="auto"/>
        <w:jc w:val="both"/>
        <w:rPr>
          <w:lang w:val="en-US"/>
        </w:rPr>
      </w:pPr>
      <w:r w:rsidRPr="00451A72">
        <w:t xml:space="preserve">We have noticed that the following Annexures have not been provided. Will these annexures be forming part of </w:t>
      </w:r>
      <w:r w:rsidR="00451A72" w:rsidRPr="00451A72">
        <w:t>the submission?</w:t>
      </w:r>
    </w:p>
    <w:p w:rsidR="00BB18D6" w:rsidRPr="00451A72" w:rsidRDefault="00451A72" w:rsidP="00902452">
      <w:pPr>
        <w:pStyle w:val="ListParagraph"/>
        <w:numPr>
          <w:ilvl w:val="1"/>
          <w:numId w:val="2"/>
        </w:numPr>
        <w:spacing w:line="240" w:lineRule="auto"/>
        <w:jc w:val="both"/>
        <w:rPr>
          <w:rFonts w:eastAsia="Times New Roman"/>
        </w:rPr>
      </w:pPr>
      <w:r w:rsidRPr="00451A72">
        <w:rPr>
          <w:rFonts w:eastAsia="Times New Roman"/>
        </w:rPr>
        <w:t>Annexure F2 - Local content Declaration-Summary Schedule (annex C)</w:t>
      </w:r>
    </w:p>
    <w:p w:rsidR="00451A72" w:rsidRPr="00451A72" w:rsidRDefault="00451A72" w:rsidP="00902452">
      <w:pPr>
        <w:pStyle w:val="ListParagraph"/>
        <w:numPr>
          <w:ilvl w:val="1"/>
          <w:numId w:val="2"/>
        </w:numPr>
        <w:spacing w:line="240" w:lineRule="auto"/>
        <w:jc w:val="both"/>
        <w:rPr>
          <w:rFonts w:eastAsia="Times New Roman"/>
        </w:rPr>
      </w:pPr>
      <w:r w:rsidRPr="00451A72">
        <w:rPr>
          <w:rFonts w:eastAsia="Times New Roman"/>
        </w:rPr>
        <w:t>Annexure F3 - Imports Declaration-Supporting schedule to Annex C(annex D)</w:t>
      </w:r>
    </w:p>
    <w:p w:rsidR="006C7C51" w:rsidRDefault="00451A72" w:rsidP="00902452">
      <w:pPr>
        <w:pStyle w:val="ListParagraph"/>
        <w:numPr>
          <w:ilvl w:val="1"/>
          <w:numId w:val="2"/>
        </w:numPr>
        <w:spacing w:line="240" w:lineRule="auto"/>
        <w:jc w:val="both"/>
        <w:rPr>
          <w:rFonts w:eastAsia="Times New Roman"/>
        </w:rPr>
      </w:pPr>
      <w:r w:rsidRPr="00451A72">
        <w:rPr>
          <w:rFonts w:eastAsia="Times New Roman"/>
        </w:rPr>
        <w:t>Annexure F4 - Local Content Declaration-Supporting Schedule to Annex C (annex E)</w:t>
      </w:r>
    </w:p>
    <w:p w:rsidR="00451A72" w:rsidRPr="00E64EA9" w:rsidRDefault="00B468AA" w:rsidP="00902452">
      <w:pPr>
        <w:pStyle w:val="ListParagraph"/>
        <w:spacing w:line="240" w:lineRule="auto"/>
        <w:jc w:val="both"/>
        <w:rPr>
          <w:rFonts w:cs="Arial"/>
          <w:b/>
          <w:i/>
          <w:color w:val="1F3864" w:themeColor="accent5" w:themeShade="80"/>
          <w:u w:val="single"/>
        </w:rPr>
      </w:pPr>
      <w:r w:rsidRPr="00E64EA9">
        <w:rPr>
          <w:rFonts w:cs="Arial"/>
          <w:b/>
          <w:i/>
          <w:color w:val="1F3864" w:themeColor="accent5" w:themeShade="80"/>
          <w:u w:val="single"/>
        </w:rPr>
        <w:t>Response</w:t>
      </w:r>
    </w:p>
    <w:p w:rsidR="00B468AA" w:rsidRPr="00E64EA9" w:rsidRDefault="00AE2DF8" w:rsidP="00902452">
      <w:pPr>
        <w:pStyle w:val="ListParagraph"/>
        <w:numPr>
          <w:ilvl w:val="1"/>
          <w:numId w:val="2"/>
        </w:numPr>
        <w:spacing w:line="240" w:lineRule="auto"/>
        <w:jc w:val="both"/>
        <w:rPr>
          <w:rFonts w:cs="Arial"/>
          <w:color w:val="1F3864" w:themeColor="accent5" w:themeShade="80"/>
        </w:rPr>
      </w:pPr>
      <w:r w:rsidRPr="00E64EA9">
        <w:rPr>
          <w:rFonts w:cs="Arial"/>
          <w:color w:val="1F3864" w:themeColor="accent5" w:themeShade="80"/>
        </w:rPr>
        <w:t>Annexures that should form part of the submission are stipulated in the invitation-to-tender document and have been provided therein?</w:t>
      </w:r>
    </w:p>
    <w:p w:rsidR="00B468AA" w:rsidRPr="00B468AA" w:rsidRDefault="00B468AA" w:rsidP="00902452">
      <w:pPr>
        <w:pStyle w:val="ListParagraph"/>
        <w:spacing w:line="240" w:lineRule="auto"/>
        <w:jc w:val="both"/>
        <w:rPr>
          <w:rFonts w:cs="Arial"/>
        </w:rPr>
      </w:pPr>
    </w:p>
    <w:p w:rsidR="00451A72" w:rsidRPr="008B76E4" w:rsidRDefault="00451A72" w:rsidP="00902452">
      <w:pPr>
        <w:pStyle w:val="ListParagraph"/>
        <w:numPr>
          <w:ilvl w:val="0"/>
          <w:numId w:val="2"/>
        </w:numPr>
        <w:spacing w:line="240" w:lineRule="auto"/>
        <w:jc w:val="both"/>
        <w:rPr>
          <w:b/>
          <w:i/>
        </w:rPr>
      </w:pPr>
      <w:r w:rsidRPr="008B76E4">
        <w:rPr>
          <w:b/>
          <w:i/>
        </w:rPr>
        <w:t>Question/Comment</w:t>
      </w:r>
    </w:p>
    <w:p w:rsidR="00451A72" w:rsidRDefault="00451A72" w:rsidP="00902452">
      <w:pPr>
        <w:pStyle w:val="ListParagraph"/>
        <w:numPr>
          <w:ilvl w:val="1"/>
          <w:numId w:val="2"/>
        </w:numPr>
        <w:spacing w:line="240" w:lineRule="auto"/>
        <w:jc w:val="both"/>
        <w:rPr>
          <w:lang w:val="en-US"/>
        </w:rPr>
      </w:pPr>
      <w:r w:rsidRPr="00451A72">
        <w:rPr>
          <w:lang w:val="en-US"/>
        </w:rPr>
        <w:t xml:space="preserve">With regards to the attached Annexure G, Please kindly furnish us with the details of the technical representative for the above mentioned project. We have also prefilled </w:t>
      </w:r>
      <w:r w:rsidRPr="00451A72">
        <w:rPr>
          <w:lang w:val="en-US"/>
        </w:rPr>
        <w:lastRenderedPageBreak/>
        <w:t xml:space="preserve">the </w:t>
      </w:r>
      <w:r w:rsidR="007335F7" w:rsidRPr="00451A72">
        <w:rPr>
          <w:lang w:val="en-US"/>
        </w:rPr>
        <w:t>client’s information</w:t>
      </w:r>
      <w:r w:rsidRPr="00451A72">
        <w:rPr>
          <w:lang w:val="en-US"/>
        </w:rPr>
        <w:t>, under part A. If the client can kindly verify is that section is in order.</w:t>
      </w:r>
    </w:p>
    <w:p w:rsidR="00B468AA" w:rsidRPr="00E64EA9" w:rsidRDefault="00B468AA" w:rsidP="00902452">
      <w:pPr>
        <w:pStyle w:val="ListParagraph"/>
        <w:spacing w:line="240" w:lineRule="auto"/>
        <w:jc w:val="both"/>
        <w:rPr>
          <w:rFonts w:cs="Arial"/>
          <w:b/>
          <w:i/>
          <w:color w:val="1F3864" w:themeColor="accent5" w:themeShade="80"/>
          <w:u w:val="single"/>
        </w:rPr>
      </w:pPr>
      <w:r w:rsidRPr="00E64EA9">
        <w:rPr>
          <w:rFonts w:cs="Arial"/>
          <w:b/>
          <w:i/>
          <w:color w:val="1F3864" w:themeColor="accent5" w:themeShade="80"/>
          <w:u w:val="single"/>
        </w:rPr>
        <w:t>Response</w:t>
      </w:r>
    </w:p>
    <w:p w:rsidR="00451A72" w:rsidRPr="005D4BE8" w:rsidRDefault="00E64EA9" w:rsidP="00902452">
      <w:pPr>
        <w:pStyle w:val="ListParagraph"/>
        <w:numPr>
          <w:ilvl w:val="1"/>
          <w:numId w:val="2"/>
        </w:numPr>
        <w:spacing w:line="240" w:lineRule="auto"/>
        <w:jc w:val="both"/>
        <w:rPr>
          <w:color w:val="1F3864" w:themeColor="accent5" w:themeShade="80"/>
          <w:lang w:val="en-US"/>
        </w:rPr>
      </w:pPr>
      <w:r w:rsidRPr="00E64EA9">
        <w:rPr>
          <w:color w:val="1F3864" w:themeColor="accent5" w:themeShade="80"/>
          <w:lang w:val="en-US"/>
        </w:rPr>
        <w:t>Technical representative details may be left blank for tender submission purposes. All queries, technical or otherwise must be addressed to Pumelele Vapi</w:t>
      </w:r>
    </w:p>
    <w:p w:rsidR="003759D8" w:rsidRDefault="003759D8" w:rsidP="00902452">
      <w:pPr>
        <w:pStyle w:val="ListParagraph"/>
        <w:numPr>
          <w:ilvl w:val="0"/>
          <w:numId w:val="2"/>
        </w:numPr>
        <w:spacing w:line="240" w:lineRule="auto"/>
        <w:jc w:val="both"/>
        <w:rPr>
          <w:b/>
          <w:i/>
        </w:rPr>
      </w:pPr>
      <w:r w:rsidRPr="003759D8">
        <w:rPr>
          <w:b/>
          <w:i/>
        </w:rPr>
        <w:t>Question/Comment</w:t>
      </w:r>
    </w:p>
    <w:p w:rsidR="003759D8" w:rsidRPr="00287CB1" w:rsidRDefault="00287CB1" w:rsidP="00902452">
      <w:pPr>
        <w:pStyle w:val="ListParagraph"/>
        <w:numPr>
          <w:ilvl w:val="1"/>
          <w:numId w:val="2"/>
        </w:numPr>
        <w:spacing w:line="240" w:lineRule="auto"/>
        <w:jc w:val="both"/>
        <w:rPr>
          <w:rFonts w:cs="Arial"/>
        </w:rPr>
      </w:pPr>
      <w:r>
        <w:rPr>
          <w:rFonts w:cs="Arial"/>
        </w:rPr>
        <w:t>Section 1</w:t>
      </w:r>
      <w:r w:rsidR="003759D8" w:rsidRPr="00287CB1">
        <w:rPr>
          <w:rFonts w:cs="Arial"/>
        </w:rPr>
        <w:t xml:space="preserve"> of technical evaluation criteria, what proof is required to be declared </w:t>
      </w:r>
      <w:r w:rsidRPr="00287CB1">
        <w:rPr>
          <w:rFonts w:cs="Arial"/>
        </w:rPr>
        <w:t>competent.</w:t>
      </w:r>
      <w:r w:rsidR="003759D8" w:rsidRPr="00287CB1">
        <w:rPr>
          <w:rFonts w:cs="Arial"/>
        </w:rPr>
        <w:t xml:space="preserve"> </w:t>
      </w:r>
    </w:p>
    <w:p w:rsidR="00287CB1" w:rsidRDefault="00287CB1" w:rsidP="00902452">
      <w:pPr>
        <w:pStyle w:val="ListParagraph"/>
        <w:spacing w:line="240" w:lineRule="auto"/>
        <w:ind w:firstLine="360"/>
        <w:jc w:val="both"/>
        <w:rPr>
          <w:rFonts w:cs="Arial"/>
          <w:b/>
          <w:i/>
          <w:color w:val="1F3864" w:themeColor="accent5" w:themeShade="80"/>
          <w:u w:val="single"/>
        </w:rPr>
      </w:pPr>
      <w:r w:rsidRPr="00E64EA9">
        <w:rPr>
          <w:rFonts w:cs="Arial"/>
          <w:b/>
          <w:i/>
          <w:color w:val="1F3864" w:themeColor="accent5" w:themeShade="80"/>
          <w:u w:val="single"/>
        </w:rPr>
        <w:t>Response</w:t>
      </w:r>
      <w:r>
        <w:rPr>
          <w:rFonts w:cs="Arial"/>
          <w:b/>
          <w:i/>
          <w:color w:val="1F3864" w:themeColor="accent5" w:themeShade="80"/>
          <w:u w:val="single"/>
        </w:rPr>
        <w:t xml:space="preserve"> </w:t>
      </w:r>
    </w:p>
    <w:p w:rsidR="00287CB1" w:rsidRPr="008B7E86" w:rsidRDefault="00287CB1" w:rsidP="00902452">
      <w:pPr>
        <w:pStyle w:val="ListParagraph"/>
        <w:numPr>
          <w:ilvl w:val="1"/>
          <w:numId w:val="2"/>
        </w:numPr>
        <w:spacing w:line="240" w:lineRule="auto"/>
        <w:jc w:val="both"/>
        <w:rPr>
          <w:rFonts w:cs="Arial"/>
          <w:color w:val="1F3864" w:themeColor="accent5" w:themeShade="80"/>
        </w:rPr>
      </w:pPr>
      <w:r w:rsidRPr="00287CB1">
        <w:rPr>
          <w:rFonts w:cs="Arial"/>
          <w:color w:val="1F3864" w:themeColor="accent5" w:themeShade="80"/>
        </w:rPr>
        <w:t>By providing proof of previ</w:t>
      </w:r>
      <w:r w:rsidR="00B9482C">
        <w:rPr>
          <w:rFonts w:cs="Arial"/>
          <w:color w:val="1F3864" w:themeColor="accent5" w:themeShade="80"/>
        </w:rPr>
        <w:t xml:space="preserve">ous contracts </w:t>
      </w:r>
      <w:r>
        <w:rPr>
          <w:rFonts w:cs="Arial"/>
          <w:color w:val="1F3864" w:themeColor="accent5" w:themeShade="80"/>
        </w:rPr>
        <w:t>for tube</w:t>
      </w:r>
      <w:r w:rsidR="00B9482C">
        <w:rPr>
          <w:rFonts w:cs="Arial"/>
          <w:color w:val="1F3864" w:themeColor="accent5" w:themeShade="80"/>
        </w:rPr>
        <w:t xml:space="preserve"> mills</w:t>
      </w:r>
      <w:r w:rsidR="007335F7">
        <w:rPr>
          <w:rFonts w:cs="Arial"/>
          <w:color w:val="1F3864" w:themeColor="accent5" w:themeShade="80"/>
        </w:rPr>
        <w:t xml:space="preserve"> as stated in the technical evaluation criteria</w:t>
      </w:r>
      <w:r>
        <w:rPr>
          <w:rFonts w:cs="Arial"/>
          <w:color w:val="1F3864" w:themeColor="accent5" w:themeShade="80"/>
        </w:rPr>
        <w:t xml:space="preserve">. </w:t>
      </w:r>
    </w:p>
    <w:p w:rsidR="008B7E86" w:rsidRDefault="008B7E86" w:rsidP="00902452">
      <w:pPr>
        <w:pStyle w:val="ListParagraph"/>
        <w:numPr>
          <w:ilvl w:val="0"/>
          <w:numId w:val="2"/>
        </w:numPr>
        <w:spacing w:line="240" w:lineRule="auto"/>
        <w:jc w:val="both"/>
        <w:rPr>
          <w:b/>
          <w:i/>
        </w:rPr>
      </w:pPr>
      <w:r w:rsidRPr="003759D8">
        <w:rPr>
          <w:b/>
          <w:i/>
        </w:rPr>
        <w:t>Question/Comment</w:t>
      </w:r>
    </w:p>
    <w:p w:rsidR="008B7E86" w:rsidRDefault="008B7E86" w:rsidP="00902452">
      <w:pPr>
        <w:pStyle w:val="ListParagraph"/>
        <w:numPr>
          <w:ilvl w:val="1"/>
          <w:numId w:val="2"/>
        </w:numPr>
        <w:spacing w:line="240" w:lineRule="auto"/>
        <w:jc w:val="both"/>
        <w:rPr>
          <w:rFonts w:cs="Arial"/>
        </w:rPr>
      </w:pPr>
      <w:r>
        <w:rPr>
          <w:rFonts w:cs="Arial"/>
        </w:rPr>
        <w:t>Section A</w:t>
      </w:r>
      <w:r w:rsidRPr="00287CB1">
        <w:rPr>
          <w:rFonts w:cs="Arial"/>
        </w:rPr>
        <w:t xml:space="preserve"> of </w:t>
      </w:r>
      <w:r>
        <w:rPr>
          <w:rFonts w:cs="Arial"/>
        </w:rPr>
        <w:t>price list</w:t>
      </w:r>
      <w:r w:rsidRPr="00287CB1">
        <w:rPr>
          <w:rFonts w:cs="Arial"/>
        </w:rPr>
        <w:t xml:space="preserve">, </w:t>
      </w:r>
      <w:r>
        <w:rPr>
          <w:rFonts w:cs="Arial"/>
        </w:rPr>
        <w:t>do you include running maintenance cost and cost of things like LDVs in this point 11 or is it only site establishment and de-establishment?</w:t>
      </w:r>
    </w:p>
    <w:p w:rsidR="008B7E86" w:rsidRDefault="008B7E86" w:rsidP="00902452">
      <w:pPr>
        <w:pStyle w:val="ListParagraph"/>
        <w:spacing w:line="240" w:lineRule="auto"/>
        <w:ind w:firstLine="360"/>
        <w:jc w:val="both"/>
        <w:rPr>
          <w:rFonts w:cs="Arial"/>
          <w:b/>
          <w:i/>
          <w:color w:val="1F3864" w:themeColor="accent5" w:themeShade="80"/>
          <w:u w:val="single"/>
        </w:rPr>
      </w:pPr>
      <w:r w:rsidRPr="00E64EA9">
        <w:rPr>
          <w:rFonts w:cs="Arial"/>
          <w:b/>
          <w:i/>
          <w:color w:val="1F3864" w:themeColor="accent5" w:themeShade="80"/>
          <w:u w:val="single"/>
        </w:rPr>
        <w:t>Response</w:t>
      </w:r>
      <w:r>
        <w:rPr>
          <w:rFonts w:cs="Arial"/>
          <w:b/>
          <w:i/>
          <w:color w:val="1F3864" w:themeColor="accent5" w:themeShade="80"/>
          <w:u w:val="single"/>
        </w:rPr>
        <w:t xml:space="preserve"> </w:t>
      </w:r>
    </w:p>
    <w:p w:rsidR="00287CB1" w:rsidRPr="008B7E86" w:rsidRDefault="008B7E86" w:rsidP="00902452">
      <w:pPr>
        <w:pStyle w:val="ListParagraph"/>
        <w:numPr>
          <w:ilvl w:val="1"/>
          <w:numId w:val="2"/>
        </w:numPr>
        <w:spacing w:line="240" w:lineRule="auto"/>
        <w:jc w:val="both"/>
        <w:rPr>
          <w:rFonts w:cs="Arial"/>
        </w:rPr>
      </w:pPr>
      <w:r>
        <w:rPr>
          <w:rFonts w:cs="Arial"/>
          <w:color w:val="1F3864" w:themeColor="accent5" w:themeShade="80"/>
        </w:rPr>
        <w:t xml:space="preserve">The establishment and de-establishment is for coming to site and leaving site. For other costs of running, the site should be catered for in your overheads. </w:t>
      </w:r>
    </w:p>
    <w:p w:rsidR="008B7E86" w:rsidRDefault="008B7E86" w:rsidP="00902452">
      <w:pPr>
        <w:pStyle w:val="ListParagraph"/>
        <w:numPr>
          <w:ilvl w:val="0"/>
          <w:numId w:val="2"/>
        </w:numPr>
        <w:spacing w:line="240" w:lineRule="auto"/>
        <w:jc w:val="both"/>
        <w:rPr>
          <w:b/>
          <w:i/>
        </w:rPr>
      </w:pPr>
      <w:r w:rsidRPr="003759D8">
        <w:rPr>
          <w:b/>
          <w:i/>
        </w:rPr>
        <w:t>Question/Comment</w:t>
      </w:r>
    </w:p>
    <w:p w:rsidR="008B7E86" w:rsidRDefault="008B7E86" w:rsidP="00902452">
      <w:pPr>
        <w:pStyle w:val="ListParagraph"/>
        <w:numPr>
          <w:ilvl w:val="1"/>
          <w:numId w:val="2"/>
        </w:numPr>
        <w:spacing w:line="240" w:lineRule="auto"/>
        <w:jc w:val="both"/>
        <w:rPr>
          <w:rFonts w:cs="Arial"/>
        </w:rPr>
      </w:pPr>
      <w:r>
        <w:rPr>
          <w:rFonts w:cs="Arial"/>
        </w:rPr>
        <w:t>Is there a site walk scheduled?</w:t>
      </w:r>
    </w:p>
    <w:p w:rsidR="008B7E86" w:rsidRDefault="008B7E86" w:rsidP="00902452">
      <w:pPr>
        <w:pStyle w:val="ListParagraph"/>
        <w:spacing w:line="240" w:lineRule="auto"/>
        <w:ind w:firstLine="360"/>
        <w:jc w:val="both"/>
        <w:rPr>
          <w:rFonts w:cs="Arial"/>
          <w:b/>
          <w:i/>
          <w:color w:val="1F3864" w:themeColor="accent5" w:themeShade="80"/>
          <w:u w:val="single"/>
        </w:rPr>
      </w:pPr>
      <w:r w:rsidRPr="00E64EA9">
        <w:rPr>
          <w:rFonts w:cs="Arial"/>
          <w:b/>
          <w:i/>
          <w:color w:val="1F3864" w:themeColor="accent5" w:themeShade="80"/>
          <w:u w:val="single"/>
        </w:rPr>
        <w:t>Response</w:t>
      </w:r>
      <w:r>
        <w:rPr>
          <w:rFonts w:cs="Arial"/>
          <w:b/>
          <w:i/>
          <w:color w:val="1F3864" w:themeColor="accent5" w:themeShade="80"/>
          <w:u w:val="single"/>
        </w:rPr>
        <w:t xml:space="preserve"> </w:t>
      </w:r>
    </w:p>
    <w:p w:rsidR="008B7E86" w:rsidRPr="008B7E86" w:rsidRDefault="008B7E86" w:rsidP="00902452">
      <w:pPr>
        <w:pStyle w:val="ListParagraph"/>
        <w:numPr>
          <w:ilvl w:val="1"/>
          <w:numId w:val="2"/>
        </w:numPr>
        <w:spacing w:line="240" w:lineRule="auto"/>
        <w:jc w:val="both"/>
        <w:rPr>
          <w:rFonts w:cs="Arial"/>
        </w:rPr>
      </w:pPr>
      <w:r>
        <w:rPr>
          <w:rFonts w:cs="Arial"/>
          <w:color w:val="1F3864" w:themeColor="accent5" w:themeShade="80"/>
        </w:rPr>
        <w:t>No</w:t>
      </w:r>
    </w:p>
    <w:p w:rsidR="008B7E86" w:rsidRDefault="008B7E86" w:rsidP="00902452">
      <w:pPr>
        <w:pStyle w:val="ListParagraph"/>
        <w:numPr>
          <w:ilvl w:val="0"/>
          <w:numId w:val="2"/>
        </w:numPr>
        <w:spacing w:line="240" w:lineRule="auto"/>
        <w:jc w:val="both"/>
        <w:rPr>
          <w:b/>
          <w:i/>
        </w:rPr>
      </w:pPr>
      <w:r w:rsidRPr="003759D8">
        <w:rPr>
          <w:b/>
          <w:i/>
        </w:rPr>
        <w:t>Question/Comment</w:t>
      </w:r>
    </w:p>
    <w:p w:rsidR="008B7E86" w:rsidRDefault="005D4BE8" w:rsidP="00902452">
      <w:pPr>
        <w:pStyle w:val="ListParagraph"/>
        <w:numPr>
          <w:ilvl w:val="1"/>
          <w:numId w:val="2"/>
        </w:numPr>
        <w:spacing w:line="240" w:lineRule="auto"/>
        <w:jc w:val="both"/>
        <w:rPr>
          <w:rFonts w:cs="Arial"/>
        </w:rPr>
      </w:pPr>
      <w:r>
        <w:rPr>
          <w:rFonts w:cs="Arial"/>
        </w:rPr>
        <w:t>Section 3</w:t>
      </w:r>
      <w:r w:rsidRPr="00287CB1">
        <w:rPr>
          <w:rFonts w:cs="Arial"/>
        </w:rPr>
        <w:t xml:space="preserve"> of technical evaluation criteria</w:t>
      </w:r>
      <w:r>
        <w:rPr>
          <w:rFonts w:cs="Arial"/>
        </w:rPr>
        <w:t>, do we need to give timeframes for all activities in method statement?</w:t>
      </w:r>
    </w:p>
    <w:p w:rsidR="005D4BE8" w:rsidRDefault="005D4BE8" w:rsidP="00902452">
      <w:pPr>
        <w:pStyle w:val="ListParagraph"/>
        <w:spacing w:line="240" w:lineRule="auto"/>
        <w:ind w:firstLine="360"/>
        <w:jc w:val="both"/>
        <w:rPr>
          <w:rFonts w:cs="Arial"/>
          <w:b/>
          <w:i/>
          <w:color w:val="1F3864" w:themeColor="accent5" w:themeShade="80"/>
          <w:u w:val="single"/>
        </w:rPr>
      </w:pPr>
      <w:r w:rsidRPr="00E64EA9">
        <w:rPr>
          <w:rFonts w:cs="Arial"/>
          <w:b/>
          <w:i/>
          <w:color w:val="1F3864" w:themeColor="accent5" w:themeShade="80"/>
          <w:u w:val="single"/>
        </w:rPr>
        <w:t>Response</w:t>
      </w:r>
      <w:r>
        <w:rPr>
          <w:rFonts w:cs="Arial"/>
          <w:b/>
          <w:i/>
          <w:color w:val="1F3864" w:themeColor="accent5" w:themeShade="80"/>
          <w:u w:val="single"/>
        </w:rPr>
        <w:t xml:space="preserve"> </w:t>
      </w:r>
    </w:p>
    <w:p w:rsidR="005D4BE8" w:rsidRPr="008B7E86" w:rsidRDefault="005D4BE8" w:rsidP="00902452">
      <w:pPr>
        <w:pStyle w:val="ListParagraph"/>
        <w:numPr>
          <w:ilvl w:val="1"/>
          <w:numId w:val="2"/>
        </w:numPr>
        <w:spacing w:line="240" w:lineRule="auto"/>
        <w:jc w:val="both"/>
        <w:rPr>
          <w:rFonts w:cs="Arial"/>
        </w:rPr>
      </w:pPr>
      <w:r>
        <w:rPr>
          <w:rFonts w:cs="Arial"/>
          <w:color w:val="1F3864" w:themeColor="accent5" w:themeShade="80"/>
        </w:rPr>
        <w:t xml:space="preserve">Give high-level time frames for activities sited </w:t>
      </w:r>
    </w:p>
    <w:p w:rsidR="005D4BE8" w:rsidRPr="008B7E86" w:rsidRDefault="005D4BE8" w:rsidP="00902452">
      <w:pPr>
        <w:pStyle w:val="ListParagraph"/>
        <w:spacing w:line="240" w:lineRule="auto"/>
        <w:ind w:left="1440"/>
        <w:jc w:val="both"/>
        <w:rPr>
          <w:rFonts w:cs="Arial"/>
        </w:rPr>
      </w:pPr>
    </w:p>
    <w:p w:rsidR="004E2DE4" w:rsidRPr="004E2DE4" w:rsidRDefault="004E2DE4" w:rsidP="00902452">
      <w:pPr>
        <w:spacing w:line="240" w:lineRule="auto"/>
        <w:jc w:val="both"/>
        <w:rPr>
          <w:rFonts w:cs="Arial"/>
          <w:color w:val="1F3864" w:themeColor="accent5" w:themeShade="80"/>
        </w:rPr>
      </w:pPr>
      <w:bookmarkStart w:id="0" w:name="_GoBack"/>
      <w:bookmarkEnd w:id="0"/>
    </w:p>
    <w:p w:rsidR="00451A72" w:rsidRDefault="00451A72" w:rsidP="00902452">
      <w:pPr>
        <w:pStyle w:val="ListParagraph"/>
        <w:spacing w:line="240" w:lineRule="auto"/>
        <w:jc w:val="both"/>
        <w:rPr>
          <w:lang w:val="en-US"/>
        </w:rPr>
      </w:pPr>
    </w:p>
    <w:p w:rsidR="009357F1" w:rsidRPr="008B76E4" w:rsidRDefault="009357F1" w:rsidP="00902452">
      <w:pPr>
        <w:spacing w:line="240" w:lineRule="auto"/>
        <w:jc w:val="both"/>
        <w:rPr>
          <w:lang w:val="en-US"/>
        </w:rPr>
      </w:pPr>
    </w:p>
    <w:p w:rsidR="009357F1" w:rsidRPr="008B76E4" w:rsidRDefault="009357F1" w:rsidP="00902452">
      <w:pPr>
        <w:spacing w:line="240" w:lineRule="auto"/>
        <w:jc w:val="both"/>
        <w:rPr>
          <w:lang w:val="en-US"/>
        </w:rPr>
      </w:pPr>
    </w:p>
    <w:sectPr w:rsidR="009357F1" w:rsidRPr="008B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5BE"/>
    <w:multiLevelType w:val="hybridMultilevel"/>
    <w:tmpl w:val="C08077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12760C"/>
    <w:multiLevelType w:val="hybridMultilevel"/>
    <w:tmpl w:val="E24E8C6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6073A51"/>
    <w:multiLevelType w:val="hybridMultilevel"/>
    <w:tmpl w:val="FD0EB5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94059B9"/>
    <w:multiLevelType w:val="hybridMultilevel"/>
    <w:tmpl w:val="F392F28A"/>
    <w:lvl w:ilvl="0" w:tplc="58B6A8C8">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3CB598D"/>
    <w:multiLevelType w:val="hybridMultilevel"/>
    <w:tmpl w:val="93BAC90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47131DE"/>
    <w:multiLevelType w:val="hybridMultilevel"/>
    <w:tmpl w:val="03BA5A42"/>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6" w15:restartNumberingAfterBreak="0">
    <w:nsid w:val="2C9E59CF"/>
    <w:multiLevelType w:val="hybridMultilevel"/>
    <w:tmpl w:val="30F220A2"/>
    <w:lvl w:ilvl="0" w:tplc="1C09000F">
      <w:start w:val="1"/>
      <w:numFmt w:val="decimal"/>
      <w:lvlText w:val="%1."/>
      <w:lvlJc w:val="left"/>
      <w:pPr>
        <w:ind w:left="720" w:hanging="360"/>
      </w:pPr>
    </w:lvl>
    <w:lvl w:ilvl="1" w:tplc="58B6A8C8">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5807E3B"/>
    <w:multiLevelType w:val="hybridMultilevel"/>
    <w:tmpl w:val="E84C466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4A5C5EE2"/>
    <w:multiLevelType w:val="hybridMultilevel"/>
    <w:tmpl w:val="7A6012A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54951315"/>
    <w:multiLevelType w:val="hybridMultilevel"/>
    <w:tmpl w:val="6964BCF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67D368EF"/>
    <w:multiLevelType w:val="hybridMultilevel"/>
    <w:tmpl w:val="EBBAEC3E"/>
    <w:lvl w:ilvl="0" w:tplc="58B6A8C8">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B916C8B"/>
    <w:multiLevelType w:val="hybridMultilevel"/>
    <w:tmpl w:val="C526004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75157C64"/>
    <w:multiLevelType w:val="hybridMultilevel"/>
    <w:tmpl w:val="970C0B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816502"/>
    <w:multiLevelType w:val="hybridMultilevel"/>
    <w:tmpl w:val="AA3A26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9"/>
  </w:num>
  <w:num w:numId="8">
    <w:abstractNumId w:val="7"/>
  </w:num>
  <w:num w:numId="9">
    <w:abstractNumId w:val="3"/>
  </w:num>
  <w:num w:numId="10">
    <w:abstractNumId w:val="10"/>
  </w:num>
  <w:num w:numId="11">
    <w:abstractNumId w:val="1"/>
  </w:num>
  <w:num w:numId="12">
    <w:abstractNumId w:val="2"/>
  </w:num>
  <w:num w:numId="13">
    <w:abstractNumId w:val="8"/>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F1"/>
    <w:rsid w:val="001A00D3"/>
    <w:rsid w:val="001C2CA6"/>
    <w:rsid w:val="00287CB1"/>
    <w:rsid w:val="002D6B43"/>
    <w:rsid w:val="003759D8"/>
    <w:rsid w:val="00451A72"/>
    <w:rsid w:val="004E2DE4"/>
    <w:rsid w:val="005C023D"/>
    <w:rsid w:val="005D4BE8"/>
    <w:rsid w:val="00691250"/>
    <w:rsid w:val="006C6333"/>
    <w:rsid w:val="006C7C51"/>
    <w:rsid w:val="007335F7"/>
    <w:rsid w:val="008B76E4"/>
    <w:rsid w:val="008B7E86"/>
    <w:rsid w:val="00902452"/>
    <w:rsid w:val="009357F1"/>
    <w:rsid w:val="00984C0A"/>
    <w:rsid w:val="00A413E5"/>
    <w:rsid w:val="00AA457A"/>
    <w:rsid w:val="00AE2DF8"/>
    <w:rsid w:val="00B468AA"/>
    <w:rsid w:val="00B9482C"/>
    <w:rsid w:val="00BB09E8"/>
    <w:rsid w:val="00BB18D6"/>
    <w:rsid w:val="00BB1F5C"/>
    <w:rsid w:val="00E64EA9"/>
    <w:rsid w:val="00F21718"/>
    <w:rsid w:val="00FD37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A5B8"/>
  <w15:chartTrackingRefBased/>
  <w15:docId w15:val="{3F6E8D07-0DBA-45B2-B912-A0F53F8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9563">
      <w:bodyDiv w:val="1"/>
      <w:marLeft w:val="0"/>
      <w:marRight w:val="0"/>
      <w:marTop w:val="0"/>
      <w:marBottom w:val="0"/>
      <w:divBdr>
        <w:top w:val="none" w:sz="0" w:space="0" w:color="auto"/>
        <w:left w:val="none" w:sz="0" w:space="0" w:color="auto"/>
        <w:bottom w:val="none" w:sz="0" w:space="0" w:color="auto"/>
        <w:right w:val="none" w:sz="0" w:space="0" w:color="auto"/>
      </w:divBdr>
    </w:div>
    <w:div w:id="402530769">
      <w:bodyDiv w:val="1"/>
      <w:marLeft w:val="0"/>
      <w:marRight w:val="0"/>
      <w:marTop w:val="0"/>
      <w:marBottom w:val="0"/>
      <w:divBdr>
        <w:top w:val="none" w:sz="0" w:space="0" w:color="auto"/>
        <w:left w:val="none" w:sz="0" w:space="0" w:color="auto"/>
        <w:bottom w:val="none" w:sz="0" w:space="0" w:color="auto"/>
        <w:right w:val="none" w:sz="0" w:space="0" w:color="auto"/>
      </w:divBdr>
    </w:div>
    <w:div w:id="525099923">
      <w:bodyDiv w:val="1"/>
      <w:marLeft w:val="0"/>
      <w:marRight w:val="0"/>
      <w:marTop w:val="0"/>
      <w:marBottom w:val="0"/>
      <w:divBdr>
        <w:top w:val="none" w:sz="0" w:space="0" w:color="auto"/>
        <w:left w:val="none" w:sz="0" w:space="0" w:color="auto"/>
        <w:bottom w:val="none" w:sz="0" w:space="0" w:color="auto"/>
        <w:right w:val="none" w:sz="0" w:space="0" w:color="auto"/>
      </w:divBdr>
    </w:div>
    <w:div w:id="902377483">
      <w:bodyDiv w:val="1"/>
      <w:marLeft w:val="0"/>
      <w:marRight w:val="0"/>
      <w:marTop w:val="0"/>
      <w:marBottom w:val="0"/>
      <w:divBdr>
        <w:top w:val="none" w:sz="0" w:space="0" w:color="auto"/>
        <w:left w:val="none" w:sz="0" w:space="0" w:color="auto"/>
        <w:bottom w:val="none" w:sz="0" w:space="0" w:color="auto"/>
        <w:right w:val="none" w:sz="0" w:space="0" w:color="auto"/>
      </w:divBdr>
    </w:div>
    <w:div w:id="950480211">
      <w:bodyDiv w:val="1"/>
      <w:marLeft w:val="0"/>
      <w:marRight w:val="0"/>
      <w:marTop w:val="0"/>
      <w:marBottom w:val="0"/>
      <w:divBdr>
        <w:top w:val="none" w:sz="0" w:space="0" w:color="auto"/>
        <w:left w:val="none" w:sz="0" w:space="0" w:color="auto"/>
        <w:bottom w:val="none" w:sz="0" w:space="0" w:color="auto"/>
        <w:right w:val="none" w:sz="0" w:space="0" w:color="auto"/>
      </w:divBdr>
    </w:div>
    <w:div w:id="1252278100">
      <w:bodyDiv w:val="1"/>
      <w:marLeft w:val="0"/>
      <w:marRight w:val="0"/>
      <w:marTop w:val="0"/>
      <w:marBottom w:val="0"/>
      <w:divBdr>
        <w:top w:val="none" w:sz="0" w:space="0" w:color="auto"/>
        <w:left w:val="none" w:sz="0" w:space="0" w:color="auto"/>
        <w:bottom w:val="none" w:sz="0" w:space="0" w:color="auto"/>
        <w:right w:val="none" w:sz="0" w:space="0" w:color="auto"/>
      </w:divBdr>
    </w:div>
    <w:div w:id="1393383961">
      <w:bodyDiv w:val="1"/>
      <w:marLeft w:val="0"/>
      <w:marRight w:val="0"/>
      <w:marTop w:val="0"/>
      <w:marBottom w:val="0"/>
      <w:divBdr>
        <w:top w:val="none" w:sz="0" w:space="0" w:color="auto"/>
        <w:left w:val="none" w:sz="0" w:space="0" w:color="auto"/>
        <w:bottom w:val="none" w:sz="0" w:space="0" w:color="auto"/>
        <w:right w:val="none" w:sz="0" w:space="0" w:color="auto"/>
      </w:divBdr>
    </w:div>
    <w:div w:id="1533377659">
      <w:bodyDiv w:val="1"/>
      <w:marLeft w:val="0"/>
      <w:marRight w:val="0"/>
      <w:marTop w:val="0"/>
      <w:marBottom w:val="0"/>
      <w:divBdr>
        <w:top w:val="none" w:sz="0" w:space="0" w:color="auto"/>
        <w:left w:val="none" w:sz="0" w:space="0" w:color="auto"/>
        <w:bottom w:val="none" w:sz="0" w:space="0" w:color="auto"/>
        <w:right w:val="none" w:sz="0" w:space="0" w:color="auto"/>
      </w:divBdr>
    </w:div>
    <w:div w:id="16051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Pumelele Vapi</dc:creator>
  <cp:keywords/>
  <dc:description/>
  <cp:lastModifiedBy>Pumelele Vapi</cp:lastModifiedBy>
  <cp:revision>2</cp:revision>
  <dcterms:created xsi:type="dcterms:W3CDTF">2022-01-22T20:28:00Z</dcterms:created>
  <dcterms:modified xsi:type="dcterms:W3CDTF">2022-01-22T20:28:00Z</dcterms:modified>
</cp:coreProperties>
</file>