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3BE3F56C" w:rsidR="00F0521B" w:rsidRPr="00F0521B" w:rsidRDefault="00D51C58" w:rsidP="006B3FA2">
            <w:pPr>
              <w:spacing w:before="60" w:after="60" w:line="276" w:lineRule="auto"/>
              <w:jc w:val="both"/>
              <w:rPr>
                <w:rFonts w:ascii="Arial" w:hAnsi="Arial" w:cs="Arial"/>
                <w:sz w:val="20"/>
              </w:rPr>
            </w:pPr>
            <w:r>
              <w:rPr>
                <w:rFonts w:ascii="Arial" w:hAnsi="Arial" w:cs="Arial"/>
                <w:sz w:val="20"/>
              </w:rPr>
              <w:t>Majuba</w:t>
            </w:r>
            <w:r w:rsidR="00F009D7">
              <w:rPr>
                <w:rFonts w:ascii="Arial" w:hAnsi="Arial" w:cs="Arial"/>
                <w:sz w:val="20"/>
              </w:rPr>
              <w:t xml:space="preserve">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0E625111" w:rsidR="00EC662F" w:rsidRPr="00336747" w:rsidRDefault="00D51C58" w:rsidP="00880865">
            <w:pPr>
              <w:spacing w:line="360" w:lineRule="auto"/>
              <w:jc w:val="both"/>
              <w:rPr>
                <w:rFonts w:ascii="Arial" w:hAnsi="Arial" w:cs="Arial"/>
                <w:sz w:val="20"/>
                <w:lang w:val="en-ZA"/>
              </w:rPr>
            </w:pPr>
            <w:r>
              <w:rPr>
                <w:rFonts w:ascii="Arial" w:hAnsi="Arial" w:cs="Arial"/>
                <w:sz w:val="20"/>
              </w:rPr>
              <w:t>S</w:t>
            </w:r>
            <w:r w:rsidR="009611DC">
              <w:rPr>
                <w:rFonts w:ascii="Arial" w:hAnsi="Arial" w:cs="Arial"/>
                <w:sz w:val="20"/>
              </w:rPr>
              <w:t>upply and Delivery of Boiler Tubes and Related Steel Spares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D5E9393" w:rsidR="00EB6A30" w:rsidRPr="00F0521B" w:rsidRDefault="00D51C58" w:rsidP="00EB03A4">
            <w:pPr>
              <w:spacing w:before="60" w:after="60" w:line="276" w:lineRule="auto"/>
              <w:jc w:val="both"/>
              <w:rPr>
                <w:rFonts w:ascii="Arial" w:hAnsi="Arial" w:cs="Arial"/>
                <w:sz w:val="20"/>
              </w:rPr>
            </w:pPr>
            <w:r>
              <w:rPr>
                <w:rFonts w:ascii="Arial" w:hAnsi="Arial" w:cs="Arial"/>
                <w:sz w:val="20"/>
              </w:rPr>
              <w:t>Sixty</w:t>
            </w:r>
            <w:r w:rsidR="00F009D7" w:rsidRPr="00BB09FE">
              <w:rPr>
                <w:rFonts w:ascii="Arial" w:hAnsi="Arial" w:cs="Arial"/>
                <w:sz w:val="20"/>
              </w:rPr>
              <w:t xml:space="preserve"> (</w:t>
            </w:r>
            <w:r>
              <w:rPr>
                <w:rFonts w:ascii="Arial" w:hAnsi="Arial" w:cs="Arial"/>
                <w:sz w:val="20"/>
              </w:rPr>
              <w:t>60</w:t>
            </w:r>
            <w:r w:rsidR="00F009D7" w:rsidRPr="00BB09FE">
              <w:rPr>
                <w:rFonts w:ascii="Arial" w:hAnsi="Arial" w:cs="Arial"/>
                <w:sz w:val="20"/>
              </w:rPr>
              <w:t>)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031AF264" w:rsidR="00EB6A30" w:rsidRPr="00CF781D" w:rsidRDefault="00EB6A30" w:rsidP="00914474">
            <w:pPr>
              <w:jc w:val="both"/>
              <w:rPr>
                <w:rFonts w:ascii="Arial" w:hAnsi="Arial" w:cs="Arial"/>
                <w:sz w:val="20"/>
              </w:rPr>
            </w:pP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14535916" w:rsidR="00304117" w:rsidRPr="00CF781D" w:rsidRDefault="00D51C58" w:rsidP="00F0521B">
            <w:pPr>
              <w:spacing w:before="60" w:after="60" w:line="276" w:lineRule="auto"/>
              <w:jc w:val="both"/>
              <w:rPr>
                <w:rFonts w:ascii="Arial" w:hAnsi="Arial" w:cs="Arial"/>
                <w:sz w:val="20"/>
              </w:rPr>
            </w:pPr>
            <w:r>
              <w:rPr>
                <w:rFonts w:ascii="Arial" w:hAnsi="Arial" w:cs="Arial"/>
                <w:sz w:val="20"/>
              </w:rPr>
              <w:t>Innocentia Sibiya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2BCABA3A" w:rsidR="006F7826" w:rsidRDefault="006F7826" w:rsidP="00EB6A30">
      <w:pPr>
        <w:spacing w:line="276" w:lineRule="auto"/>
        <w:rPr>
          <w:rFonts w:ascii="Arial" w:hAnsi="Arial" w:cs="Arial"/>
        </w:rPr>
      </w:pPr>
    </w:p>
    <w:p w14:paraId="1B56FE91" w14:textId="77777777" w:rsidR="00F009D7" w:rsidRDefault="00F009D7"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6713EB26" w:rsidR="00546E27" w:rsidRPr="00EB6A30" w:rsidRDefault="009611DC" w:rsidP="00065BFD">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2B3EBB40" w:rsidR="00546E27" w:rsidRPr="00EB6A30" w:rsidRDefault="009611DC" w:rsidP="00065BFD">
                      <w:pPr>
                        <w:spacing w:before="60" w:after="60"/>
                        <w:jc w:val="center"/>
                        <w:rPr>
                          <w:rFonts w:ascii="Arial" w:hAnsi="Arial" w:cs="Arial"/>
                          <w:sz w:val="20"/>
                        </w:rPr>
                      </w:pPr>
                      <w:r>
                        <w:rPr>
                          <w:rFonts w:ascii="MS Gothic" w:eastAsia="MS Gothic" w:hAnsi="MS Gothic" w:cs="Arial" w:hint="eastAsia"/>
                          <w:sz w:val="20"/>
                        </w:rPr>
                        <w:t>☐</w:t>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16F7BA2C" w:rsidR="00546E27" w:rsidRPr="00C67975" w:rsidRDefault="009611DC" w:rsidP="00065BFD">
                  <w:pPr>
                    <w:jc w:val="center"/>
                    <w:rPr>
                      <w:rFonts w:ascii="Arial" w:hAnsi="Arial" w:cs="Arial"/>
                      <w:sz w:val="20"/>
                    </w:rPr>
                  </w:pPr>
                  <w:r>
                    <w:rPr>
                      <w:rFonts w:ascii="Arial" w:hAnsi="Arial" w:cs="Arial"/>
                      <w:sz w:val="20"/>
                    </w:rPr>
                    <w:t>Steel</w:t>
                  </w:r>
                </w:p>
              </w:tc>
              <w:tc>
                <w:tcPr>
                  <w:tcW w:w="3057" w:type="dxa"/>
                  <w:gridSpan w:val="2"/>
                </w:tcPr>
                <w:p w14:paraId="7ED27536" w14:textId="2A0BD742" w:rsidR="00546E27" w:rsidRPr="00C67975" w:rsidRDefault="009611DC" w:rsidP="00065BFD">
                  <w:pPr>
                    <w:jc w:val="center"/>
                    <w:rPr>
                      <w:rFonts w:ascii="Arial" w:hAnsi="Arial" w:cs="Arial"/>
                      <w:sz w:val="20"/>
                    </w:rPr>
                  </w:pPr>
                  <w:r>
                    <w:rPr>
                      <w:rFonts w:ascii="Arial" w:hAnsi="Arial" w:cs="Arial"/>
                      <w:sz w:val="20"/>
                    </w:rPr>
                    <w:t>Steel Spares</w:t>
                  </w:r>
                </w:p>
              </w:tc>
              <w:tc>
                <w:tcPr>
                  <w:tcW w:w="3062" w:type="dxa"/>
                  <w:gridSpan w:val="3"/>
                </w:tcPr>
                <w:p w14:paraId="6AE79D03" w14:textId="5C61EF4F" w:rsidR="00546E27" w:rsidRPr="00C67975" w:rsidRDefault="00546E27" w:rsidP="007475D6">
                  <w:pPr>
                    <w:jc w:val="center"/>
                    <w:rPr>
                      <w:rFonts w:ascii="Arial" w:hAnsi="Arial" w:cs="Arial"/>
                      <w:sz w:val="20"/>
                    </w:rPr>
                  </w:pP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returnable</w:t>
            </w:r>
            <w:r>
              <w:rPr>
                <w:rFonts w:ascii="Arial" w:hAnsi="Arial" w:cs="Arial"/>
                <w:sz w:val="20"/>
              </w:rPr>
              <w:t>s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34C05356" w:rsidR="00546E27" w:rsidRPr="00EB6A30" w:rsidRDefault="00D51C58"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19109EB4" w:rsidR="00546E27" w:rsidRPr="00EB6A30" w:rsidRDefault="00D51C58"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386BC350"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006A7018" w:rsidRPr="00EB6A30">
                    <w:rPr>
                      <w:rFonts w:ascii="Arial" w:hAnsi="Arial" w:cs="Arial"/>
                      <w:i/>
                      <w:sz w:val="20"/>
                    </w:rPr>
                    <w:t>Yes</w:t>
                  </w:r>
                  <w:proofErr w:type="gramEnd"/>
                  <w:r w:rsidR="006A7018" w:rsidRPr="00EB6A30">
                    <w:rPr>
                      <w:rFonts w:ascii="Arial" w:hAnsi="Arial" w:cs="Arial"/>
                      <w:i/>
                      <w:sz w:val="20"/>
                    </w:rPr>
                    <w:t>,</w:t>
                  </w:r>
                  <w:r w:rsidR="006A7018" w:rsidRPr="00EB6A30">
                    <w:rPr>
                      <w:rFonts w:ascii="Arial" w:hAnsi="Arial" w:cs="Arial"/>
                      <w:sz w:val="20"/>
                    </w:rPr>
                    <w:t xml:space="preserve"> what</w:t>
                  </w:r>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12964080" w:rsidR="00546E27" w:rsidRPr="00EB6A30" w:rsidRDefault="00F8415E" w:rsidP="00065BFD">
                  <w:pPr>
                    <w:tabs>
                      <w:tab w:val="left" w:pos="720"/>
                    </w:tabs>
                    <w:jc w:val="both"/>
                    <w:rPr>
                      <w:rFonts w:ascii="Arial" w:hAnsi="Arial" w:cs="Arial"/>
                      <w:sz w:val="20"/>
                    </w:rPr>
                  </w:pPr>
                  <w:r>
                    <w:rPr>
                      <w:rFonts w:ascii="Arial" w:hAnsi="Arial" w:cs="Arial"/>
                      <w:sz w:val="20"/>
                    </w:rPr>
                    <w:t>N/A</w:t>
                  </w:r>
                </w:p>
              </w:tc>
              <w:tc>
                <w:tcPr>
                  <w:tcW w:w="2930" w:type="dxa"/>
                </w:tcPr>
                <w:p w14:paraId="612D4417" w14:textId="715402A5" w:rsidR="00546E27" w:rsidRPr="00EB6A30" w:rsidRDefault="00546E27" w:rsidP="00065BFD">
                  <w:pPr>
                    <w:spacing w:before="60" w:after="60"/>
                    <w:rPr>
                      <w:rFonts w:ascii="Arial" w:hAnsi="Arial" w:cs="Arial"/>
                      <w:sz w:val="20"/>
                    </w:rPr>
                  </w:pP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367994F3" w:rsidR="00546E27" w:rsidRPr="00EB6A30" w:rsidRDefault="00546E27" w:rsidP="00065BFD">
                  <w:pPr>
                    <w:spacing w:before="60" w:after="60"/>
                    <w:rPr>
                      <w:rFonts w:ascii="Arial" w:hAnsi="Arial" w:cs="Arial"/>
                      <w:sz w:val="20"/>
                    </w:rPr>
                  </w:pP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3163EC55" w14:textId="77777777" w:rsidR="00203FB8" w:rsidRPr="003953B4"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p>
    <w:p w14:paraId="616E4C33" w14:textId="5A047C0F"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r w:rsidR="00B858C1">
        <w:rPr>
          <w:rFonts w:ascii="Arial" w:hAnsi="Arial" w:cs="Arial"/>
          <w:color w:val="000000" w:themeColor="text1"/>
          <w:sz w:val="20"/>
          <w:lang w:val="en-GB"/>
        </w:rPr>
        <w:t>DTIC</w:t>
      </w:r>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5F6E19C4" w14:textId="77777777" w:rsidR="00203FB8" w:rsidRPr="003953B4" w:rsidRDefault="00203FB8" w:rsidP="005B5A73">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lastRenderedPageBreak/>
        <w:t>The following narrative must be captured in all tenders that have import/foreign content equal to or in excess of USD 5 million:</w:t>
      </w:r>
    </w:p>
    <w:p w14:paraId="1DDF5ADB"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1CAD578E"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104ADD0" w14:textId="55AC7218"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r w:rsidR="00BD5738">
        <w:rPr>
          <w:rFonts w:ascii="Arial" w:hAnsi="Arial" w:cs="Arial"/>
          <w:color w:val="000000" w:themeColor="text1"/>
          <w:sz w:val="20"/>
          <w:lang w:val="en-GB"/>
        </w:rPr>
        <w:t>DTIC</w:t>
      </w:r>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6B8CEC7C" w14:textId="77777777" w:rsidR="00203FB8" w:rsidRPr="003953B4" w:rsidRDefault="00203FB8" w:rsidP="005B5A73">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signing the contract with Eskom.”.</w:t>
      </w:r>
    </w:p>
    <w:p w14:paraId="51A6708B" w14:textId="07D21E34" w:rsidR="00203FB8" w:rsidRDefault="00203FB8" w:rsidP="005B5A73">
      <w:pPr>
        <w:spacing w:after="200" w:line="276" w:lineRule="auto"/>
        <w:jc w:val="both"/>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p>
    <w:p w14:paraId="41455016" w14:textId="77777777" w:rsidR="00522B04" w:rsidRPr="00522B04" w:rsidRDefault="00522B04" w:rsidP="005B5A73">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793877A8" w14:textId="77777777" w:rsidR="00203FB8" w:rsidRPr="00F45F33" w:rsidRDefault="00203FB8" w:rsidP="005B5A73">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06536F35" w14:textId="77777777" w:rsidR="00203FB8" w:rsidRPr="00F45F33" w:rsidRDefault="00203FB8" w:rsidP="005B5A73">
      <w:pPr>
        <w:tabs>
          <w:tab w:val="num" w:pos="851"/>
        </w:tabs>
        <w:ind w:left="851"/>
        <w:jc w:val="both"/>
        <w:rPr>
          <w:rFonts w:ascii="Arial" w:hAnsi="Arial" w:cs="Arial"/>
          <w:sz w:val="20"/>
          <w:lang w:eastAsia="en-ZA"/>
        </w:rPr>
      </w:pPr>
    </w:p>
    <w:p w14:paraId="49DDEB71" w14:textId="77777777" w:rsidR="00203FB8" w:rsidRPr="00F45F33" w:rsidRDefault="00203FB8" w:rsidP="005B5A73">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619E27D0" w14:textId="77777777" w:rsidR="00203FB8" w:rsidRPr="00F45F33" w:rsidRDefault="00203FB8" w:rsidP="005B5A73">
      <w:pPr>
        <w:tabs>
          <w:tab w:val="num" w:pos="851"/>
        </w:tabs>
        <w:jc w:val="both"/>
        <w:rPr>
          <w:rFonts w:ascii="Arial" w:hAnsi="Arial" w:cs="Arial"/>
          <w:sz w:val="20"/>
          <w:lang w:eastAsia="en-ZA"/>
        </w:rPr>
      </w:pPr>
    </w:p>
    <w:p w14:paraId="0B6A47A2" w14:textId="1E80DA31" w:rsidR="00203FB8" w:rsidRPr="00F45F33" w:rsidRDefault="00203FB8" w:rsidP="005B5A73">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074AC901" w14:textId="77777777" w:rsidR="00203FB8" w:rsidRPr="00F45F33" w:rsidRDefault="00203FB8" w:rsidP="005B5A73">
      <w:pPr>
        <w:tabs>
          <w:tab w:val="num" w:pos="851"/>
        </w:tabs>
        <w:ind w:left="851"/>
        <w:jc w:val="both"/>
        <w:rPr>
          <w:rFonts w:ascii="Arial" w:hAnsi="Arial" w:cs="Arial"/>
          <w:sz w:val="20"/>
          <w:lang w:eastAsia="en-ZA"/>
        </w:rPr>
      </w:pPr>
    </w:p>
    <w:p w14:paraId="5B0DD2D9" w14:textId="77777777" w:rsidR="00203FB8" w:rsidRPr="00F45F33"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3C5EC478" w14:textId="77777777" w:rsidR="00203FB8" w:rsidRDefault="00203FB8" w:rsidP="005B5A73">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1AA4102E" w14:textId="77777777" w:rsidR="00203FB8" w:rsidRDefault="00203FB8" w:rsidP="005B5A73">
      <w:pPr>
        <w:spacing w:after="200" w:line="276" w:lineRule="auto"/>
        <w:contextualSpacing/>
        <w:jc w:val="both"/>
        <w:rPr>
          <w:rFonts w:ascii="Arial" w:eastAsia="Calibri" w:hAnsi="Arial" w:cs="Arial"/>
          <w:bCs/>
          <w:iCs/>
          <w:sz w:val="20"/>
          <w:lang w:val="en-ZA"/>
        </w:rPr>
      </w:pPr>
    </w:p>
    <w:p w14:paraId="230D6D5C" w14:textId="72484DDD" w:rsidR="00203FB8" w:rsidRDefault="00203FB8" w:rsidP="005B5A73">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5AE01E14" w14:textId="62EEDCC6" w:rsidR="00AD3010" w:rsidRDefault="00AD3010" w:rsidP="005B5A73">
      <w:pPr>
        <w:tabs>
          <w:tab w:val="num" w:pos="1276"/>
        </w:tabs>
        <w:jc w:val="both"/>
        <w:rPr>
          <w:rFonts w:ascii="Arial" w:hAnsi="Arial" w:cs="Arial"/>
          <w:sz w:val="20"/>
          <w:lang w:eastAsia="en-ZA"/>
        </w:rPr>
      </w:pPr>
    </w:p>
    <w:p w14:paraId="75A672C7" w14:textId="10791993" w:rsidR="00DA4085" w:rsidRPr="009611DC" w:rsidRDefault="009611DC" w:rsidP="009611DC">
      <w:pPr>
        <w:pStyle w:val="ListParagraph"/>
        <w:numPr>
          <w:ilvl w:val="0"/>
          <w:numId w:val="50"/>
        </w:numPr>
        <w:tabs>
          <w:tab w:val="num" w:pos="1276"/>
        </w:tabs>
        <w:jc w:val="both"/>
        <w:rPr>
          <w:rFonts w:ascii="Arial" w:hAnsi="Arial" w:cs="Arial"/>
          <w:bCs/>
          <w:sz w:val="20"/>
          <w:lang w:eastAsia="en-ZA"/>
        </w:rPr>
      </w:pPr>
      <w:r>
        <w:rPr>
          <w:rFonts w:ascii="Arial" w:hAnsi="Arial" w:cs="Arial"/>
          <w:bCs/>
          <w:sz w:val="20"/>
          <w:lang w:eastAsia="en-ZA"/>
        </w:rPr>
        <w:t>Transportation</w:t>
      </w:r>
    </w:p>
    <w:p w14:paraId="5529222F" w14:textId="3E439018" w:rsidR="00203FB8" w:rsidRPr="00F45F33" w:rsidRDefault="00203FB8" w:rsidP="007475D6">
      <w:pPr>
        <w:jc w:val="both"/>
        <w:rPr>
          <w:rFonts w:ascii="Arial" w:hAnsi="Arial" w:cs="Arial"/>
          <w:sz w:val="22"/>
          <w:szCs w:val="22"/>
          <w:lang w:eastAsia="en-ZA"/>
        </w:rPr>
      </w:pPr>
    </w:p>
    <w:p w14:paraId="0A5BFB8C" w14:textId="4BB6E4BB" w:rsidR="00AD3010" w:rsidRDefault="005B5A73" w:rsidP="005B5A73">
      <w:pPr>
        <w:spacing w:after="200" w:line="276" w:lineRule="auto"/>
        <w:jc w:val="both"/>
        <w:rPr>
          <w:rFonts w:ascii="Arial" w:eastAsiaTheme="minorHAnsi" w:hAnsi="Arial" w:cs="Arial"/>
          <w:sz w:val="20"/>
          <w:lang w:val="en-ZA"/>
        </w:rPr>
      </w:pPr>
      <w:r w:rsidRPr="005B5A73">
        <w:rPr>
          <w:rFonts w:ascii="Arial" w:eastAsiaTheme="minorHAnsi" w:hAnsi="Arial" w:cs="Arial"/>
          <w:sz w:val="20"/>
          <w:lang w:val="en-ZA"/>
        </w:rPr>
        <w:t>Subcontracting, in this instance, will</w:t>
      </w:r>
      <w:r w:rsidR="00AD3010">
        <w:rPr>
          <w:rFonts w:ascii="Arial" w:eastAsiaTheme="minorHAnsi" w:hAnsi="Arial" w:cs="Arial"/>
          <w:sz w:val="20"/>
          <w:lang w:val="en-ZA"/>
        </w:rPr>
        <w:t xml:space="preserve"> </w:t>
      </w:r>
      <w:r w:rsidR="00AD3010" w:rsidRPr="005B5A73">
        <w:rPr>
          <w:rFonts w:ascii="Arial" w:eastAsiaTheme="minorHAnsi" w:hAnsi="Arial" w:cs="Arial"/>
          <w:sz w:val="20"/>
          <w:lang w:val="en-ZA"/>
        </w:rPr>
        <w:t>be</w:t>
      </w:r>
      <w:r w:rsidRPr="005B5A73">
        <w:rPr>
          <w:rFonts w:ascii="Arial" w:eastAsiaTheme="minorHAnsi" w:hAnsi="Arial" w:cs="Arial"/>
          <w:sz w:val="20"/>
          <w:lang w:val="en-ZA"/>
        </w:rPr>
        <w:t xml:space="preserve"> treated as a condition for contract award. </w:t>
      </w:r>
      <w:r w:rsidR="00DA4085">
        <w:rPr>
          <w:rFonts w:ascii="Arial" w:eastAsiaTheme="minorHAnsi" w:hAnsi="Arial" w:cs="Arial"/>
          <w:sz w:val="20"/>
          <w:lang w:val="en-ZA"/>
        </w:rPr>
        <w:t>A</w:t>
      </w:r>
      <w:r w:rsidRPr="005B5A73">
        <w:rPr>
          <w:rFonts w:ascii="Arial" w:eastAsiaTheme="minorHAnsi" w:hAnsi="Arial" w:cs="Arial"/>
          <w:sz w:val="20"/>
          <w:lang w:val="en-ZA"/>
        </w:rPr>
        <w:t xml:space="preserve">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4271ADEE" w14:textId="77777777" w:rsidR="00F8415E" w:rsidRPr="00DA4085" w:rsidRDefault="00F8415E" w:rsidP="005B5A73">
      <w:pPr>
        <w:spacing w:after="200" w:line="276" w:lineRule="auto"/>
        <w:jc w:val="both"/>
        <w:rPr>
          <w:rFonts w:ascii="Arial" w:eastAsiaTheme="minorHAnsi" w:hAnsi="Arial" w:cs="Arial"/>
          <w:sz w:val="20"/>
          <w:lang w:val="en-ZA"/>
        </w:rPr>
      </w:pPr>
    </w:p>
    <w:p w14:paraId="0484581A" w14:textId="6FC1B04F"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0918CEED" w14:textId="77777777" w:rsidR="00546E27" w:rsidRDefault="00546E27" w:rsidP="00065BFD">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17C717EB" w14:textId="77777777" w:rsidR="00546E27" w:rsidRPr="00CF781D" w:rsidRDefault="00546E27" w:rsidP="00065BFD">
            <w:pPr>
              <w:tabs>
                <w:tab w:val="left" w:pos="720"/>
              </w:tabs>
              <w:spacing w:line="276" w:lineRule="auto"/>
              <w:ind w:left="360"/>
              <w:jc w:val="both"/>
              <w:rPr>
                <w:rFonts w:ascii="Arial" w:hAnsi="Arial" w:cs="Arial"/>
                <w:b/>
                <w:sz w:val="20"/>
              </w:rPr>
            </w:pPr>
          </w:p>
          <w:p w14:paraId="4BED403A" w14:textId="77777777" w:rsidR="00546E27" w:rsidRPr="00D86CD2" w:rsidRDefault="00546E27" w:rsidP="00065BFD">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35"/>
              <w:gridCol w:w="2797"/>
            </w:tblGrid>
            <w:tr w:rsidR="00546E27" w14:paraId="7CDD35F8" w14:textId="77777777" w:rsidTr="00847E72">
              <w:trPr>
                <w:trHeight w:val="153"/>
              </w:trPr>
              <w:tc>
                <w:tcPr>
                  <w:tcW w:w="3109" w:type="dxa"/>
                  <w:vMerge w:val="restart"/>
                  <w:tcBorders>
                    <w:top w:val="single" w:sz="4" w:space="0" w:color="auto"/>
                    <w:left w:val="single" w:sz="4" w:space="0" w:color="auto"/>
                    <w:bottom w:val="single" w:sz="4" w:space="0" w:color="auto"/>
                    <w:right w:val="single" w:sz="4" w:space="0" w:color="auto"/>
                  </w:tcBorders>
                  <w:hideMark/>
                </w:tcPr>
                <w:p w14:paraId="48041204" w14:textId="77777777" w:rsidR="00847E72" w:rsidRDefault="00847E72" w:rsidP="00065BFD">
                  <w:pPr>
                    <w:spacing w:line="276" w:lineRule="auto"/>
                    <w:rPr>
                      <w:rFonts w:ascii="Arial" w:hAnsi="Arial" w:cs="Arial"/>
                      <w:b/>
                      <w:bCs/>
                      <w:color w:val="000000"/>
                      <w:sz w:val="20"/>
                    </w:rPr>
                  </w:pPr>
                </w:p>
                <w:p w14:paraId="22A58B2F" w14:textId="6A75E5F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235"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847E72">
              <w:trPr>
                <w:trHeight w:val="378"/>
              </w:trPr>
              <w:tc>
                <w:tcPr>
                  <w:tcW w:w="3109"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235"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44E45D0A" w:rsidR="00546E27" w:rsidRPr="00D479A6" w:rsidRDefault="00522B04" w:rsidP="00065BFD">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00546E27" w:rsidRPr="00E01CA7">
              <w:rPr>
                <w:rFonts w:ascii="Arial" w:hAnsi="Arial" w:cs="Arial"/>
                <w:b/>
                <w:sz w:val="20"/>
              </w:rPr>
              <w:t xml:space="preserve"> entities with a minimum 51% black ownership</w:t>
            </w:r>
          </w:p>
          <w:p w14:paraId="1CCD1AEB" w14:textId="6FFBC856" w:rsidR="00546E27" w:rsidRPr="00A500C7" w:rsidRDefault="00546E27" w:rsidP="00065BFD">
            <w:pPr>
              <w:spacing w:before="160" w:line="360" w:lineRule="auto"/>
              <w:ind w:left="360"/>
              <w:jc w:val="both"/>
              <w:rPr>
                <w:rFonts w:ascii="Arial" w:hAnsi="Arial" w:cs="Arial"/>
                <w:sz w:val="20"/>
                <w:lang w:val="en-ZA"/>
              </w:rPr>
            </w:pPr>
            <w:r w:rsidRPr="00A500C7">
              <w:rPr>
                <w:rFonts w:ascii="Arial" w:hAnsi="Arial" w:cs="Arial"/>
                <w:sz w:val="20"/>
                <w:lang w:val="en-ZA"/>
              </w:rPr>
              <w:t>T</w:t>
            </w:r>
            <w:r w:rsidR="00522B04">
              <w:rPr>
                <w:rFonts w:ascii="Arial" w:hAnsi="Arial" w:cs="Arial"/>
                <w:sz w:val="20"/>
                <w:lang w:val="en-ZA"/>
              </w:rPr>
              <w:t xml:space="preserve">he winning tenderer is encouraged </w:t>
            </w:r>
            <w:r w:rsidR="005B5A73">
              <w:rPr>
                <w:rFonts w:ascii="Arial" w:hAnsi="Arial" w:cs="Arial"/>
                <w:sz w:val="20"/>
                <w:lang w:val="en-ZA"/>
              </w:rPr>
              <w:t xml:space="preserve">to </w:t>
            </w:r>
            <w:r w:rsidRPr="00A500C7">
              <w:rPr>
                <w:rFonts w:ascii="Arial" w:hAnsi="Arial" w:cs="Arial"/>
                <w:sz w:val="20"/>
                <w:lang w:val="en-ZA"/>
              </w:rPr>
              <w:t>procure</w:t>
            </w:r>
            <w:r w:rsidR="005B5A73">
              <w:rPr>
                <w:rFonts w:ascii="Arial" w:hAnsi="Arial" w:cs="Arial"/>
                <w:sz w:val="20"/>
                <w:lang w:val="en-ZA"/>
              </w:rPr>
              <w:t>/</w:t>
            </w:r>
            <w:r w:rsidRPr="00A500C7">
              <w:rPr>
                <w:rFonts w:ascii="Arial" w:hAnsi="Arial" w:cs="Arial"/>
                <w:sz w:val="20"/>
                <w:lang w:val="en-ZA"/>
              </w:rPr>
              <w:t xml:space="preserve">spend </w:t>
            </w:r>
            <w:r w:rsidR="005B5A73">
              <w:rPr>
                <w:rFonts w:ascii="Arial" w:hAnsi="Arial" w:cs="Arial"/>
                <w:sz w:val="20"/>
                <w:lang w:val="en-ZA"/>
              </w:rPr>
              <w:t xml:space="preserve">on </w:t>
            </w:r>
            <w:r w:rsidRPr="00A500C7">
              <w:rPr>
                <w:rFonts w:ascii="Arial" w:hAnsi="Arial" w:cs="Arial"/>
                <w:sz w:val="20"/>
                <w:lang w:val="en-ZA"/>
              </w:rPr>
              <w:t>designated groups</w:t>
            </w:r>
            <w:r w:rsidR="005B5A73">
              <w:rPr>
                <w:rFonts w:ascii="Arial" w:hAnsi="Arial" w:cs="Arial"/>
                <w:sz w:val="20"/>
                <w:lang w:val="en-ZA"/>
              </w:rPr>
              <w:t xml:space="preserve"> on the following</w:t>
            </w:r>
            <w:r w:rsidRPr="00A500C7">
              <w:rPr>
                <w:rFonts w:ascii="Arial" w:hAnsi="Arial" w:cs="Arial"/>
                <w:sz w:val="20"/>
                <w:lang w:val="en-ZA"/>
              </w:rPr>
              <w:t xml:space="preserve"> paid invoices for both</w:t>
            </w:r>
            <w:r w:rsidR="005B5A73">
              <w:rPr>
                <w:rFonts w:ascii="Arial" w:hAnsi="Arial" w:cs="Arial"/>
                <w:sz w:val="20"/>
                <w:lang w:val="en-ZA"/>
              </w:rPr>
              <w:t>:</w:t>
            </w:r>
          </w:p>
          <w:p w14:paraId="038E7B92" w14:textId="48D5F044"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r w:rsidR="006A1E0B" w:rsidRPr="00A500C7">
              <w:rPr>
                <w:rFonts w:ascii="Arial" w:hAnsi="Arial" w:cs="Arial"/>
                <w:sz w:val="20"/>
                <w:lang w:val="en-ZA"/>
              </w:rPr>
              <w:t>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0C274D7C" w14:textId="77777777" w:rsidR="00546E27" w:rsidRPr="00A500C7" w:rsidRDefault="00546E27" w:rsidP="00065BFD">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778EBB2" w14:textId="77777777" w:rsidR="005B5A73" w:rsidRDefault="005B5A73" w:rsidP="00065BFD">
            <w:pPr>
              <w:tabs>
                <w:tab w:val="left" w:pos="720"/>
              </w:tabs>
              <w:spacing w:line="360" w:lineRule="auto"/>
              <w:ind w:left="360"/>
              <w:jc w:val="both"/>
              <w:rPr>
                <w:rFonts w:ascii="Arial" w:hAnsi="Arial" w:cs="Arial"/>
                <w:sz w:val="20"/>
                <w:lang w:val="en-ZA"/>
              </w:rPr>
            </w:pPr>
          </w:p>
          <w:p w14:paraId="3C592E28" w14:textId="77777777" w:rsidR="00546E27" w:rsidRPr="000263D8" w:rsidRDefault="00546E27" w:rsidP="00065BFD">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61212FCD" w:rsidR="00546E27" w:rsidRPr="000C5130" w:rsidRDefault="00546E27" w:rsidP="007475D6">
                  <w:pPr>
                    <w:tabs>
                      <w:tab w:val="left" w:pos="720"/>
                    </w:tabs>
                    <w:spacing w:line="276" w:lineRule="auto"/>
                    <w:jc w:val="center"/>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0F1218BF" w:rsidR="00546E27" w:rsidRPr="000C5130" w:rsidRDefault="00546E27" w:rsidP="00B858C1">
                  <w:pPr>
                    <w:tabs>
                      <w:tab w:val="left" w:pos="720"/>
                    </w:tabs>
                    <w:spacing w:line="276" w:lineRule="auto"/>
                    <w:jc w:val="center"/>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77777777" w:rsidR="00546E27" w:rsidRDefault="00546E27" w:rsidP="00065BFD">
            <w:pPr>
              <w:tabs>
                <w:tab w:val="left" w:pos="720"/>
              </w:tabs>
              <w:spacing w:line="276" w:lineRule="auto"/>
              <w:ind w:left="360"/>
              <w:jc w:val="both"/>
              <w:rPr>
                <w:rFonts w:ascii="Arial" w:hAnsi="Arial" w:cs="Arial"/>
                <w:b/>
                <w:sz w:val="20"/>
                <w:lang w:val="en-ZA"/>
              </w:rPr>
            </w:pPr>
          </w:p>
          <w:p w14:paraId="7EB1A0AD" w14:textId="77777777" w:rsidR="00546E27" w:rsidRPr="006E4F88" w:rsidRDefault="00546E27" w:rsidP="00065BFD">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r w:rsidRPr="002232D4">
              <w:rPr>
                <w:rFonts w:ascii="Arial" w:hAnsi="Arial" w:cs="Arial"/>
                <w:sz w:val="20"/>
              </w:rPr>
              <w:lastRenderedPageBreak/>
              <w:t xml:space="preserve">skills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2095"/>
              <w:gridCol w:w="2441"/>
            </w:tblGrid>
            <w:tr w:rsidR="00546E27" w:rsidRPr="000C5130" w14:paraId="241C348B" w14:textId="77777777" w:rsidTr="00D227B3">
              <w:trPr>
                <w:trHeight w:val="359"/>
              </w:trPr>
              <w:tc>
                <w:tcPr>
                  <w:tcW w:w="3543"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2095"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2441"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546E27" w:rsidRPr="000C5130" w14:paraId="4ED2613C" w14:textId="77777777" w:rsidTr="00D227B3">
              <w:trPr>
                <w:trHeight w:val="359"/>
              </w:trPr>
              <w:tc>
                <w:tcPr>
                  <w:tcW w:w="3543" w:type="dxa"/>
                  <w:shd w:val="clear" w:color="auto" w:fill="auto"/>
                  <w:vAlign w:val="bottom"/>
                </w:tcPr>
                <w:p w14:paraId="6918843F" w14:textId="2136C258" w:rsidR="00546E27" w:rsidRPr="008A3FC8" w:rsidRDefault="009611DC" w:rsidP="007475D6">
                  <w:pPr>
                    <w:spacing w:line="276" w:lineRule="auto"/>
                    <w:jc w:val="center"/>
                    <w:rPr>
                      <w:rFonts w:ascii="Arial" w:hAnsi="Arial" w:cs="Arial"/>
                      <w:sz w:val="20"/>
                    </w:rPr>
                  </w:pPr>
                  <w:r>
                    <w:rPr>
                      <w:rFonts w:ascii="Arial" w:hAnsi="Arial" w:cs="Arial"/>
                      <w:sz w:val="20"/>
                    </w:rPr>
                    <w:t>Logistics Officer</w:t>
                  </w:r>
                </w:p>
              </w:tc>
              <w:tc>
                <w:tcPr>
                  <w:tcW w:w="2095" w:type="dxa"/>
                </w:tcPr>
                <w:p w14:paraId="21218A80" w14:textId="77777777" w:rsidR="007475D6" w:rsidRDefault="007475D6" w:rsidP="00065BFD">
                  <w:pPr>
                    <w:jc w:val="center"/>
                    <w:rPr>
                      <w:rFonts w:ascii="Arial" w:hAnsi="Arial" w:cs="Arial"/>
                      <w:sz w:val="20"/>
                    </w:rPr>
                  </w:pPr>
                </w:p>
                <w:p w14:paraId="6C96573A" w14:textId="7EFFD15D" w:rsidR="00546E27" w:rsidRDefault="00DA4085" w:rsidP="00065BFD">
                  <w:pPr>
                    <w:jc w:val="center"/>
                    <w:rPr>
                      <w:rFonts w:ascii="Arial" w:hAnsi="Arial" w:cs="Arial"/>
                      <w:sz w:val="20"/>
                    </w:rPr>
                  </w:pPr>
                  <w:r>
                    <w:rPr>
                      <w:rFonts w:ascii="Arial" w:hAnsi="Arial" w:cs="Arial"/>
                      <w:sz w:val="20"/>
                    </w:rPr>
                    <w:t>2</w:t>
                  </w:r>
                </w:p>
              </w:tc>
              <w:tc>
                <w:tcPr>
                  <w:tcW w:w="2441" w:type="dxa"/>
                </w:tcPr>
                <w:p w14:paraId="5E9D2CF3" w14:textId="77777777" w:rsidR="00546E27" w:rsidRPr="008A3FC8" w:rsidRDefault="00546E27" w:rsidP="00065BF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p w14:paraId="1D3ABA2C" w14:textId="678352CF" w:rsidR="009F23D3" w:rsidRPr="00E56027" w:rsidRDefault="00BB09FE" w:rsidP="00C7656D">
      <w:pPr>
        <w:spacing w:after="200" w:line="276" w:lineRule="auto"/>
        <w:rPr>
          <w:rFonts w:ascii="Arial" w:hAnsi="Arial" w:cs="Arial"/>
          <w:bCs/>
          <w:sz w:val="22"/>
        </w:rPr>
      </w:pPr>
      <w:r>
        <w:rPr>
          <w:rFonts w:ascii="Arial" w:hAnsi="Arial" w:cs="Arial"/>
          <w:bCs/>
          <w:sz w:val="22"/>
        </w:rPr>
        <w:t>2.5% penalty will apply</w:t>
      </w: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2BB16AF5"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r w:rsidR="00D72846" w:rsidRPr="00337B1F">
              <w:rPr>
                <w:rFonts w:ascii="Arial" w:eastAsia="Calibri" w:hAnsi="Arial" w:cs="Arial"/>
                <w:sz w:val="20"/>
                <w:lang w:val="en-ZA"/>
              </w:rPr>
              <w:t>measuring,</w:t>
            </w:r>
            <w:r w:rsidRPr="00337B1F">
              <w:rPr>
                <w:rFonts w:ascii="Arial" w:eastAsia="Calibri" w:hAnsi="Arial" w:cs="Arial"/>
                <w:sz w:val="20"/>
                <w:lang w:val="en-ZA"/>
              </w:rPr>
              <w:t xml:space="preserve"> and reporting on the supplier’s progress in delivering on their stated SDL&amp;I commitments</w:t>
            </w:r>
          </w:p>
        </w:tc>
      </w:tr>
    </w:tbl>
    <w:p w14:paraId="67F54BEC" w14:textId="4CCA6889" w:rsidR="00140917" w:rsidRDefault="00140917" w:rsidP="00EB6A30">
      <w:pPr>
        <w:spacing w:after="120" w:line="276" w:lineRule="auto"/>
        <w:rPr>
          <w:rFonts w:ascii="Arial" w:hAnsi="Arial" w:cs="Arial"/>
          <w:b/>
          <w:sz w:val="22"/>
        </w:rPr>
      </w:pPr>
    </w:p>
    <w:p w14:paraId="0C191CF3" w14:textId="340CB15B" w:rsidR="009611DC" w:rsidRDefault="009611DC" w:rsidP="00EB6A30">
      <w:pPr>
        <w:spacing w:after="120" w:line="276" w:lineRule="auto"/>
        <w:rPr>
          <w:rFonts w:ascii="Arial" w:hAnsi="Arial" w:cs="Arial"/>
          <w:b/>
          <w:sz w:val="22"/>
        </w:rPr>
      </w:pPr>
    </w:p>
    <w:p w14:paraId="65FCC7F3" w14:textId="2D8F9197" w:rsidR="00CA65D2" w:rsidRDefault="00CA65D2" w:rsidP="00EB6A30">
      <w:pPr>
        <w:spacing w:after="120" w:line="276" w:lineRule="auto"/>
        <w:rPr>
          <w:rFonts w:ascii="Arial" w:hAnsi="Arial" w:cs="Arial"/>
          <w:b/>
          <w:sz w:val="22"/>
        </w:rPr>
      </w:pPr>
    </w:p>
    <w:p w14:paraId="77D11F4D" w14:textId="77777777" w:rsidR="00CA65D2" w:rsidRDefault="00CA65D2"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lastRenderedPageBreak/>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BB09FE" w:rsidRPr="006260D8" w14:paraId="69C69B0E" w14:textId="77777777" w:rsidTr="00A56B15">
        <w:tc>
          <w:tcPr>
            <w:tcW w:w="9050" w:type="dxa"/>
            <w:gridSpan w:val="2"/>
            <w:shd w:val="clear" w:color="auto" w:fill="000000"/>
          </w:tcPr>
          <w:p w14:paraId="56BE9E2A" w14:textId="77777777" w:rsidR="00BB09FE" w:rsidRPr="0039219D" w:rsidRDefault="00BB09FE" w:rsidP="00A56B15">
            <w:pPr>
              <w:tabs>
                <w:tab w:val="left" w:pos="720"/>
              </w:tabs>
              <w:jc w:val="both"/>
              <w:rPr>
                <w:rFonts w:ascii="Arial" w:hAnsi="Arial" w:cs="Arial"/>
              </w:rPr>
            </w:pPr>
            <w:r w:rsidRPr="0039219D">
              <w:rPr>
                <w:rFonts w:ascii="Arial" w:hAnsi="Arial" w:cs="Arial"/>
              </w:rPr>
              <w:t xml:space="preserve">The following information demonstrates market analysis and </w:t>
            </w:r>
            <w:proofErr w:type="gramStart"/>
            <w:r w:rsidRPr="0039219D">
              <w:rPr>
                <w:rFonts w:ascii="Arial" w:hAnsi="Arial" w:cs="Arial"/>
              </w:rPr>
              <w:t>assisted</w:t>
            </w:r>
            <w:proofErr w:type="gramEnd"/>
            <w:r w:rsidRPr="0039219D">
              <w:rPr>
                <w:rFonts w:ascii="Arial" w:hAnsi="Arial" w:cs="Arial"/>
              </w:rPr>
              <w:t xml:space="preserve"> i</w:t>
            </w:r>
            <w:r>
              <w:rPr>
                <w:rFonts w:ascii="Arial" w:hAnsi="Arial" w:cs="Arial"/>
              </w:rPr>
              <w:t>n arriving at the targets above:</w:t>
            </w:r>
            <w:r w:rsidRPr="0039219D">
              <w:t xml:space="preserve"> </w:t>
            </w:r>
          </w:p>
        </w:tc>
      </w:tr>
      <w:tr w:rsidR="00BB09FE" w:rsidRPr="000C5130" w14:paraId="36E58317" w14:textId="77777777" w:rsidTr="009F23D3">
        <w:trPr>
          <w:trHeight w:val="760"/>
        </w:trPr>
        <w:tc>
          <w:tcPr>
            <w:tcW w:w="4565" w:type="dxa"/>
            <w:shd w:val="clear" w:color="auto" w:fill="auto"/>
          </w:tcPr>
          <w:p w14:paraId="7CA65336" w14:textId="4730F182" w:rsidR="00BB09FE" w:rsidRPr="009F23D3" w:rsidRDefault="00BB09FE" w:rsidP="00A56B15">
            <w:pPr>
              <w:tabs>
                <w:tab w:val="left" w:pos="720"/>
              </w:tabs>
              <w:jc w:val="both"/>
              <w:rPr>
                <w:rFonts w:ascii="Arial" w:hAnsi="Arial" w:cs="Arial"/>
                <w:u w:val="single"/>
              </w:rPr>
            </w:pPr>
            <w:r w:rsidRPr="0039219D">
              <w:rPr>
                <w:rFonts w:ascii="Arial" w:hAnsi="Arial" w:cs="Arial"/>
                <w:u w:val="single"/>
              </w:rPr>
              <w:t xml:space="preserve">Current Suppliers Providing the Services </w:t>
            </w:r>
          </w:p>
          <w:p w14:paraId="42355C54" w14:textId="17EA5E44" w:rsidR="00BB09FE" w:rsidRPr="0039219D" w:rsidRDefault="009F23D3" w:rsidP="00A56B15">
            <w:pPr>
              <w:tabs>
                <w:tab w:val="left" w:pos="720"/>
              </w:tabs>
              <w:jc w:val="both"/>
              <w:rPr>
                <w:rFonts w:ascii="Arial" w:hAnsi="Arial" w:cs="Arial"/>
              </w:rPr>
            </w:pPr>
            <w:r>
              <w:rPr>
                <w:rFonts w:ascii="Arial" w:hAnsi="Arial" w:cs="Arial"/>
              </w:rPr>
              <w:t xml:space="preserve">      Open Market</w:t>
            </w:r>
          </w:p>
        </w:tc>
        <w:tc>
          <w:tcPr>
            <w:tcW w:w="4485" w:type="dxa"/>
            <w:shd w:val="clear" w:color="auto" w:fill="auto"/>
          </w:tcPr>
          <w:p w14:paraId="1423D05E" w14:textId="77777777" w:rsidR="00BB09FE" w:rsidRPr="0039219D" w:rsidRDefault="00BB09FE" w:rsidP="00A56B15">
            <w:pPr>
              <w:tabs>
                <w:tab w:val="left" w:pos="720"/>
              </w:tabs>
              <w:jc w:val="both"/>
              <w:rPr>
                <w:rFonts w:ascii="Arial" w:hAnsi="Arial" w:cs="Arial"/>
                <w:u w:val="single"/>
              </w:rPr>
            </w:pPr>
            <w:r w:rsidRPr="0039219D">
              <w:rPr>
                <w:rFonts w:ascii="Arial" w:hAnsi="Arial" w:cs="Arial"/>
                <w:u w:val="single"/>
              </w:rPr>
              <w:t xml:space="preserve">Potential Suppliers </w:t>
            </w:r>
          </w:p>
          <w:p w14:paraId="49AAC21C" w14:textId="5816CBF1" w:rsidR="00BB09FE" w:rsidRPr="009F23D3" w:rsidRDefault="009F23D3" w:rsidP="009F23D3">
            <w:pPr>
              <w:rPr>
                <w:rFonts w:ascii="Arial" w:hAnsi="Arial" w:cs="Arial"/>
              </w:rPr>
            </w:pPr>
            <w:r w:rsidRPr="009F23D3">
              <w:rPr>
                <w:rFonts w:ascii="Arial" w:hAnsi="Arial" w:cs="Arial"/>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438A9D09" w14:textId="37B72E2C"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400"/>
        <w:gridCol w:w="108"/>
        <w:gridCol w:w="4400"/>
        <w:gridCol w:w="108"/>
        <w:gridCol w:w="4400"/>
        <w:gridCol w:w="108"/>
      </w:tblGrid>
      <w:tr w:rsidR="00637D14" w14:paraId="6E8F1A61" w14:textId="77777777" w:rsidTr="00BB09FE">
        <w:trPr>
          <w:gridBefore w:val="1"/>
          <w:wBefore w:w="108" w:type="dxa"/>
        </w:trPr>
        <w:tc>
          <w:tcPr>
            <w:tcW w:w="4508" w:type="dxa"/>
            <w:gridSpan w:val="2"/>
          </w:tcPr>
          <w:p w14:paraId="776322B8" w14:textId="7AFD2902" w:rsidR="00637D14" w:rsidRDefault="00637D14" w:rsidP="006E4F88">
            <w:pPr>
              <w:tabs>
                <w:tab w:val="left" w:pos="720"/>
              </w:tabs>
              <w:jc w:val="both"/>
              <w:rPr>
                <w:rFonts w:ascii="Arial" w:hAnsi="Arial" w:cs="Arial"/>
                <w:sz w:val="20"/>
              </w:rPr>
            </w:pPr>
          </w:p>
        </w:tc>
        <w:tc>
          <w:tcPr>
            <w:tcW w:w="4508" w:type="dxa"/>
            <w:gridSpan w:val="2"/>
          </w:tcPr>
          <w:p w14:paraId="3137E81A" w14:textId="77777777" w:rsidR="00637D14" w:rsidRDefault="00637D14" w:rsidP="00637D14">
            <w:pPr>
              <w:tabs>
                <w:tab w:val="left" w:pos="720"/>
              </w:tabs>
              <w:jc w:val="both"/>
              <w:rPr>
                <w:rFonts w:ascii="Arial" w:hAnsi="Arial" w:cs="Arial"/>
                <w:sz w:val="20"/>
              </w:rPr>
            </w:pPr>
          </w:p>
        </w:tc>
        <w:tc>
          <w:tcPr>
            <w:tcW w:w="4508" w:type="dxa"/>
            <w:gridSpan w:val="2"/>
          </w:tcPr>
          <w:p w14:paraId="48CFFFA4" w14:textId="77777777" w:rsidR="00637D14" w:rsidRDefault="00637D14" w:rsidP="00304117">
            <w:pPr>
              <w:tabs>
                <w:tab w:val="left" w:pos="720"/>
              </w:tabs>
              <w:jc w:val="both"/>
              <w:rPr>
                <w:rFonts w:ascii="Arial" w:hAnsi="Arial" w:cs="Arial"/>
                <w:sz w:val="20"/>
              </w:rPr>
            </w:pPr>
          </w:p>
        </w:tc>
      </w:tr>
      <w:tr w:rsidR="009611DC" w14:paraId="6D502208" w14:textId="77777777" w:rsidTr="00BB09FE">
        <w:trPr>
          <w:gridAfter w:val="1"/>
          <w:wAfter w:w="108" w:type="dxa"/>
        </w:trPr>
        <w:tc>
          <w:tcPr>
            <w:tcW w:w="4508" w:type="dxa"/>
            <w:gridSpan w:val="2"/>
          </w:tcPr>
          <w:p w14:paraId="6BA5DBB6" w14:textId="77777777" w:rsidR="009611DC" w:rsidRDefault="009611DC" w:rsidP="009611DC">
            <w:pPr>
              <w:tabs>
                <w:tab w:val="left" w:pos="720"/>
              </w:tabs>
              <w:jc w:val="both"/>
              <w:rPr>
                <w:rFonts w:ascii="Arial" w:hAnsi="Arial" w:cs="Arial"/>
                <w:sz w:val="20"/>
              </w:rPr>
            </w:pPr>
            <w:r w:rsidRPr="000C5130">
              <w:rPr>
                <w:rFonts w:ascii="Arial" w:hAnsi="Arial" w:cs="Arial"/>
                <w:sz w:val="20"/>
              </w:rPr>
              <w:t>Compiled by:</w:t>
            </w:r>
          </w:p>
        </w:tc>
        <w:tc>
          <w:tcPr>
            <w:tcW w:w="4508" w:type="dxa"/>
            <w:gridSpan w:val="2"/>
          </w:tcPr>
          <w:p w14:paraId="54EABF5D" w14:textId="41BFCD0A" w:rsidR="009611DC" w:rsidRDefault="009611DC" w:rsidP="009611DC">
            <w:pPr>
              <w:tabs>
                <w:tab w:val="left" w:pos="720"/>
              </w:tabs>
              <w:jc w:val="both"/>
              <w:rPr>
                <w:rFonts w:ascii="Arial" w:hAnsi="Arial" w:cs="Arial"/>
                <w:sz w:val="20"/>
              </w:rPr>
            </w:pPr>
            <w:r>
              <w:rPr>
                <w:rFonts w:ascii="Arial" w:hAnsi="Arial" w:cs="Arial"/>
                <w:sz w:val="20"/>
              </w:rPr>
              <w:t>Supported</w:t>
            </w:r>
            <w:r w:rsidRPr="000C5130">
              <w:rPr>
                <w:rFonts w:ascii="Arial" w:hAnsi="Arial" w:cs="Arial"/>
                <w:sz w:val="20"/>
              </w:rPr>
              <w:t xml:space="preserve"> by:</w:t>
            </w:r>
          </w:p>
        </w:tc>
        <w:tc>
          <w:tcPr>
            <w:tcW w:w="4508" w:type="dxa"/>
            <w:gridSpan w:val="2"/>
          </w:tcPr>
          <w:p w14:paraId="4CBC4281" w14:textId="77777777" w:rsidR="009611DC" w:rsidRDefault="009611DC" w:rsidP="009611DC">
            <w:pPr>
              <w:tabs>
                <w:tab w:val="left" w:pos="720"/>
              </w:tabs>
              <w:jc w:val="both"/>
              <w:rPr>
                <w:rFonts w:ascii="Arial" w:hAnsi="Arial" w:cs="Arial"/>
                <w:sz w:val="20"/>
              </w:rPr>
            </w:pPr>
            <w:r>
              <w:rPr>
                <w:rFonts w:ascii="Arial" w:hAnsi="Arial" w:cs="Arial"/>
                <w:sz w:val="20"/>
              </w:rPr>
              <w:t xml:space="preserve">            </w:t>
            </w:r>
          </w:p>
        </w:tc>
      </w:tr>
      <w:tr w:rsidR="009611DC" w:rsidRPr="00AC3774" w14:paraId="5FF00FD2" w14:textId="77777777" w:rsidTr="00BB09FE">
        <w:trPr>
          <w:gridAfter w:val="1"/>
          <w:wAfter w:w="108" w:type="dxa"/>
        </w:trPr>
        <w:tc>
          <w:tcPr>
            <w:tcW w:w="4508" w:type="dxa"/>
            <w:gridSpan w:val="2"/>
          </w:tcPr>
          <w:p w14:paraId="36367E93" w14:textId="77777777" w:rsidR="009611DC" w:rsidRPr="00AC3774" w:rsidRDefault="009611DC" w:rsidP="009611DC">
            <w:pPr>
              <w:tabs>
                <w:tab w:val="left" w:pos="720"/>
              </w:tabs>
              <w:jc w:val="both"/>
              <w:rPr>
                <w:rFonts w:ascii="Arial" w:hAnsi="Arial" w:cs="Arial"/>
                <w:sz w:val="20"/>
              </w:rPr>
            </w:pPr>
          </w:p>
          <w:p w14:paraId="6F61A4F0" w14:textId="77777777" w:rsidR="009611DC" w:rsidRPr="00AC3774" w:rsidRDefault="009611DC" w:rsidP="009611DC">
            <w:pPr>
              <w:tabs>
                <w:tab w:val="left" w:pos="720"/>
              </w:tabs>
              <w:jc w:val="both"/>
              <w:rPr>
                <w:rFonts w:ascii="Arial" w:hAnsi="Arial" w:cs="Arial"/>
                <w:sz w:val="20"/>
              </w:rPr>
            </w:pPr>
            <w:r w:rsidRPr="00AC3774">
              <w:rPr>
                <w:rFonts w:ascii="Arial" w:hAnsi="Arial" w:cs="Arial"/>
                <w:sz w:val="20"/>
              </w:rPr>
              <w:t>……………………………..</w:t>
            </w:r>
          </w:p>
          <w:p w14:paraId="10017FB4" w14:textId="77777777" w:rsidR="009611DC" w:rsidRPr="00AC3774" w:rsidRDefault="009611DC" w:rsidP="009611DC">
            <w:pPr>
              <w:tabs>
                <w:tab w:val="left" w:pos="720"/>
              </w:tabs>
              <w:jc w:val="both"/>
              <w:rPr>
                <w:rFonts w:ascii="Arial" w:hAnsi="Arial" w:cs="Arial"/>
                <w:sz w:val="20"/>
              </w:rPr>
            </w:pPr>
            <w:r>
              <w:rPr>
                <w:rFonts w:ascii="Arial" w:hAnsi="Arial" w:cs="Arial"/>
                <w:sz w:val="20"/>
              </w:rPr>
              <w:t>Johannes Myanga</w:t>
            </w:r>
          </w:p>
        </w:tc>
        <w:tc>
          <w:tcPr>
            <w:tcW w:w="4508" w:type="dxa"/>
            <w:gridSpan w:val="2"/>
          </w:tcPr>
          <w:p w14:paraId="65CC97C2" w14:textId="77777777" w:rsidR="009611DC" w:rsidRPr="00AC3774" w:rsidRDefault="009611DC" w:rsidP="009611DC">
            <w:pPr>
              <w:tabs>
                <w:tab w:val="left" w:pos="720"/>
              </w:tabs>
              <w:jc w:val="both"/>
              <w:rPr>
                <w:rFonts w:ascii="Arial" w:hAnsi="Arial" w:cs="Arial"/>
                <w:sz w:val="20"/>
              </w:rPr>
            </w:pPr>
          </w:p>
          <w:p w14:paraId="74E6DAF2" w14:textId="77777777" w:rsidR="009611DC" w:rsidRPr="00AC3774" w:rsidRDefault="009611DC" w:rsidP="009611DC">
            <w:pPr>
              <w:tabs>
                <w:tab w:val="left" w:pos="720"/>
              </w:tabs>
              <w:jc w:val="both"/>
              <w:rPr>
                <w:rFonts w:ascii="Arial" w:hAnsi="Arial" w:cs="Arial"/>
                <w:sz w:val="20"/>
              </w:rPr>
            </w:pPr>
            <w:r w:rsidRPr="00AC3774">
              <w:rPr>
                <w:rFonts w:ascii="Arial" w:hAnsi="Arial" w:cs="Arial"/>
                <w:sz w:val="20"/>
              </w:rPr>
              <w:t>……………………………..</w:t>
            </w:r>
          </w:p>
          <w:p w14:paraId="487569FA" w14:textId="248E5125" w:rsidR="009611DC" w:rsidRPr="00AC3774" w:rsidRDefault="009611DC" w:rsidP="009611DC">
            <w:pPr>
              <w:tabs>
                <w:tab w:val="left" w:pos="720"/>
              </w:tabs>
              <w:jc w:val="both"/>
              <w:rPr>
                <w:rFonts w:ascii="Arial" w:hAnsi="Arial" w:cs="Arial"/>
                <w:sz w:val="20"/>
              </w:rPr>
            </w:pPr>
            <w:r>
              <w:rPr>
                <w:rFonts w:ascii="Arial" w:hAnsi="Arial" w:cs="Arial"/>
                <w:sz w:val="20"/>
              </w:rPr>
              <w:t>David Pule</w:t>
            </w:r>
          </w:p>
        </w:tc>
        <w:tc>
          <w:tcPr>
            <w:tcW w:w="4508" w:type="dxa"/>
            <w:gridSpan w:val="2"/>
          </w:tcPr>
          <w:p w14:paraId="5B6F828C" w14:textId="77777777" w:rsidR="009611DC" w:rsidRPr="00AC3774" w:rsidRDefault="009611DC" w:rsidP="009611DC">
            <w:pPr>
              <w:tabs>
                <w:tab w:val="left" w:pos="720"/>
              </w:tabs>
              <w:jc w:val="both"/>
              <w:rPr>
                <w:rFonts w:ascii="Arial" w:hAnsi="Arial" w:cs="Arial"/>
                <w:sz w:val="20"/>
              </w:rPr>
            </w:pPr>
          </w:p>
        </w:tc>
      </w:tr>
      <w:tr w:rsidR="009611DC" w:rsidRPr="00AC3774" w14:paraId="1371E9CA" w14:textId="77777777" w:rsidTr="00BB09FE">
        <w:trPr>
          <w:gridAfter w:val="1"/>
          <w:wAfter w:w="108" w:type="dxa"/>
        </w:trPr>
        <w:tc>
          <w:tcPr>
            <w:tcW w:w="4508" w:type="dxa"/>
            <w:gridSpan w:val="2"/>
          </w:tcPr>
          <w:p w14:paraId="179BD8C3" w14:textId="77777777" w:rsidR="009611DC" w:rsidRPr="00AC3774" w:rsidRDefault="009611DC" w:rsidP="009611DC">
            <w:pPr>
              <w:tabs>
                <w:tab w:val="left" w:pos="720"/>
              </w:tabs>
              <w:jc w:val="both"/>
              <w:rPr>
                <w:rFonts w:ascii="Arial" w:hAnsi="Arial" w:cs="Arial"/>
                <w:sz w:val="20"/>
              </w:rPr>
            </w:pPr>
            <w:r w:rsidRPr="00AC3774">
              <w:rPr>
                <w:rFonts w:ascii="Arial" w:hAnsi="Arial" w:cs="Arial"/>
                <w:sz w:val="20"/>
              </w:rPr>
              <w:t>Advisor</w:t>
            </w:r>
          </w:p>
          <w:p w14:paraId="50D772C7" w14:textId="77777777" w:rsidR="009611DC" w:rsidRPr="00AC3774" w:rsidRDefault="009611DC" w:rsidP="009611DC">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r w:rsidRPr="00AC3774">
              <w:rPr>
                <w:rFonts w:ascii="Arial" w:hAnsi="Arial" w:cs="Arial"/>
                <w:sz w:val="20"/>
              </w:rPr>
              <w:t>Localization</w:t>
            </w:r>
            <w:r>
              <w:rPr>
                <w:rFonts w:ascii="Arial" w:hAnsi="Arial" w:cs="Arial"/>
                <w:sz w:val="20"/>
              </w:rPr>
              <w:t xml:space="preserve"> and Industrialization</w:t>
            </w:r>
          </w:p>
        </w:tc>
        <w:tc>
          <w:tcPr>
            <w:tcW w:w="4508" w:type="dxa"/>
            <w:gridSpan w:val="2"/>
          </w:tcPr>
          <w:p w14:paraId="26AD37D4" w14:textId="2DD3A6A3" w:rsidR="009611DC" w:rsidRPr="00AC3774" w:rsidRDefault="009611DC" w:rsidP="009611DC">
            <w:pPr>
              <w:tabs>
                <w:tab w:val="left" w:pos="720"/>
              </w:tabs>
              <w:jc w:val="both"/>
              <w:rPr>
                <w:rFonts w:ascii="Arial" w:hAnsi="Arial" w:cs="Arial"/>
                <w:sz w:val="20"/>
              </w:rPr>
            </w:pPr>
            <w:r>
              <w:rPr>
                <w:rFonts w:ascii="Arial" w:hAnsi="Arial" w:cs="Arial"/>
                <w:sz w:val="20"/>
              </w:rPr>
              <w:t>Middle Manager</w:t>
            </w:r>
          </w:p>
          <w:p w14:paraId="6486F25E" w14:textId="5E437D4E" w:rsidR="009611DC" w:rsidRPr="00AC3774" w:rsidRDefault="009611DC" w:rsidP="009611DC">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xml:space="preserve">, </w:t>
            </w:r>
            <w:r w:rsidRPr="00AC3774">
              <w:rPr>
                <w:rFonts w:ascii="Arial" w:hAnsi="Arial" w:cs="Arial"/>
                <w:sz w:val="20"/>
              </w:rPr>
              <w:t>Localization</w:t>
            </w:r>
            <w:r>
              <w:rPr>
                <w:rFonts w:ascii="Arial" w:hAnsi="Arial" w:cs="Arial"/>
                <w:sz w:val="20"/>
              </w:rPr>
              <w:t xml:space="preserve"> and Industrialization</w:t>
            </w:r>
          </w:p>
        </w:tc>
        <w:tc>
          <w:tcPr>
            <w:tcW w:w="4508" w:type="dxa"/>
            <w:gridSpan w:val="2"/>
          </w:tcPr>
          <w:p w14:paraId="280CF078" w14:textId="77777777" w:rsidR="009611DC" w:rsidRPr="00AC3774" w:rsidRDefault="009611DC" w:rsidP="009611DC">
            <w:pPr>
              <w:tabs>
                <w:tab w:val="left" w:pos="720"/>
              </w:tabs>
              <w:rPr>
                <w:rFonts w:ascii="Arial" w:hAnsi="Arial" w:cs="Arial"/>
                <w:sz w:val="20"/>
              </w:rPr>
            </w:pPr>
          </w:p>
        </w:tc>
      </w:tr>
      <w:tr w:rsidR="009611DC" w14:paraId="1421C718" w14:textId="77777777" w:rsidTr="00BB09FE">
        <w:trPr>
          <w:gridAfter w:val="1"/>
          <w:wAfter w:w="108" w:type="dxa"/>
        </w:trPr>
        <w:tc>
          <w:tcPr>
            <w:tcW w:w="4508" w:type="dxa"/>
            <w:gridSpan w:val="2"/>
          </w:tcPr>
          <w:p w14:paraId="142294B8" w14:textId="77777777" w:rsidR="009611DC" w:rsidRPr="00AC3774" w:rsidRDefault="009611DC" w:rsidP="009611DC">
            <w:pPr>
              <w:tabs>
                <w:tab w:val="left" w:pos="720"/>
              </w:tabs>
              <w:jc w:val="both"/>
              <w:rPr>
                <w:rFonts w:ascii="Arial" w:hAnsi="Arial" w:cs="Arial"/>
                <w:sz w:val="20"/>
              </w:rPr>
            </w:pPr>
          </w:p>
          <w:p w14:paraId="0DB02260" w14:textId="77777777" w:rsidR="009611DC" w:rsidRPr="00AC3774" w:rsidRDefault="009611DC" w:rsidP="009611DC">
            <w:pPr>
              <w:tabs>
                <w:tab w:val="left" w:pos="720"/>
              </w:tabs>
              <w:jc w:val="both"/>
              <w:rPr>
                <w:rFonts w:ascii="Arial" w:hAnsi="Arial" w:cs="Arial"/>
                <w:sz w:val="20"/>
              </w:rPr>
            </w:pPr>
            <w:r w:rsidRPr="00AC3774">
              <w:rPr>
                <w:rFonts w:ascii="Arial" w:hAnsi="Arial" w:cs="Arial"/>
                <w:sz w:val="20"/>
              </w:rPr>
              <w:t>Date……………………………………………</w:t>
            </w:r>
          </w:p>
        </w:tc>
        <w:tc>
          <w:tcPr>
            <w:tcW w:w="4508" w:type="dxa"/>
            <w:gridSpan w:val="2"/>
          </w:tcPr>
          <w:p w14:paraId="5E2B0981" w14:textId="77777777" w:rsidR="009611DC" w:rsidRPr="00AC3774" w:rsidRDefault="009611DC" w:rsidP="009611DC">
            <w:pPr>
              <w:tabs>
                <w:tab w:val="left" w:pos="720"/>
              </w:tabs>
              <w:jc w:val="both"/>
              <w:rPr>
                <w:rFonts w:ascii="Arial" w:hAnsi="Arial" w:cs="Arial"/>
                <w:sz w:val="20"/>
              </w:rPr>
            </w:pPr>
          </w:p>
          <w:p w14:paraId="2023F829" w14:textId="3418707B" w:rsidR="009611DC" w:rsidRPr="00AC3774" w:rsidRDefault="009611DC" w:rsidP="009611DC">
            <w:pPr>
              <w:tabs>
                <w:tab w:val="left" w:pos="720"/>
              </w:tabs>
              <w:jc w:val="both"/>
              <w:rPr>
                <w:rFonts w:ascii="Arial" w:hAnsi="Arial" w:cs="Arial"/>
                <w:sz w:val="20"/>
              </w:rPr>
            </w:pPr>
            <w:r w:rsidRPr="00AC3774">
              <w:rPr>
                <w:rFonts w:ascii="Arial" w:hAnsi="Arial" w:cs="Arial"/>
                <w:sz w:val="20"/>
              </w:rPr>
              <w:t>Date……………………………………………</w:t>
            </w:r>
          </w:p>
        </w:tc>
        <w:tc>
          <w:tcPr>
            <w:tcW w:w="4508" w:type="dxa"/>
            <w:gridSpan w:val="2"/>
          </w:tcPr>
          <w:p w14:paraId="1EF4104B" w14:textId="77777777" w:rsidR="009611DC" w:rsidRPr="00AC3774" w:rsidRDefault="009611DC" w:rsidP="009611DC">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C131" w14:textId="77777777" w:rsidR="00222685" w:rsidRDefault="00222685" w:rsidP="00201A98">
      <w:r>
        <w:separator/>
      </w:r>
    </w:p>
  </w:endnote>
  <w:endnote w:type="continuationSeparator" w:id="0">
    <w:p w14:paraId="6CD3DF75" w14:textId="77777777" w:rsidR="00222685" w:rsidRDefault="0022268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2C27" w14:textId="77777777" w:rsidR="00222685" w:rsidRDefault="00222685" w:rsidP="00201A98">
      <w:r>
        <w:separator/>
      </w:r>
    </w:p>
  </w:footnote>
  <w:footnote w:type="continuationSeparator" w:id="0">
    <w:p w14:paraId="4870538D" w14:textId="77777777" w:rsidR="00222685" w:rsidRDefault="0022268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6024800"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CA468A"/>
    <w:multiLevelType w:val="hybridMultilevel"/>
    <w:tmpl w:val="A238C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7527138"/>
    <w:multiLevelType w:val="hybridMultilevel"/>
    <w:tmpl w:val="9B40672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FF42677"/>
    <w:multiLevelType w:val="hybridMultilevel"/>
    <w:tmpl w:val="CB0AD0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3"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5B1F01EF"/>
    <w:multiLevelType w:val="hybridMultilevel"/>
    <w:tmpl w:val="A55C6D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8"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690A1F"/>
    <w:multiLevelType w:val="hybridMultilevel"/>
    <w:tmpl w:val="E30AA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3"/>
  </w:num>
  <w:num w:numId="3" w16cid:durableId="1636983690">
    <w:abstractNumId w:val="35"/>
  </w:num>
  <w:num w:numId="4" w16cid:durableId="1049838470">
    <w:abstractNumId w:val="4"/>
  </w:num>
  <w:num w:numId="5" w16cid:durableId="747270413">
    <w:abstractNumId w:val="16"/>
  </w:num>
  <w:num w:numId="6" w16cid:durableId="298614127">
    <w:abstractNumId w:val="20"/>
  </w:num>
  <w:num w:numId="7" w16cid:durableId="886451534">
    <w:abstractNumId w:val="42"/>
  </w:num>
  <w:num w:numId="8" w16cid:durableId="1364016205">
    <w:abstractNumId w:val="7"/>
  </w:num>
  <w:num w:numId="9" w16cid:durableId="501093778">
    <w:abstractNumId w:val="24"/>
  </w:num>
  <w:num w:numId="10" w16cid:durableId="296688292">
    <w:abstractNumId w:val="30"/>
  </w:num>
  <w:num w:numId="11" w16cid:durableId="1367868149">
    <w:abstractNumId w:val="38"/>
  </w:num>
  <w:num w:numId="12" w16cid:durableId="1739786048">
    <w:abstractNumId w:val="13"/>
  </w:num>
  <w:num w:numId="13" w16cid:durableId="621349608">
    <w:abstractNumId w:val="26"/>
  </w:num>
  <w:num w:numId="14" w16cid:durableId="416682265">
    <w:abstractNumId w:val="18"/>
  </w:num>
  <w:num w:numId="15" w16cid:durableId="867644372">
    <w:abstractNumId w:val="19"/>
  </w:num>
  <w:num w:numId="16" w16cid:durableId="1411199536">
    <w:abstractNumId w:val="2"/>
  </w:num>
  <w:num w:numId="17" w16cid:durableId="768938162">
    <w:abstractNumId w:val="22"/>
  </w:num>
  <w:num w:numId="18" w16cid:durableId="1103381334">
    <w:abstractNumId w:val="8"/>
  </w:num>
  <w:num w:numId="19" w16cid:durableId="1185709056">
    <w:abstractNumId w:val="32"/>
  </w:num>
  <w:num w:numId="20" w16cid:durableId="160703720">
    <w:abstractNumId w:val="14"/>
  </w:num>
  <w:num w:numId="21" w16cid:durableId="1083262651">
    <w:abstractNumId w:val="28"/>
  </w:num>
  <w:num w:numId="22" w16cid:durableId="594288937">
    <w:abstractNumId w:val="17"/>
  </w:num>
  <w:num w:numId="23" w16cid:durableId="137694747">
    <w:abstractNumId w:val="39"/>
  </w:num>
  <w:num w:numId="24" w16cid:durableId="1635332457">
    <w:abstractNumId w:val="23"/>
  </w:num>
  <w:num w:numId="25" w16cid:durableId="356195997">
    <w:abstractNumId w:val="12"/>
  </w:num>
  <w:num w:numId="26" w16cid:durableId="1068723575">
    <w:abstractNumId w:val="14"/>
  </w:num>
  <w:num w:numId="27" w16cid:durableId="1280183404">
    <w:abstractNumId w:val="46"/>
  </w:num>
  <w:num w:numId="28" w16cid:durableId="391970900">
    <w:abstractNumId w:val="29"/>
  </w:num>
  <w:num w:numId="29" w16cid:durableId="2142724945">
    <w:abstractNumId w:val="6"/>
  </w:num>
  <w:num w:numId="30" w16cid:durableId="1111973304">
    <w:abstractNumId w:val="36"/>
  </w:num>
  <w:num w:numId="31" w16cid:durableId="1998069011">
    <w:abstractNumId w:val="48"/>
  </w:num>
  <w:num w:numId="32" w16cid:durableId="1712143695">
    <w:abstractNumId w:val="44"/>
  </w:num>
  <w:num w:numId="33" w16cid:durableId="778767238">
    <w:abstractNumId w:val="37"/>
  </w:num>
  <w:num w:numId="34" w16cid:durableId="1249457635">
    <w:abstractNumId w:val="47"/>
  </w:num>
  <w:num w:numId="35" w16cid:durableId="1195466582">
    <w:abstractNumId w:val="21"/>
  </w:num>
  <w:num w:numId="36" w16cid:durableId="937130701">
    <w:abstractNumId w:val="45"/>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3"/>
  </w:num>
  <w:num w:numId="41" w16cid:durableId="986789375">
    <w:abstractNumId w:val="5"/>
  </w:num>
  <w:num w:numId="42" w16cid:durableId="733353706">
    <w:abstractNumId w:val="0"/>
  </w:num>
  <w:num w:numId="43" w16cid:durableId="859053093">
    <w:abstractNumId w:val="31"/>
  </w:num>
  <w:num w:numId="44" w16cid:durableId="2065517844">
    <w:abstractNumId w:val="1"/>
  </w:num>
  <w:num w:numId="45" w16cid:durableId="1979189320">
    <w:abstractNumId w:val="40"/>
  </w:num>
  <w:num w:numId="46" w16cid:durableId="2102526688">
    <w:abstractNumId w:val="25"/>
  </w:num>
  <w:num w:numId="47" w16cid:durableId="422265308">
    <w:abstractNumId w:val="41"/>
  </w:num>
  <w:num w:numId="48" w16cid:durableId="1299261426">
    <w:abstractNumId w:val="15"/>
  </w:num>
  <w:num w:numId="49" w16cid:durableId="2031293676">
    <w:abstractNumId w:val="34"/>
  </w:num>
  <w:num w:numId="50" w16cid:durableId="9031822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6251"/>
    <w:rsid w:val="00047FFA"/>
    <w:rsid w:val="00067DC9"/>
    <w:rsid w:val="00074C17"/>
    <w:rsid w:val="00077A57"/>
    <w:rsid w:val="0009108C"/>
    <w:rsid w:val="00097047"/>
    <w:rsid w:val="000A01FA"/>
    <w:rsid w:val="000A1908"/>
    <w:rsid w:val="000A386C"/>
    <w:rsid w:val="000A648D"/>
    <w:rsid w:val="000B165C"/>
    <w:rsid w:val="000B28F1"/>
    <w:rsid w:val="000B6B22"/>
    <w:rsid w:val="000B7D6D"/>
    <w:rsid w:val="000C33EB"/>
    <w:rsid w:val="000C6C73"/>
    <w:rsid w:val="000D4357"/>
    <w:rsid w:val="000D5A4A"/>
    <w:rsid w:val="000D6374"/>
    <w:rsid w:val="000E1AB5"/>
    <w:rsid w:val="000F2823"/>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A7B4B"/>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22685"/>
    <w:rsid w:val="00225D72"/>
    <w:rsid w:val="00226156"/>
    <w:rsid w:val="002319CA"/>
    <w:rsid w:val="002341C9"/>
    <w:rsid w:val="00253B8A"/>
    <w:rsid w:val="002632AA"/>
    <w:rsid w:val="00267F52"/>
    <w:rsid w:val="00270763"/>
    <w:rsid w:val="0027500D"/>
    <w:rsid w:val="002763F5"/>
    <w:rsid w:val="00276C45"/>
    <w:rsid w:val="0027700C"/>
    <w:rsid w:val="00280506"/>
    <w:rsid w:val="002855B7"/>
    <w:rsid w:val="00286C1A"/>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563E6"/>
    <w:rsid w:val="0036335D"/>
    <w:rsid w:val="003633CD"/>
    <w:rsid w:val="00370CE8"/>
    <w:rsid w:val="00373CF8"/>
    <w:rsid w:val="0037426F"/>
    <w:rsid w:val="0037609B"/>
    <w:rsid w:val="003832EE"/>
    <w:rsid w:val="003840F2"/>
    <w:rsid w:val="003914DE"/>
    <w:rsid w:val="0039219D"/>
    <w:rsid w:val="003B3ABD"/>
    <w:rsid w:val="003C07F4"/>
    <w:rsid w:val="003D3003"/>
    <w:rsid w:val="003D48B8"/>
    <w:rsid w:val="003D66FA"/>
    <w:rsid w:val="003D78F9"/>
    <w:rsid w:val="003E052A"/>
    <w:rsid w:val="003E4D3F"/>
    <w:rsid w:val="003F00C4"/>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B1E64"/>
    <w:rsid w:val="004B4FAB"/>
    <w:rsid w:val="004C3176"/>
    <w:rsid w:val="004C38A6"/>
    <w:rsid w:val="004D00A8"/>
    <w:rsid w:val="004D1602"/>
    <w:rsid w:val="004E19F4"/>
    <w:rsid w:val="004E6C33"/>
    <w:rsid w:val="004E77C0"/>
    <w:rsid w:val="004F07CB"/>
    <w:rsid w:val="004F117E"/>
    <w:rsid w:val="004F578D"/>
    <w:rsid w:val="00504CE2"/>
    <w:rsid w:val="00504EAB"/>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3D37"/>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1E0B"/>
    <w:rsid w:val="006A443E"/>
    <w:rsid w:val="006A55C5"/>
    <w:rsid w:val="006A7018"/>
    <w:rsid w:val="006A73A5"/>
    <w:rsid w:val="006B0DF7"/>
    <w:rsid w:val="006B3FA2"/>
    <w:rsid w:val="006B57DF"/>
    <w:rsid w:val="006C01E5"/>
    <w:rsid w:val="006C5DB9"/>
    <w:rsid w:val="006D07D5"/>
    <w:rsid w:val="006D6104"/>
    <w:rsid w:val="006E0940"/>
    <w:rsid w:val="006E14B5"/>
    <w:rsid w:val="006E1BFE"/>
    <w:rsid w:val="006E3F41"/>
    <w:rsid w:val="006E4F88"/>
    <w:rsid w:val="006E52BA"/>
    <w:rsid w:val="006F5D0A"/>
    <w:rsid w:val="006F7826"/>
    <w:rsid w:val="00702C96"/>
    <w:rsid w:val="007042EF"/>
    <w:rsid w:val="00705512"/>
    <w:rsid w:val="00707379"/>
    <w:rsid w:val="00713E63"/>
    <w:rsid w:val="00730262"/>
    <w:rsid w:val="00732A3F"/>
    <w:rsid w:val="00732BC4"/>
    <w:rsid w:val="00733FE1"/>
    <w:rsid w:val="007475D6"/>
    <w:rsid w:val="00761BE3"/>
    <w:rsid w:val="00766FB1"/>
    <w:rsid w:val="00766FE5"/>
    <w:rsid w:val="00784A54"/>
    <w:rsid w:val="00785295"/>
    <w:rsid w:val="00791C9C"/>
    <w:rsid w:val="00793EB5"/>
    <w:rsid w:val="0079769C"/>
    <w:rsid w:val="007A6DC8"/>
    <w:rsid w:val="007A6F13"/>
    <w:rsid w:val="007A77FC"/>
    <w:rsid w:val="007B57E6"/>
    <w:rsid w:val="007C0A56"/>
    <w:rsid w:val="007D4E0A"/>
    <w:rsid w:val="007D5975"/>
    <w:rsid w:val="007E0CE5"/>
    <w:rsid w:val="007E6759"/>
    <w:rsid w:val="007F15E3"/>
    <w:rsid w:val="007F54FB"/>
    <w:rsid w:val="007F61A8"/>
    <w:rsid w:val="00810BAA"/>
    <w:rsid w:val="00825B67"/>
    <w:rsid w:val="008279D0"/>
    <w:rsid w:val="008326AE"/>
    <w:rsid w:val="00844D86"/>
    <w:rsid w:val="0084573D"/>
    <w:rsid w:val="00845A4B"/>
    <w:rsid w:val="00847E72"/>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E36AF"/>
    <w:rsid w:val="008F3F79"/>
    <w:rsid w:val="008F5BEC"/>
    <w:rsid w:val="009017B9"/>
    <w:rsid w:val="00903604"/>
    <w:rsid w:val="00914474"/>
    <w:rsid w:val="009214A0"/>
    <w:rsid w:val="00924E22"/>
    <w:rsid w:val="00931DE5"/>
    <w:rsid w:val="00944D59"/>
    <w:rsid w:val="0095525E"/>
    <w:rsid w:val="009611DC"/>
    <w:rsid w:val="00965504"/>
    <w:rsid w:val="009677DD"/>
    <w:rsid w:val="00970379"/>
    <w:rsid w:val="00977B70"/>
    <w:rsid w:val="009801BA"/>
    <w:rsid w:val="009820F3"/>
    <w:rsid w:val="00990864"/>
    <w:rsid w:val="009A77EC"/>
    <w:rsid w:val="009B55B5"/>
    <w:rsid w:val="009D7CFB"/>
    <w:rsid w:val="009F23D3"/>
    <w:rsid w:val="009F3555"/>
    <w:rsid w:val="00A05C1D"/>
    <w:rsid w:val="00A111DA"/>
    <w:rsid w:val="00A22EF4"/>
    <w:rsid w:val="00A256F9"/>
    <w:rsid w:val="00A346F0"/>
    <w:rsid w:val="00A36904"/>
    <w:rsid w:val="00A4460B"/>
    <w:rsid w:val="00A473FA"/>
    <w:rsid w:val="00A532EE"/>
    <w:rsid w:val="00A552C8"/>
    <w:rsid w:val="00A651E0"/>
    <w:rsid w:val="00A6602E"/>
    <w:rsid w:val="00A67C16"/>
    <w:rsid w:val="00A72491"/>
    <w:rsid w:val="00A72A16"/>
    <w:rsid w:val="00A85C90"/>
    <w:rsid w:val="00A91CB3"/>
    <w:rsid w:val="00AA16F4"/>
    <w:rsid w:val="00AA2B11"/>
    <w:rsid w:val="00AA403D"/>
    <w:rsid w:val="00AB4D3B"/>
    <w:rsid w:val="00AB64E3"/>
    <w:rsid w:val="00AB650A"/>
    <w:rsid w:val="00AC3774"/>
    <w:rsid w:val="00AD3010"/>
    <w:rsid w:val="00AD784B"/>
    <w:rsid w:val="00AE7139"/>
    <w:rsid w:val="00AF1220"/>
    <w:rsid w:val="00AF35DE"/>
    <w:rsid w:val="00AF6824"/>
    <w:rsid w:val="00B00E72"/>
    <w:rsid w:val="00B0566F"/>
    <w:rsid w:val="00B16C39"/>
    <w:rsid w:val="00B263C0"/>
    <w:rsid w:val="00B3212E"/>
    <w:rsid w:val="00B32FC7"/>
    <w:rsid w:val="00B35AA2"/>
    <w:rsid w:val="00B44389"/>
    <w:rsid w:val="00B47EA0"/>
    <w:rsid w:val="00B54B80"/>
    <w:rsid w:val="00B57DBD"/>
    <w:rsid w:val="00B62924"/>
    <w:rsid w:val="00B70E33"/>
    <w:rsid w:val="00B729B9"/>
    <w:rsid w:val="00B858C1"/>
    <w:rsid w:val="00B85F6B"/>
    <w:rsid w:val="00B87303"/>
    <w:rsid w:val="00B87F1E"/>
    <w:rsid w:val="00B93602"/>
    <w:rsid w:val="00BA5C88"/>
    <w:rsid w:val="00BA68A0"/>
    <w:rsid w:val="00BB09FE"/>
    <w:rsid w:val="00BB6D00"/>
    <w:rsid w:val="00BC2207"/>
    <w:rsid w:val="00BC6F34"/>
    <w:rsid w:val="00BC7452"/>
    <w:rsid w:val="00BD2863"/>
    <w:rsid w:val="00BD5738"/>
    <w:rsid w:val="00BD65E2"/>
    <w:rsid w:val="00BE0CD8"/>
    <w:rsid w:val="00BE3DBD"/>
    <w:rsid w:val="00BE56E8"/>
    <w:rsid w:val="00BE6D5F"/>
    <w:rsid w:val="00BF476B"/>
    <w:rsid w:val="00BF7560"/>
    <w:rsid w:val="00C12D3D"/>
    <w:rsid w:val="00C2594A"/>
    <w:rsid w:val="00C2623C"/>
    <w:rsid w:val="00C26313"/>
    <w:rsid w:val="00C369AF"/>
    <w:rsid w:val="00C370AA"/>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5D2"/>
    <w:rsid w:val="00CA666C"/>
    <w:rsid w:val="00CA7AEF"/>
    <w:rsid w:val="00CB13D4"/>
    <w:rsid w:val="00CB3564"/>
    <w:rsid w:val="00CB3BE1"/>
    <w:rsid w:val="00CB4DCA"/>
    <w:rsid w:val="00CC4080"/>
    <w:rsid w:val="00CD787A"/>
    <w:rsid w:val="00CE00CF"/>
    <w:rsid w:val="00CE5EEE"/>
    <w:rsid w:val="00CF781D"/>
    <w:rsid w:val="00D01E36"/>
    <w:rsid w:val="00D04B3C"/>
    <w:rsid w:val="00D21895"/>
    <w:rsid w:val="00D227B3"/>
    <w:rsid w:val="00D2565A"/>
    <w:rsid w:val="00D32E5C"/>
    <w:rsid w:val="00D3660F"/>
    <w:rsid w:val="00D415A5"/>
    <w:rsid w:val="00D45AEE"/>
    <w:rsid w:val="00D479A6"/>
    <w:rsid w:val="00D51C58"/>
    <w:rsid w:val="00D5588B"/>
    <w:rsid w:val="00D60523"/>
    <w:rsid w:val="00D71719"/>
    <w:rsid w:val="00D72846"/>
    <w:rsid w:val="00D754CB"/>
    <w:rsid w:val="00D817F7"/>
    <w:rsid w:val="00D86CD2"/>
    <w:rsid w:val="00DA1B06"/>
    <w:rsid w:val="00DA3954"/>
    <w:rsid w:val="00DA4085"/>
    <w:rsid w:val="00DB22F3"/>
    <w:rsid w:val="00DB6A92"/>
    <w:rsid w:val="00DC3353"/>
    <w:rsid w:val="00DC39EA"/>
    <w:rsid w:val="00DC5AED"/>
    <w:rsid w:val="00DC6795"/>
    <w:rsid w:val="00DD4AD8"/>
    <w:rsid w:val="00DD5408"/>
    <w:rsid w:val="00DD7B12"/>
    <w:rsid w:val="00DE0808"/>
    <w:rsid w:val="00DE1928"/>
    <w:rsid w:val="00DE2368"/>
    <w:rsid w:val="00DF46B0"/>
    <w:rsid w:val="00E2355B"/>
    <w:rsid w:val="00E238C2"/>
    <w:rsid w:val="00E26D9A"/>
    <w:rsid w:val="00E35EB0"/>
    <w:rsid w:val="00E3774F"/>
    <w:rsid w:val="00E500CF"/>
    <w:rsid w:val="00E534E2"/>
    <w:rsid w:val="00E56027"/>
    <w:rsid w:val="00E701E5"/>
    <w:rsid w:val="00E71288"/>
    <w:rsid w:val="00E71A93"/>
    <w:rsid w:val="00E74D52"/>
    <w:rsid w:val="00E86B6C"/>
    <w:rsid w:val="00E90B24"/>
    <w:rsid w:val="00EA1B3D"/>
    <w:rsid w:val="00EA320B"/>
    <w:rsid w:val="00EA4206"/>
    <w:rsid w:val="00EA765D"/>
    <w:rsid w:val="00EB03A4"/>
    <w:rsid w:val="00EB20DA"/>
    <w:rsid w:val="00EB6A30"/>
    <w:rsid w:val="00EC662F"/>
    <w:rsid w:val="00ED3E4E"/>
    <w:rsid w:val="00EF279E"/>
    <w:rsid w:val="00EF2F58"/>
    <w:rsid w:val="00EF472B"/>
    <w:rsid w:val="00EF4E0F"/>
    <w:rsid w:val="00EF5055"/>
    <w:rsid w:val="00EF67B3"/>
    <w:rsid w:val="00EF6D03"/>
    <w:rsid w:val="00EF748F"/>
    <w:rsid w:val="00EF780B"/>
    <w:rsid w:val="00F009D7"/>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8415E"/>
    <w:rsid w:val="00F92697"/>
    <w:rsid w:val="00F9323F"/>
    <w:rsid w:val="00F9702A"/>
    <w:rsid w:val="00FA1238"/>
    <w:rsid w:val="00FA31B2"/>
    <w:rsid w:val="00FB1E51"/>
    <w:rsid w:val="00FB2E48"/>
    <w:rsid w:val="00FB3F38"/>
    <w:rsid w:val="00FC0343"/>
    <w:rsid w:val="00FD73A1"/>
    <w:rsid w:val="00FE27D9"/>
    <w:rsid w:val="00FE57AA"/>
    <w:rsid w:val="00FE6AD8"/>
    <w:rsid w:val="00FF6D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Innocentia Sibiya</cp:lastModifiedBy>
  <cp:revision>2</cp:revision>
  <cp:lastPrinted>2023-06-27T10:27:00Z</cp:lastPrinted>
  <dcterms:created xsi:type="dcterms:W3CDTF">2023-09-12T09:53:00Z</dcterms:created>
  <dcterms:modified xsi:type="dcterms:W3CDTF">2023-09-12T09:53:00Z</dcterms:modified>
</cp:coreProperties>
</file>