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9" w:type="dxa"/>
        <w:tblLook w:val="04A0" w:firstRow="1" w:lastRow="0" w:firstColumn="1" w:lastColumn="0" w:noHBand="0" w:noVBand="1"/>
      </w:tblPr>
      <w:tblGrid>
        <w:gridCol w:w="3114"/>
        <w:gridCol w:w="6365"/>
      </w:tblGrid>
      <w:tr w:rsidR="004D3228" w:rsidRPr="00CA1205" w14:paraId="5917A7D5" w14:textId="77777777" w:rsidTr="00C530CD">
        <w:trPr>
          <w:trHeight w:val="418"/>
        </w:trPr>
        <w:tc>
          <w:tcPr>
            <w:tcW w:w="3114" w:type="dxa"/>
          </w:tcPr>
          <w:p w14:paraId="5C8F45E2" w14:textId="77777777" w:rsidR="004D3228" w:rsidRPr="00EB6A30" w:rsidRDefault="004D3228" w:rsidP="00864E91">
            <w:pPr>
              <w:spacing w:before="60" w:after="60" w:line="276" w:lineRule="auto"/>
              <w:rPr>
                <w:rFonts w:ascii="Arial" w:hAnsi="Arial" w:cs="Arial"/>
                <w:b/>
                <w:sz w:val="22"/>
              </w:rPr>
            </w:pPr>
            <w:r w:rsidRPr="00EB6A30">
              <w:rPr>
                <w:rFonts w:ascii="Arial" w:hAnsi="Arial" w:cs="Arial"/>
                <w:b/>
                <w:sz w:val="22"/>
              </w:rPr>
              <w:t>Description/ Scope of Work</w:t>
            </w:r>
          </w:p>
        </w:tc>
        <w:tc>
          <w:tcPr>
            <w:tcW w:w="6365" w:type="dxa"/>
          </w:tcPr>
          <w:p w14:paraId="7F78D1DA" w14:textId="2761813A" w:rsidR="004D3228" w:rsidRPr="00CA1205" w:rsidRDefault="00C638B7" w:rsidP="00864E91">
            <w:pPr>
              <w:spacing w:line="360" w:lineRule="auto"/>
              <w:jc w:val="both"/>
              <w:rPr>
                <w:rFonts w:ascii="Arial" w:hAnsi="Arial" w:cs="Arial"/>
                <w:sz w:val="20"/>
              </w:rPr>
            </w:pPr>
            <w:r w:rsidRPr="0083199A">
              <w:rPr>
                <w:rFonts w:ascii="Arial" w:hAnsi="Arial" w:cs="Arial"/>
              </w:rPr>
              <w:t>Development of Safety animated video Clips</w:t>
            </w:r>
            <w:r w:rsidRPr="00726FE1">
              <w:rPr>
                <w:rFonts w:ascii="Arial" w:hAnsi="Arial" w:cs="Arial"/>
                <w:sz w:val="22"/>
                <w:szCs w:val="22"/>
                <w:lang w:val="en-ZA"/>
              </w:rPr>
              <w:t xml:space="preserve"> </w:t>
            </w:r>
          </w:p>
        </w:tc>
      </w:tr>
      <w:tr w:rsidR="004D3228" w:rsidRPr="00F0521B" w14:paraId="7C73D940" w14:textId="77777777" w:rsidTr="00C530CD">
        <w:trPr>
          <w:trHeight w:val="424"/>
        </w:trPr>
        <w:tc>
          <w:tcPr>
            <w:tcW w:w="3114" w:type="dxa"/>
          </w:tcPr>
          <w:p w14:paraId="7B8E7828" w14:textId="77777777" w:rsidR="004D3228" w:rsidRPr="00EB6A30" w:rsidRDefault="004D3228" w:rsidP="00864E91">
            <w:pPr>
              <w:spacing w:before="60" w:after="60" w:line="276" w:lineRule="auto"/>
              <w:rPr>
                <w:rFonts w:ascii="Arial" w:hAnsi="Arial" w:cs="Arial"/>
                <w:b/>
                <w:sz w:val="22"/>
              </w:rPr>
            </w:pPr>
            <w:r w:rsidRPr="00EB6A30">
              <w:rPr>
                <w:rFonts w:ascii="Arial" w:hAnsi="Arial" w:cs="Arial"/>
                <w:b/>
                <w:sz w:val="22"/>
              </w:rPr>
              <w:t>Duration of the Project</w:t>
            </w:r>
          </w:p>
        </w:tc>
        <w:tc>
          <w:tcPr>
            <w:tcW w:w="6365" w:type="dxa"/>
          </w:tcPr>
          <w:p w14:paraId="23A4984F" w14:textId="637CC9DE" w:rsidR="004D3228" w:rsidRPr="00F0521B" w:rsidRDefault="00C638B7" w:rsidP="00864E91">
            <w:pPr>
              <w:spacing w:before="60" w:after="60" w:line="276" w:lineRule="auto"/>
              <w:jc w:val="both"/>
              <w:rPr>
                <w:rFonts w:ascii="Arial" w:hAnsi="Arial" w:cs="Arial"/>
                <w:sz w:val="20"/>
              </w:rPr>
            </w:pPr>
            <w:r>
              <w:rPr>
                <w:rFonts w:ascii="Arial" w:hAnsi="Arial" w:cs="Arial"/>
                <w:sz w:val="20"/>
              </w:rPr>
              <w:t>5</w:t>
            </w:r>
            <w:r w:rsidR="004D3228">
              <w:rPr>
                <w:rFonts w:ascii="Arial" w:hAnsi="Arial" w:cs="Arial"/>
                <w:sz w:val="20"/>
              </w:rPr>
              <w:t xml:space="preserve"> years</w:t>
            </w:r>
          </w:p>
        </w:tc>
      </w:tr>
    </w:tbl>
    <w:p w14:paraId="7E0C69C0" w14:textId="1CE0B077" w:rsidR="00EB6A30" w:rsidRPr="00486F57" w:rsidRDefault="00EB6A30" w:rsidP="00EB6A30">
      <w:pPr>
        <w:spacing w:line="276" w:lineRule="auto"/>
        <w:rPr>
          <w:rFonts w:ascii="Arial" w:hAnsi="Arial" w:cs="Arial"/>
          <w:sz w:val="16"/>
          <w:szCs w:val="16"/>
        </w:rPr>
      </w:pPr>
    </w:p>
    <w:p w14:paraId="312DAC07" w14:textId="27B641FE" w:rsidR="00C51844" w:rsidRDefault="00C51844" w:rsidP="00C51844">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160E6373" w14:textId="77777777" w:rsidR="00026784" w:rsidRDefault="00026784" w:rsidP="00C51844">
      <w:pPr>
        <w:spacing w:before="60" w:after="60"/>
        <w:rPr>
          <w:rFonts w:ascii="Arial" w:hAnsi="Arial" w:cs="Arial"/>
          <w:b/>
        </w:rPr>
      </w:pPr>
    </w:p>
    <w:p w14:paraId="4109F2C4" w14:textId="77777777" w:rsidR="00026784" w:rsidRPr="00C91C74" w:rsidRDefault="00026784" w:rsidP="001A756E">
      <w:pPr>
        <w:spacing w:after="200" w:line="276" w:lineRule="auto"/>
        <w:contextualSpacing/>
        <w:jc w:val="both"/>
        <w:rPr>
          <w:rFonts w:ascii="Arial" w:hAnsi="Arial" w:cs="Arial"/>
          <w:bCs/>
          <w:sz w:val="20"/>
          <w:lang w:val="en-ZA"/>
        </w:rPr>
      </w:pPr>
      <w:bookmarkStart w:id="0" w:name="_Hlk124873248"/>
      <w:r w:rsidRPr="00C91C74">
        <w:rPr>
          <w:rFonts w:ascii="Arial" w:hAnsi="Arial" w:cs="Arial"/>
          <w:bCs/>
          <w:sz w:val="20"/>
          <w:lang w:val="en-ZA"/>
        </w:rPr>
        <w:t>A maximum of 10/20 points may be awarded to a tenderer for the specific goal specified for the</w:t>
      </w:r>
    </w:p>
    <w:p w14:paraId="35B327B0" w14:textId="77777777" w:rsidR="00026784" w:rsidRPr="00C91C74" w:rsidRDefault="00026784" w:rsidP="001A756E">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350666A7" w14:textId="77777777" w:rsidR="00026784" w:rsidRPr="00C91C74" w:rsidRDefault="00026784" w:rsidP="001A756E">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519CD4BB" w14:textId="5372458F" w:rsidR="00026784" w:rsidRPr="00C91C74" w:rsidRDefault="00026784" w:rsidP="001A756E">
      <w:pPr>
        <w:spacing w:after="200" w:line="276" w:lineRule="auto"/>
        <w:contextualSpacing/>
        <w:jc w:val="both"/>
        <w:rPr>
          <w:rFonts w:ascii="Arial" w:hAnsi="Arial" w:cs="Arial"/>
          <w:bCs/>
          <w:sz w:val="20"/>
          <w:lang w:val="en-ZA"/>
        </w:rPr>
      </w:pPr>
      <w:r w:rsidRPr="00C91C74">
        <w:rPr>
          <w:rFonts w:ascii="Arial" w:hAnsi="Arial" w:cs="Arial"/>
          <w:bCs/>
          <w:sz w:val="20"/>
          <w:lang w:val="en-ZA"/>
        </w:rPr>
        <w:t xml:space="preserve">Preferential Procurement Policy Framework Act, the contract must be awarded to the </w:t>
      </w:r>
      <w:r w:rsidR="00C638B7" w:rsidRPr="00C91C74">
        <w:rPr>
          <w:rFonts w:ascii="Arial" w:hAnsi="Arial" w:cs="Arial"/>
          <w:bCs/>
          <w:sz w:val="20"/>
          <w:lang w:val="en-ZA"/>
        </w:rPr>
        <w:t>tenderer.</w:t>
      </w:r>
    </w:p>
    <w:p w14:paraId="0899EF64" w14:textId="77777777" w:rsidR="00026784" w:rsidRDefault="00026784" w:rsidP="001A756E">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1481808F" w14:textId="77777777" w:rsidR="00026784" w:rsidRDefault="00026784" w:rsidP="00026784">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026784" w:rsidRPr="00D33E30" w14:paraId="175A899A" w14:textId="77777777" w:rsidTr="006F1733">
        <w:trPr>
          <w:trHeight w:val="863"/>
        </w:trPr>
        <w:tc>
          <w:tcPr>
            <w:tcW w:w="3391" w:type="dxa"/>
            <w:shd w:val="clear" w:color="auto" w:fill="C00000"/>
            <w:vAlign w:val="center"/>
          </w:tcPr>
          <w:p w14:paraId="472DAE63" w14:textId="77777777" w:rsidR="00026784" w:rsidRPr="00D33E30" w:rsidRDefault="00026784" w:rsidP="006F1733">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E87EDE6" w14:textId="77777777" w:rsidR="00026784" w:rsidRPr="00D33E30" w:rsidRDefault="00026784" w:rsidP="006F1733">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7FBE5389" w14:textId="77777777" w:rsidR="00026784" w:rsidRPr="00D33E30" w:rsidRDefault="00026784" w:rsidP="006F1733">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4397BDCF" w14:textId="77777777" w:rsidR="00026784" w:rsidRPr="00D33E30" w:rsidRDefault="00026784" w:rsidP="006F1733">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2F597E99" w14:textId="77777777" w:rsidR="00026784" w:rsidRPr="00D33E30" w:rsidRDefault="00026784" w:rsidP="006F1733">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026784" w:rsidRPr="00D33E30" w14:paraId="519D500D" w14:textId="77777777" w:rsidTr="006F1733">
        <w:trPr>
          <w:trHeight w:val="317"/>
        </w:trPr>
        <w:tc>
          <w:tcPr>
            <w:tcW w:w="3391" w:type="dxa"/>
            <w:shd w:val="clear" w:color="auto" w:fill="auto"/>
          </w:tcPr>
          <w:p w14:paraId="075DA081"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2DE33A40"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013E645F"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026784" w:rsidRPr="00D33E30" w14:paraId="517056ED" w14:textId="77777777" w:rsidTr="006F1733">
        <w:trPr>
          <w:trHeight w:val="317"/>
        </w:trPr>
        <w:tc>
          <w:tcPr>
            <w:tcW w:w="3391" w:type="dxa"/>
            <w:shd w:val="clear" w:color="auto" w:fill="auto"/>
          </w:tcPr>
          <w:p w14:paraId="1B14DDC4"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0A8C5B62"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459A7466"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026784" w:rsidRPr="00D33E30" w14:paraId="1B185B9F" w14:textId="77777777" w:rsidTr="006F1733">
        <w:trPr>
          <w:trHeight w:val="317"/>
        </w:trPr>
        <w:tc>
          <w:tcPr>
            <w:tcW w:w="3391" w:type="dxa"/>
            <w:shd w:val="clear" w:color="auto" w:fill="auto"/>
          </w:tcPr>
          <w:p w14:paraId="5DC3B530"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380ACC47"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114B9178"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026784" w:rsidRPr="00D33E30" w14:paraId="1FBDAB2E" w14:textId="77777777" w:rsidTr="006F1733">
        <w:trPr>
          <w:trHeight w:val="317"/>
        </w:trPr>
        <w:tc>
          <w:tcPr>
            <w:tcW w:w="3391" w:type="dxa"/>
            <w:shd w:val="clear" w:color="auto" w:fill="auto"/>
          </w:tcPr>
          <w:p w14:paraId="107FB0FD"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0DB5A5AB" w14:textId="77777777" w:rsidR="00026784" w:rsidRPr="00D33E30" w:rsidRDefault="00026784" w:rsidP="006F1733">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0CA136BD"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026784" w:rsidRPr="00D33E30" w14:paraId="242078F6" w14:textId="77777777" w:rsidTr="006F1733">
        <w:trPr>
          <w:trHeight w:val="317"/>
        </w:trPr>
        <w:tc>
          <w:tcPr>
            <w:tcW w:w="3391" w:type="dxa"/>
            <w:shd w:val="clear" w:color="auto" w:fill="auto"/>
          </w:tcPr>
          <w:p w14:paraId="4A5CD83B"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66E02513"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3FFB3B58"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026784" w:rsidRPr="00D33E30" w14:paraId="2613E76F" w14:textId="77777777" w:rsidTr="006F1733">
        <w:trPr>
          <w:trHeight w:val="317"/>
        </w:trPr>
        <w:tc>
          <w:tcPr>
            <w:tcW w:w="3391" w:type="dxa"/>
            <w:shd w:val="clear" w:color="auto" w:fill="auto"/>
          </w:tcPr>
          <w:p w14:paraId="0CCD2E9E"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36820E2F"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3666F00D"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026784" w:rsidRPr="00D33E30" w14:paraId="4E163234" w14:textId="77777777" w:rsidTr="006F1733">
        <w:trPr>
          <w:trHeight w:val="317"/>
        </w:trPr>
        <w:tc>
          <w:tcPr>
            <w:tcW w:w="3391" w:type="dxa"/>
            <w:shd w:val="clear" w:color="auto" w:fill="auto"/>
          </w:tcPr>
          <w:p w14:paraId="64A25674"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42DB84C5"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7A81513B"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026784" w:rsidRPr="00D33E30" w14:paraId="28BD4835" w14:textId="77777777" w:rsidTr="006F1733">
        <w:trPr>
          <w:trHeight w:val="317"/>
        </w:trPr>
        <w:tc>
          <w:tcPr>
            <w:tcW w:w="3391" w:type="dxa"/>
            <w:shd w:val="clear" w:color="auto" w:fill="auto"/>
          </w:tcPr>
          <w:p w14:paraId="4490D2C7"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02F2E6A0"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3B8642CB"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026784" w:rsidRPr="00D33E30" w14:paraId="43EF8B62" w14:textId="77777777" w:rsidTr="006F1733">
        <w:trPr>
          <w:trHeight w:val="317"/>
        </w:trPr>
        <w:tc>
          <w:tcPr>
            <w:tcW w:w="3391" w:type="dxa"/>
            <w:shd w:val="clear" w:color="auto" w:fill="auto"/>
          </w:tcPr>
          <w:p w14:paraId="0087D74C"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765B415E"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25E7AD49" w14:textId="77777777" w:rsidR="00026784" w:rsidRPr="00D33E30" w:rsidRDefault="00026784" w:rsidP="006F1733">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57C2FB7A" w14:textId="77777777" w:rsidR="00026784" w:rsidRDefault="00026784" w:rsidP="00026784">
      <w:pPr>
        <w:spacing w:after="200" w:line="276" w:lineRule="auto"/>
        <w:contextualSpacing/>
        <w:jc w:val="both"/>
        <w:rPr>
          <w:rFonts w:ascii="Arial" w:hAnsi="Arial" w:cs="Arial"/>
          <w:bCs/>
          <w:sz w:val="20"/>
          <w:lang w:val="en-ZA"/>
        </w:rPr>
      </w:pPr>
    </w:p>
    <w:p w14:paraId="6E365F18" w14:textId="77777777" w:rsidR="00026784" w:rsidRPr="007133D2" w:rsidRDefault="00026784" w:rsidP="00026784">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6EB0B83" w14:textId="24F32EE2" w:rsidR="00026784" w:rsidRPr="007133D2" w:rsidRDefault="00026784" w:rsidP="00026784">
      <w:pPr>
        <w:pStyle w:val="ListParagraph"/>
        <w:numPr>
          <w:ilvl w:val="0"/>
          <w:numId w:val="7"/>
        </w:numPr>
        <w:spacing w:after="200" w:line="276" w:lineRule="auto"/>
        <w:jc w:val="both"/>
        <w:rPr>
          <w:rFonts w:ascii="Arial" w:hAnsi="Arial" w:cs="Arial"/>
          <w:bCs/>
          <w:sz w:val="20"/>
          <w:lang w:val="en-ZA"/>
        </w:rPr>
      </w:pPr>
      <w:r w:rsidRPr="007133D2">
        <w:rPr>
          <w:rFonts w:ascii="Arial" w:hAnsi="Arial" w:cs="Arial"/>
          <w:bCs/>
          <w:sz w:val="20"/>
          <w:lang w:val="en-ZA"/>
        </w:rPr>
        <w:t xml:space="preserve">Valid B-BBEE certificate issued by a SANAS accredited verification agency / </w:t>
      </w:r>
      <w:r w:rsidR="002A5585" w:rsidRPr="007133D2">
        <w:rPr>
          <w:rFonts w:ascii="Arial" w:hAnsi="Arial" w:cs="Arial"/>
          <w:bCs/>
          <w:sz w:val="20"/>
          <w:lang w:val="en-ZA"/>
        </w:rPr>
        <w:t>affidavit</w:t>
      </w:r>
      <w:r w:rsidRPr="007133D2">
        <w:rPr>
          <w:rFonts w:ascii="Arial" w:hAnsi="Arial" w:cs="Arial"/>
          <w:bCs/>
          <w:sz w:val="20"/>
          <w:lang w:val="en-ZA"/>
        </w:rPr>
        <w:t xml:space="preserve"> / CIPS affidavit</w:t>
      </w:r>
    </w:p>
    <w:p w14:paraId="72257ABA" w14:textId="77777777" w:rsidR="00026784" w:rsidRPr="007133D2" w:rsidRDefault="00026784" w:rsidP="00026784">
      <w:pPr>
        <w:pStyle w:val="ListParagraph"/>
        <w:numPr>
          <w:ilvl w:val="0"/>
          <w:numId w:val="7"/>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22E21F1E" w14:textId="77777777" w:rsidR="00026784" w:rsidRPr="007133D2" w:rsidRDefault="00026784" w:rsidP="00026784">
      <w:pPr>
        <w:pStyle w:val="ListParagraph"/>
        <w:numPr>
          <w:ilvl w:val="0"/>
          <w:numId w:val="7"/>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57D08AF4" w14:textId="74D78E4C" w:rsidR="00026784" w:rsidRDefault="00026784" w:rsidP="00026784">
      <w:pPr>
        <w:pStyle w:val="ListParagraph"/>
        <w:numPr>
          <w:ilvl w:val="0"/>
          <w:numId w:val="7"/>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0C7AE369" w14:textId="16A1FF61" w:rsidR="00026784" w:rsidRDefault="00026784" w:rsidP="00026784">
      <w:pPr>
        <w:spacing w:after="200" w:line="276" w:lineRule="auto"/>
        <w:jc w:val="both"/>
        <w:rPr>
          <w:rFonts w:ascii="Arial" w:hAnsi="Arial" w:cs="Arial"/>
          <w:bCs/>
          <w:sz w:val="20"/>
          <w:lang w:val="en-ZA"/>
        </w:rPr>
      </w:pPr>
    </w:p>
    <w:p w14:paraId="5FCEE375" w14:textId="77777777" w:rsidR="00026784" w:rsidRPr="00026784" w:rsidRDefault="00026784" w:rsidP="00026784">
      <w:pPr>
        <w:spacing w:after="200" w:line="276" w:lineRule="auto"/>
        <w:jc w:val="both"/>
        <w:rPr>
          <w:rFonts w:ascii="Arial" w:hAnsi="Arial" w:cs="Arial"/>
          <w:bCs/>
          <w:sz w:val="20"/>
          <w:lang w:val="en-ZA"/>
        </w:rPr>
      </w:pPr>
    </w:p>
    <w:p w14:paraId="766F904C" w14:textId="77777777" w:rsidR="00026784" w:rsidRPr="007133D2" w:rsidRDefault="00026784" w:rsidP="00026784">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30FFB5C3" w14:textId="77777777" w:rsidR="00026784" w:rsidRPr="007133D2" w:rsidRDefault="00026784" w:rsidP="00026784">
      <w:pPr>
        <w:pStyle w:val="ListParagraph"/>
        <w:numPr>
          <w:ilvl w:val="0"/>
          <w:numId w:val="8"/>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5CECC0F2" w14:textId="77777777" w:rsidR="00026784" w:rsidRPr="007133D2" w:rsidRDefault="00026784" w:rsidP="00026784">
      <w:pPr>
        <w:pStyle w:val="ListParagraph"/>
        <w:numPr>
          <w:ilvl w:val="0"/>
          <w:numId w:val="8"/>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62BA53F4" w14:textId="77777777" w:rsidR="000458EA" w:rsidRPr="003C7A25" w:rsidRDefault="000458EA" w:rsidP="001A0679">
      <w:pPr>
        <w:autoSpaceDE w:val="0"/>
        <w:autoSpaceDN w:val="0"/>
        <w:adjustRightInd w:val="0"/>
        <w:rPr>
          <w:rFonts w:ascii="Arial" w:hAnsi="Arial" w:cs="Arial"/>
          <w:bCs/>
          <w:sz w:val="16"/>
          <w:szCs w:val="16"/>
        </w:rPr>
      </w:pPr>
    </w:p>
    <w:p w14:paraId="70E8191C" w14:textId="5BCD015E" w:rsidR="001A0679" w:rsidRDefault="001A0679" w:rsidP="001A0679">
      <w:pPr>
        <w:autoSpaceDE w:val="0"/>
        <w:autoSpaceDN w:val="0"/>
        <w:adjustRightInd w:val="0"/>
        <w:rPr>
          <w:rFonts w:ascii="Arial" w:hAnsi="Arial" w:cs="Arial"/>
          <w:b/>
        </w:rPr>
      </w:pPr>
      <w:r>
        <w:rPr>
          <w:rFonts w:ascii="Arial" w:hAnsi="Arial" w:cs="Arial"/>
          <w:b/>
        </w:rPr>
        <w:t>S</w:t>
      </w:r>
      <w:r w:rsidRPr="00EB6A30">
        <w:rPr>
          <w:rFonts w:ascii="Arial" w:hAnsi="Arial" w:cs="Arial"/>
          <w:b/>
          <w:sz w:val="22"/>
        </w:rPr>
        <w:t xml:space="preserve">ection </w:t>
      </w:r>
      <w:r w:rsidR="00D60A56">
        <w:rPr>
          <w:rFonts w:ascii="Arial" w:hAnsi="Arial" w:cs="Arial"/>
          <w:b/>
          <w:sz w:val="22"/>
        </w:rPr>
        <w:t>2</w:t>
      </w:r>
      <w:r w:rsidRPr="003E052A">
        <w:rPr>
          <w:rFonts w:ascii="Arial" w:hAnsi="Arial" w:cs="Arial"/>
          <w:b/>
        </w:rPr>
        <w:t xml:space="preserve">: </w:t>
      </w:r>
      <w:r>
        <w:rPr>
          <w:rFonts w:ascii="Arial" w:hAnsi="Arial" w:cs="Arial"/>
          <w:b/>
        </w:rPr>
        <w:t xml:space="preserve"> Objective criteria </w:t>
      </w:r>
    </w:p>
    <w:p w14:paraId="13184CD9" w14:textId="77777777" w:rsidR="001A0679" w:rsidRPr="003C7A25" w:rsidRDefault="001A0679" w:rsidP="001A0679">
      <w:pPr>
        <w:autoSpaceDE w:val="0"/>
        <w:autoSpaceDN w:val="0"/>
        <w:adjustRightInd w:val="0"/>
        <w:rPr>
          <w:rFonts w:ascii="Arial" w:hAnsi="Arial" w:cs="Arial"/>
          <w:bCs/>
          <w:sz w:val="16"/>
          <w:szCs w:val="16"/>
        </w:rPr>
      </w:pPr>
    </w:p>
    <w:p w14:paraId="45ECF11B" w14:textId="78752E3B" w:rsidR="00486F57" w:rsidRDefault="001A0679" w:rsidP="001A0679">
      <w:pPr>
        <w:autoSpaceDE w:val="0"/>
        <w:autoSpaceDN w:val="0"/>
        <w:adjustRightInd w:val="0"/>
        <w:spacing w:line="360" w:lineRule="auto"/>
        <w:jc w:val="both"/>
        <w:rPr>
          <w:rFonts w:ascii="Arial" w:hAnsi="Arial" w:cs="Arial"/>
          <w:sz w:val="20"/>
        </w:rPr>
      </w:pPr>
      <w:r w:rsidRPr="00CC1622">
        <w:rPr>
          <w:rFonts w:ascii="Arial" w:hAnsi="Arial" w:cs="Arial"/>
          <w:sz w:val="20"/>
        </w:rPr>
        <w:lastRenderedPageBreak/>
        <w:t>The inclusion of objective criteria in an enquiry is not mandatory but a condition for contract award, and if included, this must align with the requirements of the PPPFA [clause 2(1)(f)] and be clearly stated in the enquiry together with the consequence of such objective criteria (i.e., if the tenderer does not meet objective criteria; it may lead to the second-ranked tenderer being recommended for award).</w:t>
      </w:r>
    </w:p>
    <w:bookmarkEnd w:id="0"/>
    <w:p w14:paraId="534AA944" w14:textId="25F3493C" w:rsidR="001A0679" w:rsidRPr="00816D48" w:rsidRDefault="00AB6ECF" w:rsidP="001A0679">
      <w:pPr>
        <w:spacing w:before="120" w:after="120" w:line="276" w:lineRule="auto"/>
        <w:rPr>
          <w:rFonts w:ascii="Arial" w:hAnsi="Arial" w:cs="Arial"/>
          <w:b/>
          <w:sz w:val="22"/>
        </w:rPr>
      </w:pPr>
      <w:r>
        <w:rPr>
          <w:rFonts w:ascii="Arial" w:hAnsi="Arial" w:cs="Arial"/>
          <w:b/>
          <w:sz w:val="22"/>
        </w:rPr>
        <w:t>2</w:t>
      </w:r>
      <w:r w:rsidR="001A0679">
        <w:rPr>
          <w:rFonts w:ascii="Arial" w:hAnsi="Arial" w:cs="Arial"/>
          <w:b/>
          <w:sz w:val="22"/>
        </w:rPr>
        <w:t xml:space="preserve">.1 Designated Sectors </w:t>
      </w:r>
    </w:p>
    <w:tbl>
      <w:tblPr>
        <w:tblStyle w:val="TableGrid"/>
        <w:tblW w:w="9407" w:type="dxa"/>
        <w:tblLook w:val="04A0" w:firstRow="1" w:lastRow="0" w:firstColumn="1" w:lastColumn="0" w:noHBand="0" w:noVBand="1"/>
      </w:tblPr>
      <w:tblGrid>
        <w:gridCol w:w="9633"/>
      </w:tblGrid>
      <w:tr w:rsidR="001A0679" w:rsidRPr="00726078" w14:paraId="7BBB9E02" w14:textId="77777777" w:rsidTr="009D5107">
        <w:trPr>
          <w:trHeight w:val="447"/>
        </w:trPr>
        <w:tc>
          <w:tcPr>
            <w:tcW w:w="9407" w:type="dxa"/>
            <w:shd w:val="clear" w:color="auto" w:fill="000000" w:themeFill="text1"/>
          </w:tcPr>
          <w:p w14:paraId="724C7F46" w14:textId="77777777" w:rsidR="001A0679" w:rsidRPr="00726078" w:rsidRDefault="001A0679" w:rsidP="009D5107">
            <w:pPr>
              <w:tabs>
                <w:tab w:val="left" w:pos="720"/>
              </w:tabs>
              <w:jc w:val="both"/>
              <w:rPr>
                <w:rFonts w:ascii="Arial" w:hAnsi="Arial" w:cs="Arial"/>
                <w:b/>
                <w:sz w:val="20"/>
              </w:rPr>
            </w:pPr>
            <w:r>
              <w:rPr>
                <w:rFonts w:ascii="Arial" w:hAnsi="Arial" w:cs="Arial"/>
                <w:sz w:val="20"/>
              </w:rPr>
              <w:t>When applicable</w:t>
            </w:r>
            <w:r w:rsidRPr="00726078">
              <w:rPr>
                <w:rFonts w:ascii="Arial" w:hAnsi="Arial" w:cs="Arial"/>
                <w:sz w:val="20"/>
              </w:rPr>
              <w:t xml:space="preserve"> the following stipulated minimum threshold for Local Production and Content must be achieved in full by the tenderer</w:t>
            </w:r>
          </w:p>
        </w:tc>
      </w:tr>
      <w:tr w:rsidR="001A0679" w:rsidRPr="00726078" w14:paraId="5CC92962" w14:textId="77777777" w:rsidTr="009D5107">
        <w:trPr>
          <w:trHeight w:val="3422"/>
        </w:trPr>
        <w:tc>
          <w:tcPr>
            <w:tcW w:w="9407" w:type="dxa"/>
          </w:tcPr>
          <w:tbl>
            <w:tblPr>
              <w:tblStyle w:val="TableGrid"/>
              <w:tblW w:w="9407" w:type="dxa"/>
              <w:tblLook w:val="04A0" w:firstRow="1" w:lastRow="0" w:firstColumn="1" w:lastColumn="0" w:noHBand="0" w:noVBand="1"/>
            </w:tblPr>
            <w:tblGrid>
              <w:gridCol w:w="9407"/>
            </w:tblGrid>
            <w:tr w:rsidR="00C37E77" w:rsidRPr="00726078" w14:paraId="77D9EBEA" w14:textId="77777777" w:rsidTr="00372699">
              <w:trPr>
                <w:trHeight w:val="1999"/>
              </w:trPr>
              <w:tc>
                <w:tcPr>
                  <w:tcW w:w="9407" w:type="dxa"/>
                </w:tcPr>
                <w:p w14:paraId="3AA22ABE" w14:textId="77777777" w:rsidR="00C37E77" w:rsidRPr="00EB6A30" w:rsidRDefault="00C37E77" w:rsidP="00C37E77">
                  <w:pP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7"/>
                    <w:gridCol w:w="2465"/>
                    <w:gridCol w:w="592"/>
                    <w:gridCol w:w="639"/>
                    <w:gridCol w:w="1388"/>
                    <w:gridCol w:w="1035"/>
                  </w:tblGrid>
                  <w:tr w:rsidR="00C37E77" w:rsidRPr="00EB6A30" w14:paraId="2A4C0411" w14:textId="77777777" w:rsidTr="00077466">
                    <w:trPr>
                      <w:gridAfter w:val="1"/>
                      <w:wAfter w:w="1035" w:type="dxa"/>
                      <w:trHeight w:val="365"/>
                    </w:trPr>
                    <w:tc>
                      <w:tcPr>
                        <w:tcW w:w="5522" w:type="dxa"/>
                        <w:gridSpan w:val="2"/>
                        <w:tcBorders>
                          <w:right w:val="single" w:sz="4" w:space="0" w:color="auto"/>
                        </w:tcBorders>
                      </w:tcPr>
                      <w:p w14:paraId="7A4E8C18" w14:textId="77777777" w:rsidR="00C37E77" w:rsidRPr="00EB6A30" w:rsidRDefault="00C37E77" w:rsidP="00C37E77">
                        <w:pPr>
                          <w:spacing w:before="60" w:after="60"/>
                          <w:rPr>
                            <w:rFonts w:ascii="Arial" w:hAnsi="Arial" w:cs="Arial"/>
                            <w:sz w:val="20"/>
                          </w:rPr>
                        </w:pPr>
                      </w:p>
                    </w:tc>
                    <w:tc>
                      <w:tcPr>
                        <w:tcW w:w="1231" w:type="dxa"/>
                        <w:gridSpan w:val="2"/>
                        <w:tcBorders>
                          <w:top w:val="single" w:sz="4" w:space="0" w:color="auto"/>
                          <w:left w:val="single" w:sz="4" w:space="0" w:color="auto"/>
                          <w:bottom w:val="single" w:sz="4" w:space="0" w:color="auto"/>
                          <w:right w:val="single" w:sz="4" w:space="0" w:color="auto"/>
                        </w:tcBorders>
                      </w:tcPr>
                      <w:p w14:paraId="32616317" w14:textId="77777777" w:rsidR="00C37E77" w:rsidRPr="00EB6A30" w:rsidRDefault="00C37E77" w:rsidP="00C37E77">
                        <w:pPr>
                          <w:spacing w:before="60" w:after="60"/>
                          <w:jc w:val="center"/>
                          <w:rPr>
                            <w:rFonts w:ascii="Arial" w:hAnsi="Arial" w:cs="Arial"/>
                            <w:b/>
                            <w:sz w:val="20"/>
                          </w:rPr>
                        </w:pPr>
                        <w:r w:rsidRPr="00EB6A30">
                          <w:rPr>
                            <w:rFonts w:ascii="Arial" w:hAnsi="Arial" w:cs="Arial"/>
                            <w:b/>
                            <w:sz w:val="20"/>
                          </w:rPr>
                          <w:t>YES</w:t>
                        </w:r>
                      </w:p>
                    </w:tc>
                    <w:tc>
                      <w:tcPr>
                        <w:tcW w:w="1388" w:type="dxa"/>
                        <w:tcBorders>
                          <w:top w:val="single" w:sz="4" w:space="0" w:color="auto"/>
                          <w:left w:val="single" w:sz="4" w:space="0" w:color="auto"/>
                          <w:bottom w:val="single" w:sz="4" w:space="0" w:color="auto"/>
                          <w:right w:val="single" w:sz="4" w:space="0" w:color="auto"/>
                        </w:tcBorders>
                      </w:tcPr>
                      <w:p w14:paraId="5D233242" w14:textId="77777777" w:rsidR="00C37E77" w:rsidRPr="00EB6A30" w:rsidRDefault="00C37E77" w:rsidP="00C37E77">
                        <w:pPr>
                          <w:spacing w:before="60" w:after="60"/>
                          <w:jc w:val="center"/>
                          <w:rPr>
                            <w:rFonts w:ascii="Arial" w:hAnsi="Arial" w:cs="Arial"/>
                            <w:b/>
                            <w:sz w:val="20"/>
                          </w:rPr>
                        </w:pPr>
                        <w:r w:rsidRPr="00EB6A30">
                          <w:rPr>
                            <w:rFonts w:ascii="Arial" w:hAnsi="Arial" w:cs="Arial"/>
                            <w:b/>
                            <w:sz w:val="20"/>
                          </w:rPr>
                          <w:t>NO</w:t>
                        </w:r>
                      </w:p>
                    </w:tc>
                  </w:tr>
                  <w:tr w:rsidR="00C37E77" w:rsidRPr="00EB6A30" w14:paraId="700ED16F" w14:textId="77777777" w:rsidTr="00077466">
                    <w:trPr>
                      <w:gridAfter w:val="1"/>
                      <w:wAfter w:w="1035" w:type="dxa"/>
                      <w:trHeight w:val="491"/>
                    </w:trPr>
                    <w:tc>
                      <w:tcPr>
                        <w:tcW w:w="5522" w:type="dxa"/>
                        <w:gridSpan w:val="2"/>
                        <w:tcBorders>
                          <w:right w:val="single" w:sz="4" w:space="0" w:color="auto"/>
                        </w:tcBorders>
                      </w:tcPr>
                      <w:p w14:paraId="4144BDD8" w14:textId="77777777" w:rsidR="00C37E77" w:rsidRPr="00EB6A30" w:rsidRDefault="00C37E77">
                        <w:pPr>
                          <w:pStyle w:val="ListParagraph"/>
                          <w:numPr>
                            <w:ilvl w:val="0"/>
                            <w:numId w:val="6"/>
                          </w:numPr>
                          <w:rPr>
                            <w:rFonts w:ascii="Arial" w:hAnsi="Arial" w:cs="Arial"/>
                            <w:sz w:val="20"/>
                          </w:rPr>
                        </w:pPr>
                        <w:r w:rsidRPr="00EB6A30">
                          <w:rPr>
                            <w:rFonts w:ascii="Arial" w:hAnsi="Arial" w:cs="Arial"/>
                            <w:sz w:val="20"/>
                          </w:rPr>
                          <w:t xml:space="preserve">Is this Commodity or part of it a Designated Sector?     </w:t>
                        </w:r>
                      </w:p>
                    </w:tc>
                    <w:sdt>
                      <w:sdtPr>
                        <w:rPr>
                          <w:rFonts w:ascii="Arial" w:hAnsi="Arial" w:cs="Arial"/>
                          <w:sz w:val="20"/>
                        </w:rPr>
                        <w:id w:val="-371916316"/>
                        <w14:checkbox>
                          <w14:checked w14:val="0"/>
                          <w14:checkedState w14:val="0052" w14:font="Wingdings 2"/>
                          <w14:uncheckedState w14:val="2610" w14:font="MS Gothic"/>
                        </w14:checkbox>
                      </w:sdtPr>
                      <w:sdtContent>
                        <w:tc>
                          <w:tcPr>
                            <w:tcW w:w="1231" w:type="dxa"/>
                            <w:gridSpan w:val="2"/>
                            <w:tcBorders>
                              <w:top w:val="single" w:sz="4" w:space="0" w:color="auto"/>
                              <w:left w:val="single" w:sz="4" w:space="0" w:color="auto"/>
                              <w:bottom w:val="single" w:sz="4" w:space="0" w:color="auto"/>
                              <w:right w:val="single" w:sz="4" w:space="0" w:color="auto"/>
                            </w:tcBorders>
                          </w:tcPr>
                          <w:p w14:paraId="0533CDC1" w14:textId="3C49493D" w:rsidR="00C37E77" w:rsidRPr="00EB6A30" w:rsidRDefault="000177B1" w:rsidP="00C37E77">
                            <w:pPr>
                              <w:spacing w:before="60" w:after="6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62147668"/>
                        <w14:checkbox>
                          <w14:checked w14:val="1"/>
                          <w14:checkedState w14:val="0052" w14:font="Wingdings 2"/>
                          <w14:uncheckedState w14:val="2610" w14:font="MS Gothic"/>
                        </w14:checkbox>
                      </w:sdtPr>
                      <w:sdtContent>
                        <w:tc>
                          <w:tcPr>
                            <w:tcW w:w="1388" w:type="dxa"/>
                            <w:tcBorders>
                              <w:top w:val="single" w:sz="4" w:space="0" w:color="auto"/>
                              <w:left w:val="single" w:sz="4" w:space="0" w:color="auto"/>
                              <w:bottom w:val="single" w:sz="4" w:space="0" w:color="auto"/>
                              <w:right w:val="single" w:sz="4" w:space="0" w:color="auto"/>
                            </w:tcBorders>
                          </w:tcPr>
                          <w:p w14:paraId="2F692720" w14:textId="198172F7" w:rsidR="00C37E77" w:rsidRPr="00EB6A30" w:rsidRDefault="000177B1" w:rsidP="00C37E77">
                            <w:pPr>
                              <w:spacing w:before="60" w:after="60"/>
                              <w:jc w:val="center"/>
                              <w:rPr>
                                <w:rFonts w:ascii="Arial" w:hAnsi="Arial" w:cs="Arial"/>
                                <w:sz w:val="20"/>
                              </w:rPr>
                            </w:pPr>
                            <w:r>
                              <w:rPr>
                                <w:rFonts w:ascii="Arial" w:hAnsi="Arial" w:cs="Arial"/>
                                <w:sz w:val="20"/>
                              </w:rPr>
                              <w:sym w:font="Wingdings 2" w:char="F052"/>
                            </w:r>
                          </w:p>
                        </w:tc>
                      </w:sdtContent>
                    </w:sdt>
                  </w:tr>
                  <w:tr w:rsidR="00C37E77" w:rsidRPr="00EB6A30" w14:paraId="1BB6D5E4" w14:textId="77777777" w:rsidTr="004D2DD9">
                    <w:trPr>
                      <w:gridAfter w:val="1"/>
                      <w:wAfter w:w="1035" w:type="dxa"/>
                      <w:trHeight w:val="700"/>
                    </w:trPr>
                    <w:tc>
                      <w:tcPr>
                        <w:tcW w:w="5522" w:type="dxa"/>
                        <w:gridSpan w:val="2"/>
                      </w:tcPr>
                      <w:p w14:paraId="36BA75F6" w14:textId="77777777" w:rsidR="00C37E77" w:rsidRPr="004E3127" w:rsidRDefault="00C37E77" w:rsidP="00C37E77">
                        <w:pPr>
                          <w:ind w:right="-3795"/>
                          <w:rPr>
                            <w:rFonts w:ascii="Arial" w:hAnsi="Arial" w:cs="Arial"/>
                            <w:sz w:val="16"/>
                            <w:szCs w:val="16"/>
                          </w:rPr>
                        </w:pPr>
                      </w:p>
                      <w:p w14:paraId="491DBA8A" w14:textId="54EFF9D0" w:rsidR="00C37E77" w:rsidRPr="00EB6A30" w:rsidRDefault="00C37E77" w:rsidP="00C37E77">
                        <w:pPr>
                          <w:ind w:right="-3795"/>
                          <w:rPr>
                            <w:rFonts w:ascii="Arial" w:hAnsi="Arial" w:cs="Arial"/>
                            <w:sz w:val="20"/>
                          </w:rPr>
                        </w:pPr>
                        <w:r w:rsidRPr="00EB6A30">
                          <w:rPr>
                            <w:rFonts w:ascii="Arial" w:hAnsi="Arial" w:cs="Arial"/>
                            <w:sz w:val="20"/>
                          </w:rPr>
                          <w:t>Please indicate below Designated Components</w:t>
                        </w:r>
                      </w:p>
                    </w:tc>
                    <w:tc>
                      <w:tcPr>
                        <w:tcW w:w="2619" w:type="dxa"/>
                        <w:gridSpan w:val="3"/>
                        <w:tcBorders>
                          <w:top w:val="single" w:sz="4" w:space="0" w:color="auto"/>
                        </w:tcBorders>
                      </w:tcPr>
                      <w:p w14:paraId="148A0D29" w14:textId="77777777" w:rsidR="00C37E77" w:rsidRPr="00EB6A30" w:rsidRDefault="00C37E77" w:rsidP="00C37E77">
                        <w:pPr>
                          <w:spacing w:before="60" w:after="60"/>
                          <w:ind w:left="1583"/>
                          <w:jc w:val="center"/>
                          <w:rPr>
                            <w:rFonts w:ascii="Arial" w:hAnsi="Arial" w:cs="Arial"/>
                            <w:b/>
                            <w:sz w:val="20"/>
                          </w:rPr>
                        </w:pPr>
                      </w:p>
                      <w:p w14:paraId="0F27AD3F" w14:textId="77777777" w:rsidR="00C37E77" w:rsidRPr="00EB6A30" w:rsidRDefault="00C37E77" w:rsidP="00C37E77">
                        <w:pPr>
                          <w:spacing w:before="60" w:after="60"/>
                          <w:ind w:left="1583"/>
                          <w:jc w:val="center"/>
                          <w:rPr>
                            <w:rFonts w:ascii="Arial" w:hAnsi="Arial" w:cs="Arial"/>
                            <w:b/>
                            <w:sz w:val="20"/>
                          </w:rPr>
                        </w:pPr>
                      </w:p>
                      <w:p w14:paraId="002E0B14" w14:textId="77777777" w:rsidR="00C37E77" w:rsidRPr="00EB6A30" w:rsidRDefault="00C37E77" w:rsidP="00C37E77">
                        <w:pPr>
                          <w:spacing w:before="60" w:after="60"/>
                          <w:ind w:left="1583"/>
                          <w:jc w:val="center"/>
                          <w:rPr>
                            <w:rFonts w:ascii="Arial" w:hAnsi="Arial" w:cs="Arial"/>
                            <w:b/>
                            <w:sz w:val="20"/>
                          </w:rPr>
                        </w:pPr>
                      </w:p>
                      <w:p w14:paraId="016BB2CB" w14:textId="77777777" w:rsidR="00C37E77" w:rsidRPr="00EB6A30" w:rsidRDefault="00C37E77" w:rsidP="00C37E77">
                        <w:pPr>
                          <w:spacing w:before="60" w:after="60"/>
                          <w:ind w:left="1583"/>
                          <w:jc w:val="center"/>
                          <w:rPr>
                            <w:rFonts w:ascii="Arial" w:hAnsi="Arial" w:cs="Arial"/>
                            <w:b/>
                            <w:sz w:val="20"/>
                          </w:rPr>
                        </w:pPr>
                      </w:p>
                    </w:tc>
                  </w:tr>
                  <w:tr w:rsidR="00C37E77" w:rsidRPr="00EB6A30" w14:paraId="2044A216" w14:textId="77777777" w:rsidTr="004E31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057" w:type="dxa"/>
                        <w:shd w:val="clear" w:color="auto" w:fill="D9D9D9" w:themeFill="background1" w:themeFillShade="D9"/>
                      </w:tcPr>
                      <w:p w14:paraId="503839E5" w14:textId="77777777" w:rsidR="00C37E77" w:rsidRPr="00EB6A30" w:rsidRDefault="00C37E77" w:rsidP="00C37E77">
                        <w:pPr>
                          <w:jc w:val="center"/>
                          <w:rPr>
                            <w:rFonts w:ascii="Arial" w:hAnsi="Arial" w:cs="Arial"/>
                            <w:b/>
                            <w:sz w:val="20"/>
                          </w:rPr>
                        </w:pPr>
                        <w:r w:rsidRPr="00EB6A30">
                          <w:rPr>
                            <w:rFonts w:ascii="Arial" w:hAnsi="Arial" w:cs="Arial"/>
                            <w:b/>
                            <w:sz w:val="20"/>
                          </w:rPr>
                          <w:t>Commodity</w:t>
                        </w:r>
                      </w:p>
                    </w:tc>
                    <w:tc>
                      <w:tcPr>
                        <w:tcW w:w="3057" w:type="dxa"/>
                        <w:gridSpan w:val="2"/>
                        <w:shd w:val="clear" w:color="auto" w:fill="D9D9D9" w:themeFill="background1" w:themeFillShade="D9"/>
                      </w:tcPr>
                      <w:p w14:paraId="1811EFD8" w14:textId="77777777" w:rsidR="00C37E77" w:rsidRPr="00EB6A30" w:rsidRDefault="00C37E77" w:rsidP="00C37E77">
                        <w:pPr>
                          <w:jc w:val="center"/>
                          <w:rPr>
                            <w:rFonts w:ascii="Arial" w:hAnsi="Arial" w:cs="Arial"/>
                            <w:b/>
                            <w:sz w:val="20"/>
                          </w:rPr>
                        </w:pPr>
                        <w:r w:rsidRPr="00EB6A30">
                          <w:rPr>
                            <w:rFonts w:ascii="Arial" w:hAnsi="Arial" w:cs="Arial"/>
                            <w:b/>
                            <w:sz w:val="20"/>
                          </w:rPr>
                          <w:t>Components</w:t>
                        </w:r>
                      </w:p>
                    </w:tc>
                    <w:tc>
                      <w:tcPr>
                        <w:tcW w:w="3062" w:type="dxa"/>
                        <w:gridSpan w:val="3"/>
                        <w:shd w:val="clear" w:color="auto" w:fill="D9D9D9" w:themeFill="background1" w:themeFillShade="D9"/>
                      </w:tcPr>
                      <w:p w14:paraId="032AE94B" w14:textId="77777777" w:rsidR="00C37E77" w:rsidRPr="00EB6A30" w:rsidRDefault="00C37E77" w:rsidP="00C37E77">
                        <w:pPr>
                          <w:jc w:val="center"/>
                          <w:rPr>
                            <w:rFonts w:ascii="Arial" w:hAnsi="Arial" w:cs="Arial"/>
                            <w:b/>
                            <w:sz w:val="20"/>
                          </w:rPr>
                        </w:pPr>
                        <w:r w:rsidRPr="00EB6A30">
                          <w:rPr>
                            <w:rFonts w:ascii="Arial" w:hAnsi="Arial" w:cs="Arial"/>
                            <w:b/>
                            <w:sz w:val="20"/>
                          </w:rPr>
                          <w:t>Local Content Threshold</w:t>
                        </w:r>
                      </w:p>
                    </w:tc>
                  </w:tr>
                  <w:tr w:rsidR="00C37E77" w:rsidRPr="00EB6A30" w14:paraId="24A69B24" w14:textId="77777777" w:rsidTr="004D2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057" w:type="dxa"/>
                      </w:tcPr>
                      <w:p w14:paraId="16C1BF62" w14:textId="24A5E14C" w:rsidR="00C37E77" w:rsidRPr="0063577C" w:rsidRDefault="00C37E77" w:rsidP="000177B1">
                        <w:pPr>
                          <w:rPr>
                            <w:rFonts w:ascii="Arial" w:hAnsi="Arial" w:cs="Arial"/>
                            <w:b/>
                            <w:sz w:val="20"/>
                          </w:rPr>
                        </w:pPr>
                      </w:p>
                    </w:tc>
                    <w:tc>
                      <w:tcPr>
                        <w:tcW w:w="3057" w:type="dxa"/>
                        <w:gridSpan w:val="2"/>
                      </w:tcPr>
                      <w:p w14:paraId="21D7E27A" w14:textId="162425A1" w:rsidR="00C37E77" w:rsidRPr="009354DB" w:rsidRDefault="00C37E77" w:rsidP="00C37E77">
                        <w:pPr>
                          <w:jc w:val="center"/>
                          <w:rPr>
                            <w:rFonts w:ascii="Arial" w:hAnsi="Arial" w:cs="Arial"/>
                            <w:sz w:val="20"/>
                          </w:rPr>
                        </w:pPr>
                      </w:p>
                    </w:tc>
                    <w:tc>
                      <w:tcPr>
                        <w:tcW w:w="3062" w:type="dxa"/>
                        <w:gridSpan w:val="3"/>
                      </w:tcPr>
                      <w:p w14:paraId="72182DEC" w14:textId="03C4584D" w:rsidR="00C37E77" w:rsidRPr="00560D72" w:rsidRDefault="00C37E77" w:rsidP="00C37E77">
                        <w:pPr>
                          <w:jc w:val="center"/>
                          <w:rPr>
                            <w:rFonts w:ascii="Arial" w:hAnsi="Arial" w:cs="Arial"/>
                            <w:b/>
                            <w:bCs/>
                            <w:sz w:val="20"/>
                          </w:rPr>
                        </w:pPr>
                      </w:p>
                    </w:tc>
                  </w:tr>
                </w:tbl>
                <w:p w14:paraId="41F1BCE6" w14:textId="77777777" w:rsidR="0062683D" w:rsidRDefault="0062683D" w:rsidP="00C37E77">
                  <w:pPr>
                    <w:spacing w:before="60" w:after="60" w:line="276" w:lineRule="auto"/>
                    <w:rPr>
                      <w:rFonts w:ascii="Arial" w:hAnsi="Arial" w:cs="Arial"/>
                      <w:b/>
                      <w:sz w:val="20"/>
                    </w:rPr>
                  </w:pPr>
                </w:p>
                <w:p w14:paraId="3FC8CB8C" w14:textId="277B71D9" w:rsidR="00C37E77" w:rsidRDefault="00C37E77" w:rsidP="00C37E77">
                  <w:pPr>
                    <w:spacing w:before="60" w:after="60" w:line="276" w:lineRule="auto"/>
                    <w:rPr>
                      <w:rFonts w:ascii="Arial" w:hAnsi="Arial" w:cs="Arial"/>
                      <w:sz w:val="20"/>
                    </w:rPr>
                  </w:pPr>
                  <w:r>
                    <w:rPr>
                      <w:rFonts w:ascii="Arial" w:hAnsi="Arial" w:cs="Arial"/>
                      <w:b/>
                      <w:sz w:val="20"/>
                    </w:rPr>
                    <w:t>NOTE</w:t>
                  </w:r>
                  <w:r w:rsidRPr="00EB6A30">
                    <w:rPr>
                      <w:rFonts w:ascii="Arial" w:hAnsi="Arial" w:cs="Arial"/>
                      <w:sz w:val="20"/>
                    </w:rPr>
                    <w:t>: SBD 6.2 Declaration Form and Annex</w:t>
                  </w:r>
                  <w:r w:rsidR="00960598">
                    <w:rPr>
                      <w:rFonts w:ascii="Arial" w:hAnsi="Arial" w:cs="Arial"/>
                      <w:sz w:val="20"/>
                    </w:rPr>
                    <w:t>ures</w:t>
                  </w:r>
                  <w:r w:rsidRPr="00EB6A30">
                    <w:rPr>
                      <w:rFonts w:ascii="Arial" w:hAnsi="Arial" w:cs="Arial"/>
                      <w:sz w:val="20"/>
                    </w:rPr>
                    <w:t xml:space="preserve"> C</w:t>
                  </w:r>
                  <w:r w:rsidR="004E3127">
                    <w:rPr>
                      <w:rFonts w:ascii="Arial" w:hAnsi="Arial" w:cs="Arial"/>
                      <w:sz w:val="20"/>
                    </w:rPr>
                    <w:t>, D &amp; E</w:t>
                  </w:r>
                  <w:r w:rsidRPr="00EB6A30">
                    <w:rPr>
                      <w:rFonts w:ascii="Arial" w:hAnsi="Arial" w:cs="Arial"/>
                      <w:sz w:val="20"/>
                    </w:rPr>
                    <w:t xml:space="preserve"> (Local Content Declaration-Summary Schedule) </w:t>
                  </w:r>
                  <w:r>
                    <w:rPr>
                      <w:rFonts w:ascii="Arial" w:hAnsi="Arial" w:cs="Arial"/>
                      <w:sz w:val="20"/>
                    </w:rPr>
                    <w:t>are</w:t>
                  </w:r>
                  <w:r w:rsidRPr="00EB6A30">
                    <w:rPr>
                      <w:rFonts w:ascii="Arial" w:hAnsi="Arial" w:cs="Arial"/>
                      <w:sz w:val="20"/>
                    </w:rPr>
                    <w:t xml:space="preserve"> therefore </w:t>
                  </w:r>
                  <w:r w:rsidRPr="004E3127">
                    <w:rPr>
                      <w:rFonts w:ascii="Arial" w:hAnsi="Arial" w:cs="Arial"/>
                      <w:b/>
                      <w:sz w:val="20"/>
                      <w:u w:val="single"/>
                    </w:rPr>
                    <w:t xml:space="preserve">mandatory </w:t>
                  </w:r>
                  <w:r w:rsidR="0043150C" w:rsidRPr="004E3127">
                    <w:rPr>
                      <w:rFonts w:ascii="Arial" w:hAnsi="Arial" w:cs="Arial"/>
                      <w:b/>
                      <w:sz w:val="20"/>
                      <w:u w:val="single"/>
                    </w:rPr>
                    <w:t>for contract award</w:t>
                  </w:r>
                  <w:r w:rsidR="0043150C">
                    <w:rPr>
                      <w:rFonts w:ascii="Arial" w:hAnsi="Arial" w:cs="Arial"/>
                      <w:b/>
                      <w:sz w:val="20"/>
                    </w:rPr>
                    <w:t xml:space="preserve"> </w:t>
                  </w:r>
                  <w:r>
                    <w:rPr>
                      <w:rFonts w:ascii="Arial" w:hAnsi="Arial" w:cs="Arial"/>
                      <w:sz w:val="20"/>
                    </w:rPr>
                    <w:t>and must be</w:t>
                  </w:r>
                  <w:r w:rsidRPr="00EB6A30">
                    <w:rPr>
                      <w:rFonts w:ascii="Arial" w:hAnsi="Arial" w:cs="Arial"/>
                      <w:sz w:val="20"/>
                    </w:rPr>
                    <w:t xml:space="preserve"> tender </w:t>
                  </w:r>
                  <w:r w:rsidR="00153B00" w:rsidRPr="00EB6A30">
                    <w:rPr>
                      <w:rFonts w:ascii="Arial" w:hAnsi="Arial" w:cs="Arial"/>
                      <w:sz w:val="20"/>
                    </w:rPr>
                    <w:t>returnable</w:t>
                  </w:r>
                  <w:r w:rsidR="00372699">
                    <w:rPr>
                      <w:rFonts w:ascii="Arial" w:hAnsi="Arial" w:cs="Arial"/>
                      <w:sz w:val="20"/>
                    </w:rPr>
                    <w:t>.</w:t>
                  </w:r>
                </w:p>
                <w:p w14:paraId="42349F8E" w14:textId="3AADFCD2" w:rsidR="0062683D" w:rsidRPr="00726078" w:rsidRDefault="0062683D" w:rsidP="00C37E77">
                  <w:pPr>
                    <w:spacing w:before="60" w:after="60" w:line="276" w:lineRule="auto"/>
                    <w:rPr>
                      <w:rFonts w:ascii="Arial" w:hAnsi="Arial" w:cs="Arial"/>
                      <w:sz w:val="20"/>
                    </w:rPr>
                  </w:pPr>
                </w:p>
              </w:tc>
            </w:tr>
          </w:tbl>
          <w:p w14:paraId="6B8EB52B" w14:textId="3B856066" w:rsidR="001A0679" w:rsidRPr="00726078" w:rsidRDefault="001A0679" w:rsidP="009D5107">
            <w:pPr>
              <w:spacing w:before="60" w:after="60" w:line="276" w:lineRule="auto"/>
              <w:rPr>
                <w:rFonts w:ascii="Arial" w:hAnsi="Arial" w:cs="Arial"/>
                <w:sz w:val="20"/>
              </w:rPr>
            </w:pPr>
          </w:p>
        </w:tc>
      </w:tr>
    </w:tbl>
    <w:p w14:paraId="4D1D4DDF" w14:textId="3981C376" w:rsidR="004E3127" w:rsidRDefault="004E3127" w:rsidP="004E3127">
      <w:pPr>
        <w:autoSpaceDE w:val="0"/>
        <w:autoSpaceDN w:val="0"/>
        <w:adjustRightInd w:val="0"/>
        <w:spacing w:line="360" w:lineRule="auto"/>
        <w:jc w:val="both"/>
        <w:rPr>
          <w:rFonts w:ascii="Arial" w:hAnsi="Arial" w:cs="Arial"/>
          <w:sz w:val="16"/>
          <w:szCs w:val="16"/>
        </w:rPr>
      </w:pPr>
    </w:p>
    <w:p w14:paraId="7DD64FF8" w14:textId="3AE48F17" w:rsidR="00026784" w:rsidRDefault="00026784" w:rsidP="004E3127">
      <w:pPr>
        <w:autoSpaceDE w:val="0"/>
        <w:autoSpaceDN w:val="0"/>
        <w:adjustRightInd w:val="0"/>
        <w:spacing w:line="360" w:lineRule="auto"/>
        <w:jc w:val="both"/>
        <w:rPr>
          <w:rFonts w:ascii="Arial" w:hAnsi="Arial" w:cs="Arial"/>
          <w:sz w:val="16"/>
          <w:szCs w:val="16"/>
        </w:rPr>
      </w:pPr>
    </w:p>
    <w:p w14:paraId="063CB4CF" w14:textId="72400811" w:rsidR="0016672F" w:rsidRPr="0016672F" w:rsidRDefault="0016672F" w:rsidP="0016672F">
      <w:pPr>
        <w:spacing w:after="200" w:line="276" w:lineRule="auto"/>
        <w:jc w:val="both"/>
        <w:rPr>
          <w:rFonts w:ascii="Arial" w:hAnsi="Arial" w:cs="Arial"/>
          <w:b/>
          <w:bCs/>
          <w:color w:val="000000" w:themeColor="text1"/>
          <w:sz w:val="22"/>
          <w:szCs w:val="22"/>
          <w:u w:val="single"/>
          <w:lang w:val="en-GB"/>
        </w:rPr>
      </w:pPr>
      <w:r w:rsidRPr="0016672F">
        <w:rPr>
          <w:rFonts w:ascii="Arial" w:hAnsi="Arial" w:cs="Arial"/>
          <w:b/>
          <w:bCs/>
          <w:sz w:val="22"/>
          <w:szCs w:val="22"/>
        </w:rPr>
        <w:t>2.</w:t>
      </w:r>
      <w:r w:rsidR="00BB2C69">
        <w:rPr>
          <w:rFonts w:ascii="Arial" w:hAnsi="Arial" w:cs="Arial"/>
          <w:b/>
          <w:bCs/>
          <w:sz w:val="22"/>
          <w:szCs w:val="22"/>
        </w:rPr>
        <w:t>2</w:t>
      </w:r>
      <w:r w:rsidRPr="0016672F">
        <w:rPr>
          <w:rFonts w:ascii="Arial" w:hAnsi="Arial" w:cs="Arial"/>
          <w:b/>
          <w:bCs/>
          <w:sz w:val="22"/>
          <w:szCs w:val="22"/>
        </w:rPr>
        <w:t xml:space="preserve"> </w:t>
      </w:r>
      <w:r w:rsidRPr="0016672F">
        <w:rPr>
          <w:rFonts w:ascii="Arial" w:hAnsi="Arial" w:cs="Arial"/>
          <w:b/>
          <w:bCs/>
          <w:color w:val="000000" w:themeColor="text1"/>
          <w:sz w:val="22"/>
          <w:szCs w:val="22"/>
          <w:u w:val="single"/>
          <w:lang w:val="en-GB"/>
        </w:rPr>
        <w:t>National Industrial Participation Programme</w:t>
      </w:r>
      <w:r w:rsidR="00153B00">
        <w:rPr>
          <w:rFonts w:ascii="Arial" w:hAnsi="Arial" w:cs="Arial"/>
          <w:b/>
          <w:bCs/>
          <w:color w:val="000000" w:themeColor="text1"/>
          <w:sz w:val="22"/>
          <w:szCs w:val="22"/>
          <w:u w:val="single"/>
          <w:lang w:val="en-GB"/>
        </w:rPr>
        <w:t xml:space="preserve"> N/A</w:t>
      </w:r>
    </w:p>
    <w:p w14:paraId="23CFAADD" w14:textId="77777777" w:rsidR="0016672F" w:rsidRDefault="0016672F" w:rsidP="004E3127">
      <w:pPr>
        <w:autoSpaceDE w:val="0"/>
        <w:autoSpaceDN w:val="0"/>
        <w:adjustRightInd w:val="0"/>
        <w:spacing w:line="360" w:lineRule="auto"/>
        <w:jc w:val="both"/>
        <w:rPr>
          <w:rFonts w:ascii="Arial" w:hAnsi="Arial" w:cs="Arial"/>
          <w:sz w:val="16"/>
          <w:szCs w:val="16"/>
        </w:rPr>
      </w:pPr>
    </w:p>
    <w:p w14:paraId="0F5539E2" w14:textId="7E2B7EA0" w:rsidR="001A0679" w:rsidRPr="00EB6A30" w:rsidRDefault="001A0679" w:rsidP="001A0679">
      <w:pPr>
        <w:spacing w:after="200" w:line="276" w:lineRule="auto"/>
        <w:rPr>
          <w:rFonts w:ascii="Arial" w:hAnsi="Arial" w:cs="Arial"/>
          <w:b/>
          <w:sz w:val="22"/>
        </w:rPr>
      </w:pPr>
      <w:bookmarkStart w:id="1" w:name="_Hlk125111733"/>
      <w:r>
        <w:rPr>
          <w:rFonts w:ascii="Arial" w:hAnsi="Arial" w:cs="Arial"/>
          <w:b/>
        </w:rPr>
        <w:t>S</w:t>
      </w:r>
      <w:r w:rsidRPr="00EB6A30">
        <w:rPr>
          <w:rFonts w:ascii="Arial" w:hAnsi="Arial" w:cs="Arial"/>
          <w:b/>
          <w:sz w:val="22"/>
        </w:rPr>
        <w:t xml:space="preserve">ection </w:t>
      </w:r>
      <w:r w:rsidR="00AB6ECF">
        <w:rPr>
          <w:rFonts w:ascii="Arial" w:hAnsi="Arial" w:cs="Arial"/>
          <w:b/>
          <w:sz w:val="22"/>
        </w:rPr>
        <w:t>3</w:t>
      </w:r>
      <w:r w:rsidRPr="00EB6A30">
        <w:rPr>
          <w:rFonts w:ascii="Arial" w:hAnsi="Arial" w:cs="Arial"/>
          <w:b/>
          <w:sz w:val="22"/>
        </w:rPr>
        <w:t xml:space="preserve">: </w:t>
      </w:r>
      <w:bookmarkStart w:id="2" w:name="_Hlk124873330"/>
      <w:r w:rsidRPr="008F177A">
        <w:rPr>
          <w:rFonts w:ascii="Arial" w:hAnsi="Arial" w:cs="Arial"/>
          <w:b/>
        </w:rPr>
        <w:t>SDL&amp;I Objectives in line with Reconstruction and Development Program (RDP) Goals</w:t>
      </w:r>
    </w:p>
    <w:tbl>
      <w:tblPr>
        <w:tblStyle w:val="TableGrid"/>
        <w:tblW w:w="0" w:type="auto"/>
        <w:tblLook w:val="04A0" w:firstRow="1" w:lastRow="0" w:firstColumn="1" w:lastColumn="0" w:noHBand="0" w:noVBand="1"/>
      </w:tblPr>
      <w:tblGrid>
        <w:gridCol w:w="9016"/>
      </w:tblGrid>
      <w:tr w:rsidR="001A0679" w:rsidRPr="000C5130" w14:paraId="69891945" w14:textId="77777777" w:rsidTr="00477D5F">
        <w:tc>
          <w:tcPr>
            <w:tcW w:w="9016" w:type="dxa"/>
            <w:shd w:val="clear" w:color="auto" w:fill="000000" w:themeFill="text1"/>
          </w:tcPr>
          <w:bookmarkEnd w:id="2"/>
          <w:p w14:paraId="165C2F23" w14:textId="2C98591B" w:rsidR="001A0679" w:rsidRPr="000C5130" w:rsidRDefault="001A0679" w:rsidP="001A0679">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r w:rsidR="002A5585" w:rsidRPr="000C5130">
              <w:rPr>
                <w:rFonts w:ascii="Arial" w:hAnsi="Arial" w:cs="Arial"/>
                <w:sz w:val="20"/>
              </w:rPr>
              <w:t>scoring,</w:t>
            </w:r>
            <w:r w:rsidRPr="000C5130">
              <w:rPr>
                <w:rFonts w:ascii="Arial" w:hAnsi="Arial" w:cs="Arial"/>
                <w:sz w:val="20"/>
              </w:rPr>
              <w:t xml:space="preserve"> but commitments will form part of contractual obligations</w:t>
            </w:r>
          </w:p>
        </w:tc>
      </w:tr>
      <w:tr w:rsidR="001A0679" w:rsidRPr="000C5130" w14:paraId="18025565" w14:textId="77777777" w:rsidTr="00477D5F">
        <w:trPr>
          <w:trHeight w:val="723"/>
        </w:trPr>
        <w:tc>
          <w:tcPr>
            <w:tcW w:w="9016" w:type="dxa"/>
            <w:shd w:val="clear" w:color="auto" w:fill="FFFFFF" w:themeFill="background1"/>
          </w:tcPr>
          <w:p w14:paraId="2C9A663E" w14:textId="77777777" w:rsidR="00026784" w:rsidRDefault="00026784" w:rsidP="00026784">
            <w:pPr>
              <w:tabs>
                <w:tab w:val="left" w:pos="720"/>
              </w:tabs>
              <w:spacing w:line="360" w:lineRule="auto"/>
              <w:jc w:val="both"/>
              <w:rPr>
                <w:rFonts w:ascii="Arial" w:hAnsi="Arial" w:cs="Arial"/>
                <w:b/>
                <w:bCs/>
                <w:sz w:val="20"/>
              </w:rPr>
            </w:pPr>
          </w:p>
          <w:p w14:paraId="0751B642" w14:textId="75F3FF69" w:rsidR="00026784" w:rsidRPr="00B11F74" w:rsidRDefault="00026784" w:rsidP="00026784">
            <w:pPr>
              <w:tabs>
                <w:tab w:val="left" w:pos="720"/>
              </w:tabs>
              <w:spacing w:line="360" w:lineRule="auto"/>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 w:val="22"/>
                <w:szCs w:val="22"/>
              </w:rPr>
              <w:t>Transformation – BBBEE Improvement or Retention Plan</w:t>
            </w:r>
          </w:p>
          <w:p w14:paraId="64C9A38B" w14:textId="77777777" w:rsidR="00026784" w:rsidRPr="00DD747B" w:rsidRDefault="00026784" w:rsidP="00026784">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2693F3B9" w14:textId="77777777" w:rsidR="00026784" w:rsidRPr="00DD747B" w:rsidRDefault="00026784" w:rsidP="00026784">
            <w:pPr>
              <w:pStyle w:val="ListParagraph"/>
              <w:spacing w:after="200" w:line="360" w:lineRule="auto"/>
              <w:ind w:left="0"/>
              <w:jc w:val="both"/>
              <w:rPr>
                <w:rFonts w:ascii="Arial" w:hAnsi="Arial" w:cs="Arial"/>
                <w:sz w:val="16"/>
                <w:szCs w:val="16"/>
              </w:rPr>
            </w:pPr>
          </w:p>
          <w:p w14:paraId="14F9CD16" w14:textId="77777777" w:rsidR="00026784" w:rsidRPr="00DD747B" w:rsidRDefault="00026784" w:rsidP="00026784">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4E3D8667" w14:textId="77777777" w:rsidR="00026784" w:rsidRPr="00DD747B" w:rsidRDefault="00026784" w:rsidP="00026784">
            <w:pPr>
              <w:pStyle w:val="ListParagraph"/>
              <w:spacing w:after="200" w:line="360" w:lineRule="auto"/>
              <w:ind w:left="0"/>
              <w:jc w:val="both"/>
              <w:rPr>
                <w:rFonts w:ascii="Arial" w:hAnsi="Arial" w:cs="Arial"/>
                <w:sz w:val="16"/>
                <w:szCs w:val="16"/>
              </w:rPr>
            </w:pPr>
          </w:p>
          <w:p w14:paraId="295A0D36" w14:textId="77777777" w:rsidR="00026784" w:rsidRPr="00DD747B" w:rsidRDefault="00026784" w:rsidP="00026784">
            <w:pPr>
              <w:pStyle w:val="ListParagraph"/>
              <w:spacing w:after="200" w:line="360" w:lineRule="auto"/>
              <w:ind w:left="0"/>
              <w:jc w:val="both"/>
              <w:rPr>
                <w:rFonts w:ascii="Arial" w:hAnsi="Arial" w:cs="Arial"/>
                <w:sz w:val="20"/>
              </w:rPr>
            </w:pPr>
            <w:r w:rsidRPr="00DD747B">
              <w:rPr>
                <w:rFonts w:ascii="Arial" w:hAnsi="Arial" w:cs="Arial"/>
                <w:sz w:val="20"/>
              </w:rPr>
              <w:lastRenderedPageBreak/>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7EB9AAC1" w14:textId="77777777" w:rsidR="00026784" w:rsidRPr="00DD747B" w:rsidRDefault="00026784" w:rsidP="00026784">
            <w:pPr>
              <w:pStyle w:val="ListParagraph"/>
              <w:spacing w:after="200" w:line="360" w:lineRule="auto"/>
              <w:ind w:left="0"/>
              <w:jc w:val="both"/>
              <w:rPr>
                <w:rFonts w:ascii="Arial" w:hAnsi="Arial" w:cs="Arial"/>
                <w:sz w:val="16"/>
                <w:szCs w:val="16"/>
              </w:rPr>
            </w:pPr>
          </w:p>
          <w:p w14:paraId="33D89BA9" w14:textId="77777777" w:rsidR="00026784" w:rsidRPr="00DD747B" w:rsidRDefault="00026784" w:rsidP="00026784">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17D86B74" w14:textId="77777777" w:rsidR="00026784" w:rsidRPr="00DD747B" w:rsidRDefault="00026784" w:rsidP="00026784">
            <w:pPr>
              <w:pStyle w:val="ListParagraph"/>
              <w:spacing w:after="200" w:line="360" w:lineRule="auto"/>
              <w:ind w:left="0"/>
              <w:jc w:val="both"/>
              <w:rPr>
                <w:rFonts w:ascii="Arial" w:hAnsi="Arial" w:cs="Arial"/>
                <w:sz w:val="16"/>
                <w:szCs w:val="16"/>
              </w:rPr>
            </w:pPr>
          </w:p>
          <w:p w14:paraId="649EF870" w14:textId="77777777" w:rsidR="00026784" w:rsidRPr="00DD747B" w:rsidRDefault="00026784" w:rsidP="00026784">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p>
          <w:p w14:paraId="41ADBC7A" w14:textId="77777777" w:rsidR="00026784" w:rsidRPr="00DD747B" w:rsidRDefault="00026784" w:rsidP="00026784">
            <w:pPr>
              <w:spacing w:line="360" w:lineRule="auto"/>
              <w:jc w:val="both"/>
              <w:rPr>
                <w:sz w:val="20"/>
                <w:lang w:eastAsia="en-ZA"/>
              </w:rPr>
            </w:pPr>
            <w:r w:rsidRPr="00DD747B">
              <w:rPr>
                <w:rFonts w:ascii="Arial" w:hAnsi="Arial" w:cs="Arial"/>
                <w:b/>
                <w:bCs/>
                <w:sz w:val="20"/>
              </w:rPr>
              <w:t xml:space="preserve">NB: </w:t>
            </w:r>
            <w:r w:rsidRPr="00DD747B">
              <w:rPr>
                <w:rFonts w:ascii="Arial" w:hAnsi="Arial" w:cs="Arial"/>
                <w:sz w:val="20"/>
              </w:rPr>
              <w:t xml:space="preserve">A valid B-BBEE certificate or Sworn Affidavit is a condition for contract </w:t>
            </w:r>
            <w:proofErr w:type="gramStart"/>
            <w:r w:rsidRPr="00DD747B">
              <w:rPr>
                <w:rFonts w:ascii="Arial" w:hAnsi="Arial" w:cs="Arial"/>
                <w:sz w:val="20"/>
              </w:rPr>
              <w:t>award, if</w:t>
            </w:r>
            <w:proofErr w:type="gramEnd"/>
            <w:r w:rsidRPr="00DD747B">
              <w:rPr>
                <w:rFonts w:ascii="Arial" w:hAnsi="Arial" w:cs="Arial"/>
                <w:sz w:val="20"/>
              </w:rPr>
              <w:t xml:space="preserve">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 xml:space="preserve">Enterprise therefore you can submit Sworn Affidavit. If your annual Total Revenue is R50 Million or less, you qualify as Qualifying Small Enterprise and must comply with </w:t>
            </w:r>
            <w:proofErr w:type="gramStart"/>
            <w:r w:rsidRPr="00DD747B">
              <w:rPr>
                <w:rFonts w:ascii="Arial" w:hAnsi="Arial" w:cs="Arial"/>
                <w:sz w:val="20"/>
              </w:rPr>
              <w:t>all of</w:t>
            </w:r>
            <w:proofErr w:type="gramEnd"/>
            <w:r w:rsidRPr="00DD747B">
              <w:rPr>
                <w:rFonts w:ascii="Arial" w:hAnsi="Arial" w:cs="Arial"/>
                <w:sz w:val="20"/>
              </w:rPr>
              <w:t xml:space="preserve"> the elements of QSE score card relevant to your sector unless an entity is at least 51% Black owned you are required to obtain a Sworn affidavit. If your Annual Total Revenue is above R50m you need to submit a Valid B-BBEE certificate</w:t>
            </w:r>
          </w:p>
          <w:p w14:paraId="6D76F920" w14:textId="77777777" w:rsidR="00026784" w:rsidRPr="003C7A25" w:rsidRDefault="00026784" w:rsidP="00BB2C69">
            <w:pPr>
              <w:tabs>
                <w:tab w:val="left" w:pos="720"/>
              </w:tabs>
              <w:spacing w:line="276" w:lineRule="auto"/>
              <w:jc w:val="both"/>
              <w:rPr>
                <w:rFonts w:ascii="Arial" w:hAnsi="Arial" w:cs="Arial"/>
                <w:bCs/>
                <w:sz w:val="16"/>
                <w:szCs w:val="16"/>
              </w:rPr>
            </w:pPr>
          </w:p>
          <w:p w14:paraId="086AEFDD" w14:textId="6A8EB1F6" w:rsidR="001F5E4B" w:rsidRPr="00026784" w:rsidRDefault="001F5E4B" w:rsidP="00026784">
            <w:pPr>
              <w:pStyle w:val="ListParagraph"/>
              <w:numPr>
                <w:ilvl w:val="0"/>
                <w:numId w:val="16"/>
              </w:numPr>
              <w:tabs>
                <w:tab w:val="left" w:pos="720"/>
              </w:tabs>
              <w:spacing w:line="360" w:lineRule="auto"/>
              <w:jc w:val="both"/>
              <w:rPr>
                <w:rFonts w:ascii="Arial" w:hAnsi="Arial" w:cs="Arial"/>
                <w:b/>
                <w:sz w:val="20"/>
                <w:u w:val="single"/>
                <w:lang w:val="en-ZA"/>
              </w:rPr>
            </w:pPr>
            <w:r w:rsidRPr="00026784">
              <w:rPr>
                <w:rFonts w:ascii="Arial" w:hAnsi="Arial" w:cs="Arial"/>
                <w:b/>
                <w:sz w:val="20"/>
                <w:u w:val="single"/>
                <w:lang w:val="en-ZA"/>
              </w:rPr>
              <w:t xml:space="preserve">Local Procurement Content </w:t>
            </w:r>
          </w:p>
          <w:p w14:paraId="0980B46D" w14:textId="77777777" w:rsidR="001F5E4B" w:rsidRDefault="001F5E4B" w:rsidP="001F5E4B">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996637C" w14:textId="77777777" w:rsidR="001F5E4B" w:rsidRDefault="001F5E4B" w:rsidP="001F5E4B">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09735422" w14:textId="77777777" w:rsidR="001F5E4B" w:rsidRPr="003C7A25" w:rsidRDefault="001F5E4B" w:rsidP="001F5E4B">
            <w:pPr>
              <w:tabs>
                <w:tab w:val="left" w:pos="720"/>
              </w:tabs>
              <w:spacing w:line="360" w:lineRule="auto"/>
              <w:ind w:left="360"/>
              <w:jc w:val="both"/>
              <w:rPr>
                <w:rFonts w:ascii="Arial" w:hAnsi="Arial" w:cs="Arial"/>
                <w:sz w:val="16"/>
                <w:szCs w:val="16"/>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121"/>
              <w:gridCol w:w="2121"/>
            </w:tblGrid>
            <w:tr w:rsidR="00F9103A" w14:paraId="38A20B55" w14:textId="3900BED5" w:rsidTr="000B67DC">
              <w:tc>
                <w:tcPr>
                  <w:tcW w:w="3667" w:type="dxa"/>
                  <w:vMerge w:val="restart"/>
                  <w:tcBorders>
                    <w:top w:val="single" w:sz="4" w:space="0" w:color="auto"/>
                    <w:left w:val="single" w:sz="4" w:space="0" w:color="auto"/>
                    <w:bottom w:val="single" w:sz="4" w:space="0" w:color="auto"/>
                    <w:right w:val="single" w:sz="4" w:space="0" w:color="auto"/>
                  </w:tcBorders>
                  <w:hideMark/>
                </w:tcPr>
                <w:p w14:paraId="286F45CA" w14:textId="77777777" w:rsidR="00F9103A" w:rsidRDefault="00F9103A" w:rsidP="00F9103A">
                  <w:pPr>
                    <w:spacing w:line="276" w:lineRule="auto"/>
                    <w:rPr>
                      <w:rFonts w:ascii="Arial" w:hAnsi="Arial" w:cs="Arial"/>
                      <w:b/>
                      <w:bCs/>
                      <w:color w:val="000000"/>
                      <w:sz w:val="20"/>
                    </w:rPr>
                  </w:pPr>
                </w:p>
                <w:p w14:paraId="4FD51B04" w14:textId="77777777" w:rsidR="00F9103A" w:rsidRDefault="00F9103A" w:rsidP="00F9103A">
                  <w:pPr>
                    <w:spacing w:line="276" w:lineRule="auto"/>
                    <w:rPr>
                      <w:rFonts w:ascii="Arial" w:hAnsi="Arial" w:cs="Arial"/>
                      <w:b/>
                      <w:sz w:val="20"/>
                    </w:rPr>
                  </w:pPr>
                  <w:r>
                    <w:rPr>
                      <w:rFonts w:ascii="Arial" w:hAnsi="Arial" w:cs="Arial"/>
                      <w:b/>
                      <w:bCs/>
                      <w:color w:val="000000"/>
                      <w:sz w:val="20"/>
                    </w:rPr>
                    <w:t xml:space="preserve">Local Procurement Content </w:t>
                  </w:r>
                </w:p>
              </w:tc>
              <w:tc>
                <w:tcPr>
                  <w:tcW w:w="2121" w:type="dxa"/>
                  <w:tcBorders>
                    <w:top w:val="single" w:sz="4" w:space="0" w:color="auto"/>
                    <w:left w:val="single" w:sz="4" w:space="0" w:color="auto"/>
                    <w:bottom w:val="single" w:sz="4" w:space="0" w:color="auto"/>
                    <w:right w:val="single" w:sz="4" w:space="0" w:color="auto"/>
                  </w:tcBorders>
                </w:tcPr>
                <w:p w14:paraId="3D7A50FB" w14:textId="77777777" w:rsidR="00F9103A" w:rsidRDefault="00F9103A" w:rsidP="00F9103A">
                  <w:pPr>
                    <w:spacing w:line="276" w:lineRule="auto"/>
                    <w:jc w:val="center"/>
                    <w:rPr>
                      <w:rFonts w:ascii="Arial" w:hAnsi="Arial" w:cs="Arial"/>
                      <w:b/>
                      <w:sz w:val="20"/>
                    </w:rPr>
                  </w:pPr>
                  <w:r>
                    <w:rPr>
                      <w:rFonts w:ascii="Arial" w:hAnsi="Arial" w:cs="Arial"/>
                      <w:b/>
                      <w:sz w:val="20"/>
                    </w:rPr>
                    <w:t>Eskom target</w:t>
                  </w:r>
                </w:p>
              </w:tc>
              <w:tc>
                <w:tcPr>
                  <w:tcW w:w="2121" w:type="dxa"/>
                  <w:tcBorders>
                    <w:top w:val="single" w:sz="4" w:space="0" w:color="auto"/>
                    <w:left w:val="single" w:sz="4" w:space="0" w:color="auto"/>
                    <w:bottom w:val="single" w:sz="4" w:space="0" w:color="auto"/>
                    <w:right w:val="single" w:sz="4" w:space="0" w:color="auto"/>
                  </w:tcBorders>
                </w:tcPr>
                <w:p w14:paraId="6CA5CFA3" w14:textId="6E202CFB" w:rsidR="00F9103A" w:rsidRDefault="00F9103A" w:rsidP="00F9103A">
                  <w:pPr>
                    <w:spacing w:line="276" w:lineRule="auto"/>
                    <w:jc w:val="center"/>
                    <w:rPr>
                      <w:rFonts w:ascii="Arial" w:hAnsi="Arial" w:cs="Arial"/>
                      <w:b/>
                      <w:sz w:val="20"/>
                    </w:rPr>
                  </w:pPr>
                  <w:r>
                    <w:rPr>
                      <w:rFonts w:ascii="Arial" w:hAnsi="Arial" w:cs="Arial"/>
                      <w:b/>
                      <w:sz w:val="20"/>
                    </w:rPr>
                    <w:t>Propose</w:t>
                  </w:r>
                </w:p>
              </w:tc>
            </w:tr>
            <w:tr w:rsidR="00F9103A" w14:paraId="0810ADF8" w14:textId="301B8D63" w:rsidTr="000B67DC">
              <w:trPr>
                <w:trHeight w:val="652"/>
              </w:trPr>
              <w:tc>
                <w:tcPr>
                  <w:tcW w:w="3667" w:type="dxa"/>
                  <w:vMerge/>
                  <w:tcBorders>
                    <w:top w:val="single" w:sz="4" w:space="0" w:color="auto"/>
                    <w:left w:val="single" w:sz="4" w:space="0" w:color="auto"/>
                    <w:bottom w:val="single" w:sz="4" w:space="0" w:color="auto"/>
                    <w:right w:val="single" w:sz="4" w:space="0" w:color="auto"/>
                  </w:tcBorders>
                  <w:vAlign w:val="center"/>
                  <w:hideMark/>
                </w:tcPr>
                <w:p w14:paraId="3B9986CF" w14:textId="77777777" w:rsidR="00F9103A" w:rsidRDefault="00F9103A" w:rsidP="00F9103A">
                  <w:pPr>
                    <w:rPr>
                      <w:rFonts w:ascii="Arial" w:hAnsi="Arial" w:cs="Arial"/>
                      <w:b/>
                      <w:sz w:val="20"/>
                    </w:rPr>
                  </w:pPr>
                </w:p>
              </w:tc>
              <w:tc>
                <w:tcPr>
                  <w:tcW w:w="2121" w:type="dxa"/>
                  <w:tcBorders>
                    <w:top w:val="single" w:sz="4" w:space="0" w:color="auto"/>
                    <w:left w:val="single" w:sz="4" w:space="0" w:color="auto"/>
                    <w:bottom w:val="single" w:sz="4" w:space="0" w:color="auto"/>
                    <w:right w:val="single" w:sz="4" w:space="0" w:color="auto"/>
                  </w:tcBorders>
                </w:tcPr>
                <w:p w14:paraId="0BD57F41" w14:textId="77777777" w:rsidR="00F9103A" w:rsidRDefault="00F9103A" w:rsidP="00F9103A">
                  <w:pPr>
                    <w:spacing w:line="276" w:lineRule="auto"/>
                    <w:jc w:val="center"/>
                    <w:rPr>
                      <w:rFonts w:ascii="Arial" w:hAnsi="Arial" w:cs="Arial"/>
                      <w:b/>
                      <w:sz w:val="20"/>
                    </w:rPr>
                  </w:pPr>
                </w:p>
                <w:p w14:paraId="187FA21A" w14:textId="18DA4356" w:rsidR="00F9103A" w:rsidRPr="007D4E0A" w:rsidRDefault="00B00EB3" w:rsidP="00F9103A">
                  <w:pPr>
                    <w:spacing w:line="276" w:lineRule="auto"/>
                    <w:jc w:val="center"/>
                    <w:rPr>
                      <w:rFonts w:ascii="Arial" w:hAnsi="Arial" w:cs="Arial"/>
                      <w:sz w:val="20"/>
                    </w:rPr>
                  </w:pPr>
                  <w:r>
                    <w:rPr>
                      <w:rFonts w:ascii="Arial" w:hAnsi="Arial" w:cs="Arial"/>
                      <w:sz w:val="20"/>
                    </w:rPr>
                    <w:t>10</w:t>
                  </w:r>
                  <w:r w:rsidR="000177B1">
                    <w:rPr>
                      <w:rFonts w:ascii="Arial" w:hAnsi="Arial" w:cs="Arial"/>
                      <w:sz w:val="20"/>
                    </w:rPr>
                    <w:t>0</w:t>
                  </w:r>
                  <w:r w:rsidR="00F9103A" w:rsidRPr="007D4E0A">
                    <w:rPr>
                      <w:rFonts w:ascii="Arial" w:hAnsi="Arial" w:cs="Arial"/>
                      <w:sz w:val="20"/>
                    </w:rPr>
                    <w:t>%</w:t>
                  </w:r>
                </w:p>
              </w:tc>
              <w:tc>
                <w:tcPr>
                  <w:tcW w:w="2121" w:type="dxa"/>
                  <w:tcBorders>
                    <w:top w:val="single" w:sz="4" w:space="0" w:color="auto"/>
                    <w:left w:val="single" w:sz="4" w:space="0" w:color="auto"/>
                    <w:bottom w:val="single" w:sz="4" w:space="0" w:color="auto"/>
                    <w:right w:val="single" w:sz="4" w:space="0" w:color="auto"/>
                  </w:tcBorders>
                </w:tcPr>
                <w:p w14:paraId="2CBC88DF" w14:textId="77777777" w:rsidR="00F9103A" w:rsidRDefault="00F9103A" w:rsidP="00F9103A">
                  <w:pPr>
                    <w:spacing w:line="276" w:lineRule="auto"/>
                    <w:jc w:val="center"/>
                    <w:rPr>
                      <w:rFonts w:ascii="Arial" w:hAnsi="Arial" w:cs="Arial"/>
                      <w:b/>
                      <w:sz w:val="20"/>
                    </w:rPr>
                  </w:pPr>
                </w:p>
                <w:p w14:paraId="2C0BDB78" w14:textId="5EAD236E" w:rsidR="00F9103A" w:rsidRDefault="00F9103A" w:rsidP="00F9103A">
                  <w:pPr>
                    <w:spacing w:line="276" w:lineRule="auto"/>
                    <w:jc w:val="center"/>
                    <w:rPr>
                      <w:rFonts w:ascii="Arial" w:hAnsi="Arial" w:cs="Arial"/>
                      <w:b/>
                      <w:sz w:val="20"/>
                    </w:rPr>
                  </w:pPr>
                </w:p>
              </w:tc>
            </w:tr>
          </w:tbl>
          <w:p w14:paraId="066FD1EA" w14:textId="77777777" w:rsidR="00CC4075" w:rsidRPr="003C7A25" w:rsidRDefault="00CC4075" w:rsidP="001F5E4B">
            <w:pPr>
              <w:tabs>
                <w:tab w:val="left" w:pos="720"/>
              </w:tabs>
              <w:spacing w:line="276" w:lineRule="auto"/>
              <w:jc w:val="both"/>
              <w:rPr>
                <w:rFonts w:ascii="Arial" w:hAnsi="Arial" w:cs="Arial"/>
                <w:bCs/>
                <w:sz w:val="16"/>
                <w:szCs w:val="16"/>
                <w:lang w:val="en-ZA"/>
              </w:rPr>
            </w:pPr>
          </w:p>
          <w:p w14:paraId="19A884A5" w14:textId="1AD3F0B8" w:rsidR="00BB2C69" w:rsidRDefault="00536E30" w:rsidP="00BB2C69">
            <w:pPr>
              <w:pStyle w:val="ListParagraph"/>
              <w:numPr>
                <w:ilvl w:val="0"/>
                <w:numId w:val="16"/>
              </w:numPr>
              <w:tabs>
                <w:tab w:val="left" w:pos="720"/>
              </w:tabs>
              <w:spacing w:line="360" w:lineRule="auto"/>
              <w:jc w:val="both"/>
              <w:rPr>
                <w:rFonts w:ascii="Arial" w:hAnsi="Arial" w:cs="Arial"/>
                <w:b/>
                <w:bCs/>
                <w:sz w:val="20"/>
                <w:u w:val="single"/>
                <w:lang w:val="en-ZA"/>
              </w:rPr>
            </w:pPr>
            <w:r>
              <w:rPr>
                <w:rFonts w:ascii="Arial" w:hAnsi="Arial" w:cs="Arial"/>
                <w:b/>
                <w:bCs/>
                <w:sz w:val="20"/>
                <w:u w:val="single"/>
                <w:lang w:val="en-ZA"/>
              </w:rPr>
              <w:t>Sub-Contract</w:t>
            </w:r>
            <w:r w:rsidR="004C50A1">
              <w:rPr>
                <w:rFonts w:ascii="Arial" w:hAnsi="Arial" w:cs="Arial"/>
                <w:b/>
                <w:bCs/>
                <w:sz w:val="20"/>
                <w:u w:val="single"/>
                <w:lang w:val="en-ZA"/>
              </w:rPr>
              <w:t xml:space="preserve"> N/A</w:t>
            </w:r>
          </w:p>
          <w:p w14:paraId="4FC67C17" w14:textId="0C934F82" w:rsidR="00477D5F" w:rsidRDefault="00477D5F" w:rsidP="00477D5F">
            <w:pPr>
              <w:pStyle w:val="ListParagraph"/>
              <w:tabs>
                <w:tab w:val="left" w:pos="720"/>
              </w:tabs>
              <w:spacing w:line="360" w:lineRule="auto"/>
              <w:jc w:val="both"/>
              <w:rPr>
                <w:rFonts w:ascii="Arial" w:hAnsi="Arial" w:cs="Arial"/>
                <w:b/>
                <w:bCs/>
                <w:sz w:val="20"/>
                <w:u w:val="single"/>
                <w:lang w:val="en-ZA"/>
              </w:rPr>
            </w:pPr>
          </w:p>
          <w:p w14:paraId="0A5DD6D7" w14:textId="77777777" w:rsidR="00477D5F" w:rsidRDefault="00477D5F" w:rsidP="00477D5F">
            <w:pPr>
              <w:pStyle w:val="ListParagraph"/>
              <w:tabs>
                <w:tab w:val="left" w:pos="720"/>
              </w:tabs>
              <w:spacing w:line="360" w:lineRule="auto"/>
              <w:jc w:val="both"/>
              <w:rPr>
                <w:rFonts w:ascii="Arial" w:hAnsi="Arial" w:cs="Arial"/>
                <w:b/>
                <w:bCs/>
                <w:sz w:val="20"/>
                <w:u w:val="single"/>
                <w:lang w:val="en-ZA"/>
              </w:rPr>
            </w:pPr>
          </w:p>
          <w:p w14:paraId="38F3D721" w14:textId="6BD2BFE9" w:rsidR="00536E30" w:rsidRDefault="00536E30" w:rsidP="00536E30">
            <w:pPr>
              <w:pStyle w:val="ListParagraph"/>
              <w:tabs>
                <w:tab w:val="left" w:pos="720"/>
              </w:tabs>
              <w:spacing w:line="360" w:lineRule="auto"/>
              <w:jc w:val="both"/>
              <w:rPr>
                <w:rFonts w:ascii="Arial" w:hAnsi="Arial" w:cs="Arial"/>
                <w:b/>
                <w:bCs/>
                <w:sz w:val="20"/>
                <w:u w:val="single"/>
                <w:lang w:val="en-ZA"/>
              </w:rPr>
            </w:pPr>
          </w:p>
          <w:p w14:paraId="1D65BD6F" w14:textId="40292508" w:rsidR="0043150C" w:rsidRPr="00026784" w:rsidRDefault="0043150C" w:rsidP="00026784">
            <w:pPr>
              <w:pStyle w:val="ListParagraph"/>
              <w:numPr>
                <w:ilvl w:val="0"/>
                <w:numId w:val="16"/>
              </w:numPr>
              <w:tabs>
                <w:tab w:val="left" w:pos="720"/>
              </w:tabs>
              <w:spacing w:line="360" w:lineRule="auto"/>
              <w:jc w:val="both"/>
              <w:rPr>
                <w:rFonts w:ascii="Arial" w:hAnsi="Arial" w:cs="Arial"/>
                <w:b/>
                <w:sz w:val="20"/>
                <w:lang w:val="en-ZA"/>
              </w:rPr>
            </w:pPr>
            <w:r w:rsidRPr="00026784">
              <w:rPr>
                <w:rFonts w:ascii="Arial" w:hAnsi="Arial" w:cs="Arial"/>
                <w:b/>
                <w:sz w:val="20"/>
                <w:lang w:val="en-ZA"/>
              </w:rPr>
              <w:t>Jobs.</w:t>
            </w:r>
            <w:r w:rsidRPr="00026784">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63210F48" w14:textId="77777777" w:rsidR="0043150C" w:rsidRPr="003C7A25" w:rsidRDefault="0043150C" w:rsidP="0043150C">
            <w:pPr>
              <w:tabs>
                <w:tab w:val="left" w:pos="720"/>
              </w:tabs>
              <w:spacing w:line="360" w:lineRule="auto"/>
              <w:ind w:left="360"/>
              <w:jc w:val="both"/>
              <w:rPr>
                <w:rFonts w:ascii="Arial" w:hAnsi="Arial" w:cs="Arial"/>
                <w:bCs/>
                <w:sz w:val="16"/>
                <w:szCs w:val="16"/>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43150C" w:rsidRPr="000C5130" w14:paraId="016E4A38" w14:textId="77777777" w:rsidTr="00233D14">
              <w:trPr>
                <w:trHeight w:val="323"/>
              </w:trPr>
              <w:tc>
                <w:tcPr>
                  <w:tcW w:w="3783" w:type="dxa"/>
                  <w:shd w:val="clear" w:color="auto" w:fill="D9D9D9" w:themeFill="background1" w:themeFillShade="D9"/>
                </w:tcPr>
                <w:p w14:paraId="065433B2" w14:textId="77777777" w:rsidR="0043150C" w:rsidRPr="000C5130" w:rsidRDefault="0043150C" w:rsidP="0043150C">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783" w:type="dxa"/>
                  <w:shd w:val="clear" w:color="auto" w:fill="D9D9D9" w:themeFill="background1" w:themeFillShade="D9"/>
                </w:tcPr>
                <w:p w14:paraId="674FF4C6" w14:textId="77777777" w:rsidR="0043150C" w:rsidRPr="000C5130" w:rsidRDefault="0043150C" w:rsidP="0043150C">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43150C" w:rsidRPr="000C5130" w14:paraId="2B68A7C9" w14:textId="77777777" w:rsidTr="00233D14">
              <w:trPr>
                <w:trHeight w:val="340"/>
              </w:trPr>
              <w:tc>
                <w:tcPr>
                  <w:tcW w:w="3783" w:type="dxa"/>
                  <w:shd w:val="clear" w:color="auto" w:fill="auto"/>
                </w:tcPr>
                <w:p w14:paraId="7F21E43D" w14:textId="77777777" w:rsidR="0043150C" w:rsidRPr="000C5130" w:rsidRDefault="0043150C" w:rsidP="0043150C">
                  <w:pPr>
                    <w:tabs>
                      <w:tab w:val="left" w:pos="720"/>
                    </w:tabs>
                    <w:spacing w:line="276" w:lineRule="auto"/>
                    <w:jc w:val="both"/>
                    <w:rPr>
                      <w:rFonts w:ascii="Arial" w:hAnsi="Arial" w:cs="Arial"/>
                      <w:sz w:val="20"/>
                    </w:rPr>
                  </w:pPr>
                </w:p>
              </w:tc>
              <w:tc>
                <w:tcPr>
                  <w:tcW w:w="3783" w:type="dxa"/>
                  <w:shd w:val="clear" w:color="auto" w:fill="auto"/>
                </w:tcPr>
                <w:p w14:paraId="523DE435" w14:textId="77777777" w:rsidR="0043150C" w:rsidRPr="000C5130" w:rsidRDefault="0043150C" w:rsidP="0043150C">
                  <w:pPr>
                    <w:tabs>
                      <w:tab w:val="left" w:pos="720"/>
                    </w:tabs>
                    <w:spacing w:line="276" w:lineRule="auto"/>
                    <w:jc w:val="both"/>
                    <w:rPr>
                      <w:rFonts w:ascii="Arial" w:hAnsi="Arial" w:cs="Arial"/>
                      <w:sz w:val="20"/>
                    </w:rPr>
                  </w:pPr>
                </w:p>
              </w:tc>
            </w:tr>
          </w:tbl>
          <w:p w14:paraId="68F99E63" w14:textId="77777777" w:rsidR="0043150C" w:rsidRDefault="0043150C" w:rsidP="0043150C">
            <w:pPr>
              <w:tabs>
                <w:tab w:val="left" w:pos="720"/>
              </w:tabs>
              <w:spacing w:line="360" w:lineRule="auto"/>
              <w:ind w:left="360"/>
              <w:jc w:val="both"/>
              <w:rPr>
                <w:rFonts w:ascii="Arial" w:hAnsi="Arial" w:cs="Arial"/>
                <w:b/>
                <w:sz w:val="20"/>
                <w:lang w:val="en-ZA"/>
              </w:rPr>
            </w:pPr>
          </w:p>
          <w:p w14:paraId="4B3E2A09" w14:textId="77777777" w:rsidR="0043150C" w:rsidRPr="006E4F88" w:rsidRDefault="0043150C" w:rsidP="0043150C">
            <w:pPr>
              <w:tabs>
                <w:tab w:val="left" w:pos="720"/>
              </w:tabs>
              <w:spacing w:line="360" w:lineRule="auto"/>
              <w:ind w:left="360"/>
              <w:jc w:val="both"/>
              <w:rPr>
                <w:rFonts w:ascii="Arial" w:hAnsi="Arial" w:cs="Arial"/>
                <w:b/>
                <w:sz w:val="20"/>
                <w:lang w:val="en-ZA"/>
              </w:rPr>
            </w:pPr>
          </w:p>
          <w:p w14:paraId="2ADF6E97" w14:textId="77777777" w:rsidR="0043150C" w:rsidRDefault="0043150C" w:rsidP="0043150C">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783"/>
            </w:tblGrid>
            <w:tr w:rsidR="0043150C" w:rsidRPr="000C5130" w14:paraId="772D2381" w14:textId="77777777" w:rsidTr="00233D14">
              <w:trPr>
                <w:trHeight w:val="323"/>
              </w:trPr>
              <w:tc>
                <w:tcPr>
                  <w:tcW w:w="3783" w:type="dxa"/>
                  <w:shd w:val="clear" w:color="auto" w:fill="D9D9D9" w:themeFill="background1" w:themeFillShade="D9"/>
                </w:tcPr>
                <w:p w14:paraId="58A27018" w14:textId="77777777" w:rsidR="0043150C" w:rsidRPr="000C5130" w:rsidRDefault="0043150C" w:rsidP="0043150C">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783" w:type="dxa"/>
                  <w:shd w:val="clear" w:color="auto" w:fill="D9D9D9" w:themeFill="background1" w:themeFillShade="D9"/>
                </w:tcPr>
                <w:p w14:paraId="6AB32F5E" w14:textId="77777777" w:rsidR="0043150C" w:rsidRPr="000C5130" w:rsidRDefault="0043150C" w:rsidP="0043150C">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43150C" w:rsidRPr="000C5130" w14:paraId="3E4AEA8B" w14:textId="77777777" w:rsidTr="00233D14">
              <w:trPr>
                <w:trHeight w:val="340"/>
              </w:trPr>
              <w:tc>
                <w:tcPr>
                  <w:tcW w:w="3783" w:type="dxa"/>
                  <w:shd w:val="clear" w:color="auto" w:fill="auto"/>
                </w:tcPr>
                <w:p w14:paraId="19B7FD75" w14:textId="77777777" w:rsidR="0043150C" w:rsidRPr="000C5130" w:rsidRDefault="0043150C" w:rsidP="0043150C">
                  <w:pPr>
                    <w:tabs>
                      <w:tab w:val="left" w:pos="720"/>
                    </w:tabs>
                    <w:spacing w:line="276" w:lineRule="auto"/>
                    <w:jc w:val="both"/>
                    <w:rPr>
                      <w:rFonts w:ascii="Arial" w:hAnsi="Arial" w:cs="Arial"/>
                      <w:sz w:val="20"/>
                    </w:rPr>
                  </w:pPr>
                </w:p>
              </w:tc>
              <w:tc>
                <w:tcPr>
                  <w:tcW w:w="3783" w:type="dxa"/>
                  <w:shd w:val="clear" w:color="auto" w:fill="auto"/>
                </w:tcPr>
                <w:p w14:paraId="42833311" w14:textId="77777777" w:rsidR="0043150C" w:rsidRPr="000C5130" w:rsidRDefault="0043150C" w:rsidP="0043150C">
                  <w:pPr>
                    <w:tabs>
                      <w:tab w:val="left" w:pos="720"/>
                    </w:tabs>
                    <w:spacing w:line="276" w:lineRule="auto"/>
                    <w:jc w:val="both"/>
                    <w:rPr>
                      <w:rFonts w:ascii="Arial" w:hAnsi="Arial" w:cs="Arial"/>
                      <w:sz w:val="20"/>
                    </w:rPr>
                  </w:pPr>
                </w:p>
              </w:tc>
            </w:tr>
          </w:tbl>
          <w:p w14:paraId="5B14A864" w14:textId="77777777" w:rsidR="0043150C" w:rsidRDefault="0043150C" w:rsidP="0043150C">
            <w:pPr>
              <w:pStyle w:val="ListParagraph"/>
              <w:rPr>
                <w:rFonts w:ascii="Arial" w:hAnsi="Arial" w:cs="Arial"/>
                <w:b/>
                <w:sz w:val="20"/>
                <w:lang w:val="en-ZA"/>
              </w:rPr>
            </w:pPr>
          </w:p>
          <w:p w14:paraId="428CF29F" w14:textId="77777777" w:rsidR="0043150C" w:rsidRDefault="0043150C" w:rsidP="0043150C">
            <w:pPr>
              <w:pStyle w:val="ListParagraph"/>
              <w:rPr>
                <w:rFonts w:ascii="Arial" w:hAnsi="Arial" w:cs="Arial"/>
                <w:b/>
                <w:sz w:val="20"/>
                <w:lang w:val="en-ZA"/>
              </w:rPr>
            </w:pPr>
          </w:p>
          <w:p w14:paraId="3444A5FD" w14:textId="77777777" w:rsidR="0043150C" w:rsidRDefault="0043150C" w:rsidP="0043150C">
            <w:pPr>
              <w:pStyle w:val="ListParagraph"/>
              <w:rPr>
                <w:rFonts w:ascii="Arial" w:hAnsi="Arial" w:cs="Arial"/>
                <w:b/>
                <w:sz w:val="20"/>
                <w:lang w:val="en-ZA"/>
              </w:rPr>
            </w:pPr>
          </w:p>
          <w:p w14:paraId="2928CDA3" w14:textId="6A1BCC76" w:rsidR="0043150C" w:rsidRDefault="0043150C" w:rsidP="00CF56BE">
            <w:pPr>
              <w:tabs>
                <w:tab w:val="left" w:pos="720"/>
              </w:tabs>
              <w:spacing w:line="276" w:lineRule="auto"/>
              <w:jc w:val="both"/>
              <w:rPr>
                <w:rFonts w:ascii="Arial" w:hAnsi="Arial" w:cs="Arial"/>
                <w:sz w:val="20"/>
                <w:lang w:val="en-ZA"/>
              </w:rPr>
            </w:pPr>
          </w:p>
          <w:p w14:paraId="477FBDBB" w14:textId="77777777" w:rsidR="00AF3513" w:rsidRDefault="00AF3513" w:rsidP="00CF56BE">
            <w:pPr>
              <w:tabs>
                <w:tab w:val="left" w:pos="720"/>
              </w:tabs>
              <w:spacing w:line="276" w:lineRule="auto"/>
              <w:jc w:val="both"/>
              <w:rPr>
                <w:rFonts w:ascii="Arial" w:hAnsi="Arial" w:cs="Arial"/>
                <w:sz w:val="20"/>
                <w:lang w:val="en-ZA"/>
              </w:rPr>
            </w:pPr>
          </w:p>
          <w:p w14:paraId="7634D2D4" w14:textId="780CFBE0" w:rsidR="001F5E4B" w:rsidRPr="00026784" w:rsidRDefault="00BD655D" w:rsidP="00026784">
            <w:pPr>
              <w:pStyle w:val="ListParagraph"/>
              <w:numPr>
                <w:ilvl w:val="0"/>
                <w:numId w:val="16"/>
              </w:numPr>
              <w:tabs>
                <w:tab w:val="left" w:pos="720"/>
              </w:tabs>
              <w:spacing w:line="276" w:lineRule="auto"/>
              <w:jc w:val="both"/>
              <w:rPr>
                <w:rFonts w:ascii="Arial" w:hAnsi="Arial" w:cs="Arial"/>
                <w:b/>
                <w:sz w:val="20"/>
                <w:lang w:val="en-ZA"/>
              </w:rPr>
            </w:pPr>
            <w:r w:rsidRPr="00026784">
              <w:rPr>
                <w:rFonts w:ascii="Arial" w:hAnsi="Arial" w:cs="Arial"/>
                <w:b/>
                <w:sz w:val="20"/>
                <w:lang w:val="en-ZA"/>
              </w:rPr>
              <w:t>S</w:t>
            </w:r>
            <w:r w:rsidR="001F5E4B" w:rsidRPr="00026784">
              <w:rPr>
                <w:rFonts w:ascii="Arial" w:hAnsi="Arial" w:cs="Arial"/>
                <w:b/>
                <w:sz w:val="20"/>
                <w:lang w:val="en-ZA"/>
              </w:rPr>
              <w:t>kills development</w:t>
            </w:r>
            <w:r w:rsidR="00E30E79">
              <w:rPr>
                <w:rFonts w:ascii="Arial" w:hAnsi="Arial" w:cs="Arial"/>
                <w:b/>
                <w:sz w:val="20"/>
                <w:lang w:val="en-ZA"/>
              </w:rPr>
              <w:t xml:space="preserve"> </w:t>
            </w:r>
            <w:r w:rsidR="00C262D6">
              <w:rPr>
                <w:rFonts w:ascii="Arial" w:hAnsi="Arial" w:cs="Arial"/>
                <w:b/>
                <w:sz w:val="20"/>
                <w:lang w:val="en-ZA"/>
              </w:rPr>
              <w:t>(refer</w:t>
            </w:r>
            <w:r w:rsidR="00E30E79">
              <w:rPr>
                <w:rFonts w:ascii="Arial" w:hAnsi="Arial" w:cs="Arial"/>
                <w:b/>
                <w:sz w:val="20"/>
                <w:lang w:val="en-ZA"/>
              </w:rPr>
              <w:t xml:space="preserve"> to Enterprise development point 3 and</w:t>
            </w:r>
            <w:r w:rsidR="00C262D6">
              <w:rPr>
                <w:rFonts w:ascii="Arial" w:hAnsi="Arial" w:cs="Arial"/>
                <w:b/>
                <w:sz w:val="20"/>
                <w:lang w:val="en-ZA"/>
              </w:rPr>
              <w:t xml:space="preserve"> this table</w:t>
            </w:r>
            <w:r w:rsidR="00E30E79">
              <w:rPr>
                <w:rFonts w:ascii="Arial" w:hAnsi="Arial" w:cs="Arial"/>
                <w:b/>
                <w:sz w:val="20"/>
                <w:lang w:val="en-ZA"/>
              </w:rPr>
              <w:t xml:space="preserve"> to be used as a guide)</w:t>
            </w:r>
          </w:p>
          <w:p w14:paraId="1BDAA558" w14:textId="77777777" w:rsidR="00BD655D" w:rsidRPr="0063091C" w:rsidRDefault="00BD655D" w:rsidP="00BD655D">
            <w:pPr>
              <w:tabs>
                <w:tab w:val="left" w:pos="720"/>
              </w:tabs>
              <w:jc w:val="both"/>
              <w:rPr>
                <w:rFonts w:ascii="Arial" w:hAnsi="Arial" w:cs="Arial"/>
                <w:sz w:val="16"/>
                <w:szCs w:val="16"/>
              </w:rPr>
            </w:pPr>
          </w:p>
          <w:p w14:paraId="520DE487" w14:textId="77777777" w:rsidR="00560D72" w:rsidRPr="0063091C" w:rsidRDefault="00560D72" w:rsidP="00560D72">
            <w:pPr>
              <w:tabs>
                <w:tab w:val="left" w:pos="720"/>
              </w:tabs>
              <w:jc w:val="both"/>
              <w:rPr>
                <w:rFonts w:ascii="Arial" w:hAnsi="Arial" w:cs="Arial"/>
                <w:sz w:val="16"/>
                <w:szCs w:val="16"/>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2328"/>
              <w:gridCol w:w="2430"/>
            </w:tblGrid>
            <w:tr w:rsidR="00560D72" w:rsidRPr="000C5130" w14:paraId="6FF4CC37" w14:textId="77777777" w:rsidTr="00FB31F7">
              <w:trPr>
                <w:trHeight w:val="359"/>
              </w:trPr>
              <w:tc>
                <w:tcPr>
                  <w:tcW w:w="3419" w:type="dxa"/>
                  <w:shd w:val="clear" w:color="auto" w:fill="D9D9D9" w:themeFill="background1" w:themeFillShade="D9"/>
                </w:tcPr>
                <w:p w14:paraId="7A050221" w14:textId="700D22AF" w:rsidR="00560D72" w:rsidRPr="000C5130" w:rsidRDefault="002A1E23" w:rsidP="00560D72">
                  <w:pPr>
                    <w:tabs>
                      <w:tab w:val="left" w:pos="720"/>
                    </w:tabs>
                    <w:jc w:val="center"/>
                    <w:rPr>
                      <w:rFonts w:ascii="Arial" w:hAnsi="Arial" w:cs="Arial"/>
                      <w:b/>
                      <w:sz w:val="20"/>
                    </w:rPr>
                  </w:pPr>
                  <w:r>
                    <w:rPr>
                      <w:rFonts w:ascii="Arial" w:hAnsi="Arial" w:cs="Arial"/>
                      <w:sz w:val="20"/>
                    </w:rPr>
                    <w:t>.</w:t>
                  </w:r>
                  <w:r>
                    <w:rPr>
                      <w:rFonts w:ascii="Arial" w:hAnsi="Arial" w:cs="Arial"/>
                      <w:b/>
                      <w:sz w:val="20"/>
                    </w:rPr>
                    <w:t xml:space="preserve"> Skill</w:t>
                  </w:r>
                  <w:r w:rsidR="00560D72">
                    <w:rPr>
                      <w:rFonts w:ascii="Arial" w:hAnsi="Arial" w:cs="Arial"/>
                      <w:b/>
                      <w:sz w:val="20"/>
                    </w:rPr>
                    <w:t xml:space="preserve"> type / Occupation</w:t>
                  </w:r>
                </w:p>
              </w:tc>
              <w:tc>
                <w:tcPr>
                  <w:tcW w:w="2328" w:type="dxa"/>
                  <w:shd w:val="clear" w:color="auto" w:fill="D9D9D9" w:themeFill="background1" w:themeFillShade="D9"/>
                </w:tcPr>
                <w:p w14:paraId="2D2FAC31" w14:textId="77777777" w:rsidR="00560D72" w:rsidRDefault="00560D72" w:rsidP="00560D72">
                  <w:pPr>
                    <w:tabs>
                      <w:tab w:val="left" w:pos="720"/>
                    </w:tabs>
                    <w:jc w:val="center"/>
                    <w:rPr>
                      <w:rFonts w:ascii="Arial" w:hAnsi="Arial" w:cs="Arial"/>
                      <w:b/>
                      <w:sz w:val="20"/>
                    </w:rPr>
                  </w:pPr>
                  <w:r>
                    <w:rPr>
                      <w:rFonts w:ascii="Arial" w:hAnsi="Arial" w:cs="Arial"/>
                      <w:b/>
                      <w:sz w:val="20"/>
                    </w:rPr>
                    <w:t>Eskom target of people to be trained</w:t>
                  </w:r>
                </w:p>
              </w:tc>
              <w:tc>
                <w:tcPr>
                  <w:tcW w:w="2430" w:type="dxa"/>
                  <w:shd w:val="clear" w:color="auto" w:fill="D9D9D9" w:themeFill="background1" w:themeFillShade="D9"/>
                </w:tcPr>
                <w:p w14:paraId="18EDA58D" w14:textId="77777777" w:rsidR="00560D72" w:rsidRPr="000C5130" w:rsidRDefault="00560D72" w:rsidP="00560D72">
                  <w:pPr>
                    <w:tabs>
                      <w:tab w:val="left" w:pos="720"/>
                    </w:tabs>
                    <w:jc w:val="center"/>
                    <w:rPr>
                      <w:rFonts w:ascii="Arial" w:hAnsi="Arial" w:cs="Arial"/>
                      <w:b/>
                      <w:sz w:val="20"/>
                    </w:rPr>
                  </w:pPr>
                  <w:r>
                    <w:rPr>
                      <w:rFonts w:ascii="Arial" w:hAnsi="Arial" w:cs="Arial"/>
                      <w:b/>
                      <w:sz w:val="20"/>
                    </w:rPr>
                    <w:t>Proposed Number of Candidates</w:t>
                  </w:r>
                </w:p>
              </w:tc>
            </w:tr>
            <w:tr w:rsidR="00560D72" w:rsidRPr="000C5130" w14:paraId="098455D5" w14:textId="77777777" w:rsidTr="00FB31F7">
              <w:trPr>
                <w:trHeight w:val="359"/>
              </w:trPr>
              <w:tc>
                <w:tcPr>
                  <w:tcW w:w="3419" w:type="dxa"/>
                  <w:shd w:val="clear" w:color="auto" w:fill="auto"/>
                </w:tcPr>
                <w:p w14:paraId="1D4B4A73" w14:textId="78143451" w:rsidR="00560D72" w:rsidRDefault="00C638B7" w:rsidP="00560D72">
                  <w:pPr>
                    <w:jc w:val="both"/>
                    <w:rPr>
                      <w:rFonts w:ascii="Arial" w:hAnsi="Arial" w:cs="Arial"/>
                      <w:sz w:val="20"/>
                    </w:rPr>
                  </w:pPr>
                  <w:r>
                    <w:rPr>
                      <w:rFonts w:ascii="Arial" w:hAnsi="Arial" w:cs="Arial"/>
                      <w:sz w:val="20"/>
                    </w:rPr>
                    <w:t>Graphic Designer</w:t>
                  </w:r>
                </w:p>
              </w:tc>
              <w:tc>
                <w:tcPr>
                  <w:tcW w:w="2328" w:type="dxa"/>
                </w:tcPr>
                <w:p w14:paraId="6C73E9FA" w14:textId="0694F44E" w:rsidR="00560D72" w:rsidRDefault="00E56F99" w:rsidP="00560D72">
                  <w:pPr>
                    <w:jc w:val="center"/>
                    <w:rPr>
                      <w:rFonts w:ascii="Arial" w:hAnsi="Arial" w:cs="Arial"/>
                      <w:sz w:val="20"/>
                    </w:rPr>
                  </w:pPr>
                  <w:r>
                    <w:rPr>
                      <w:rFonts w:ascii="Arial" w:hAnsi="Arial" w:cs="Arial"/>
                      <w:sz w:val="20"/>
                    </w:rPr>
                    <w:t>3</w:t>
                  </w:r>
                </w:p>
              </w:tc>
              <w:tc>
                <w:tcPr>
                  <w:tcW w:w="2430" w:type="dxa"/>
                </w:tcPr>
                <w:p w14:paraId="35E4119C" w14:textId="77777777" w:rsidR="00560D72" w:rsidRDefault="00560D72" w:rsidP="00560D72">
                  <w:pPr>
                    <w:jc w:val="center"/>
                    <w:rPr>
                      <w:rFonts w:ascii="Arial" w:hAnsi="Arial" w:cs="Arial"/>
                      <w:sz w:val="20"/>
                    </w:rPr>
                  </w:pPr>
                </w:p>
              </w:tc>
            </w:tr>
            <w:tr w:rsidR="00560D72" w:rsidRPr="000C5130" w14:paraId="08ABFA91" w14:textId="77777777" w:rsidTr="00FB31F7">
              <w:trPr>
                <w:trHeight w:val="359"/>
              </w:trPr>
              <w:tc>
                <w:tcPr>
                  <w:tcW w:w="3419" w:type="dxa"/>
                  <w:shd w:val="clear" w:color="auto" w:fill="auto"/>
                </w:tcPr>
                <w:p w14:paraId="34DD7CC9" w14:textId="04858CD8" w:rsidR="00560D72" w:rsidRDefault="00560D72" w:rsidP="00560D72">
                  <w:pPr>
                    <w:jc w:val="both"/>
                    <w:rPr>
                      <w:rFonts w:ascii="Arial" w:hAnsi="Arial" w:cs="Arial"/>
                      <w:sz w:val="20"/>
                    </w:rPr>
                  </w:pPr>
                </w:p>
              </w:tc>
              <w:tc>
                <w:tcPr>
                  <w:tcW w:w="2328" w:type="dxa"/>
                </w:tcPr>
                <w:p w14:paraId="3008EB89" w14:textId="40572DC1" w:rsidR="00560D72" w:rsidRDefault="00560D72" w:rsidP="00560D72">
                  <w:pPr>
                    <w:jc w:val="center"/>
                    <w:rPr>
                      <w:rFonts w:ascii="Arial" w:hAnsi="Arial" w:cs="Arial"/>
                      <w:sz w:val="20"/>
                    </w:rPr>
                  </w:pPr>
                </w:p>
              </w:tc>
              <w:tc>
                <w:tcPr>
                  <w:tcW w:w="2430" w:type="dxa"/>
                </w:tcPr>
                <w:p w14:paraId="6140A94E" w14:textId="77777777" w:rsidR="00560D72" w:rsidRDefault="00560D72" w:rsidP="00560D72">
                  <w:pPr>
                    <w:jc w:val="center"/>
                    <w:rPr>
                      <w:rFonts w:ascii="Arial" w:hAnsi="Arial" w:cs="Arial"/>
                      <w:sz w:val="20"/>
                    </w:rPr>
                  </w:pPr>
                </w:p>
              </w:tc>
            </w:tr>
          </w:tbl>
          <w:p w14:paraId="51A28FB7" w14:textId="77777777" w:rsidR="00560D72" w:rsidRDefault="00560D72" w:rsidP="00560D72">
            <w:pPr>
              <w:tabs>
                <w:tab w:val="left" w:pos="720"/>
              </w:tabs>
              <w:jc w:val="both"/>
              <w:rPr>
                <w:rFonts w:ascii="Arial" w:hAnsi="Arial" w:cs="Arial"/>
                <w:sz w:val="20"/>
                <w:lang w:val="en-ZA"/>
              </w:rPr>
            </w:pPr>
          </w:p>
          <w:p w14:paraId="6AA98766" w14:textId="550E4A01" w:rsidR="00560D72" w:rsidRPr="0063091C" w:rsidRDefault="009310D4" w:rsidP="00560D72">
            <w:pPr>
              <w:tabs>
                <w:tab w:val="left" w:pos="720"/>
              </w:tabs>
              <w:jc w:val="both"/>
              <w:rPr>
                <w:rFonts w:ascii="Arial" w:hAnsi="Arial" w:cs="Arial"/>
                <w:sz w:val="16"/>
                <w:szCs w:val="16"/>
                <w:lang w:val="en-ZA"/>
              </w:rPr>
            </w:pPr>
            <w:r>
              <w:rPr>
                <w:rFonts w:ascii="Arial" w:hAnsi="Arial" w:cs="Arial"/>
                <w:sz w:val="20"/>
                <w:lang w:val="en-ZA"/>
              </w:rPr>
              <w:t xml:space="preserve"> </w:t>
            </w:r>
            <w:r w:rsidR="00560D72">
              <w:rPr>
                <w:rFonts w:ascii="Arial" w:hAnsi="Arial" w:cs="Arial"/>
                <w:sz w:val="20"/>
                <w:lang w:val="en-ZA"/>
              </w:rPr>
              <w:t xml:space="preserve">   </w:t>
            </w:r>
          </w:p>
          <w:p w14:paraId="5F48CFE2" w14:textId="77777777" w:rsidR="00A14D4F" w:rsidRDefault="00560D72" w:rsidP="00560D72">
            <w:pPr>
              <w:spacing w:line="360" w:lineRule="auto"/>
              <w:contextualSpacing/>
              <w:jc w:val="both"/>
              <w:rPr>
                <w:rFonts w:ascii="Arial" w:eastAsia="Calibri" w:hAnsi="Arial" w:cs="Arial"/>
                <w:sz w:val="20"/>
                <w:szCs w:val="22"/>
                <w:lang w:val="en-ZA"/>
              </w:rPr>
            </w:pPr>
            <w:r w:rsidRPr="00937DBC">
              <w:rPr>
                <w:rFonts w:ascii="Arial" w:eastAsia="Calibri" w:hAnsi="Arial" w:cs="Arial"/>
                <w:sz w:val="20"/>
                <w:szCs w:val="22"/>
                <w:lang w:val="en-ZA"/>
              </w:rPr>
              <w:t>The process of developing these skills shall involve the participation by tenderers directly and through their supply network.  In certain cases, the SETA’s accredited training providers can be approached to participate in developing critical and scarce skills</w:t>
            </w:r>
            <w:r w:rsidRPr="009310D4">
              <w:rPr>
                <w:rFonts w:ascii="Arial" w:eastAsia="Calibri" w:hAnsi="Arial" w:cs="Arial"/>
                <w:color w:val="FF0000"/>
                <w:sz w:val="20"/>
                <w:szCs w:val="22"/>
                <w:lang w:val="en-ZA"/>
              </w:rPr>
              <w:t>.</w:t>
            </w:r>
            <w:r>
              <w:rPr>
                <w:rFonts w:ascii="Arial" w:eastAsia="Calibri" w:hAnsi="Arial" w:cs="Arial"/>
                <w:sz w:val="20"/>
                <w:szCs w:val="22"/>
                <w:lang w:val="en-ZA"/>
              </w:rPr>
              <w:t xml:space="preserve"> </w:t>
            </w:r>
          </w:p>
          <w:p w14:paraId="6E8CF77C" w14:textId="77777777" w:rsidR="00A14D4F" w:rsidRDefault="00A14D4F" w:rsidP="00560D72">
            <w:pPr>
              <w:spacing w:line="360" w:lineRule="auto"/>
              <w:contextualSpacing/>
              <w:jc w:val="both"/>
              <w:rPr>
                <w:rFonts w:ascii="Arial" w:eastAsia="Calibri" w:hAnsi="Arial" w:cs="Arial"/>
                <w:sz w:val="20"/>
                <w:szCs w:val="22"/>
                <w:lang w:val="en-ZA"/>
              </w:rPr>
            </w:pPr>
          </w:p>
          <w:p w14:paraId="04BC3DC8" w14:textId="075BF9DB" w:rsidR="00560D72" w:rsidRPr="00A14D4F" w:rsidRDefault="00560D72" w:rsidP="00560D72">
            <w:pPr>
              <w:spacing w:line="360" w:lineRule="auto"/>
              <w:contextualSpacing/>
              <w:jc w:val="both"/>
              <w:rPr>
                <w:rFonts w:ascii="Arial" w:eastAsia="Calibri" w:hAnsi="Arial" w:cs="Arial"/>
                <w:b/>
                <w:bCs/>
                <w:sz w:val="16"/>
                <w:szCs w:val="16"/>
                <w:lang w:val="en-ZA"/>
              </w:rPr>
            </w:pPr>
            <w:r w:rsidRPr="00A14D4F">
              <w:rPr>
                <w:rFonts w:ascii="Arial" w:hAnsi="Arial" w:cs="Arial"/>
                <w:b/>
                <w:bCs/>
                <w:sz w:val="20"/>
              </w:rPr>
              <w:t>The winning tenderer will be requested to submit an Implementation plan within 30 days of signing the contract.</w:t>
            </w:r>
          </w:p>
          <w:p w14:paraId="449AE072" w14:textId="77777777" w:rsidR="00560D72" w:rsidRPr="0063091C" w:rsidRDefault="00560D72" w:rsidP="00560D72">
            <w:pPr>
              <w:spacing w:after="200" w:line="360" w:lineRule="auto"/>
              <w:contextualSpacing/>
              <w:jc w:val="both"/>
              <w:rPr>
                <w:rFonts w:ascii="Arial" w:eastAsia="Calibri" w:hAnsi="Arial" w:cs="Arial"/>
                <w:sz w:val="16"/>
                <w:szCs w:val="16"/>
                <w:lang w:val="en-ZA"/>
              </w:rPr>
            </w:pPr>
          </w:p>
          <w:p w14:paraId="0F9D1384" w14:textId="04A15780" w:rsidR="001A0679" w:rsidRPr="000C5130" w:rsidRDefault="00560D72" w:rsidP="00560D72">
            <w:pPr>
              <w:spacing w:after="200" w:line="360" w:lineRule="auto"/>
              <w:contextualSpacing/>
              <w:jc w:val="both"/>
              <w:rPr>
                <w:rFonts w:ascii="Arial" w:hAnsi="Arial" w:cs="Arial"/>
                <w:sz w:val="20"/>
              </w:rPr>
            </w:pPr>
            <w:r w:rsidRPr="00CC4075">
              <w:rPr>
                <w:rFonts w:ascii="Arial" w:eastAsia="Calibri" w:hAnsi="Arial" w:cs="Arial"/>
                <w:b/>
                <w:bCs/>
                <w:sz w:val="20"/>
                <w:szCs w:val="22"/>
                <w:lang w:val="en-ZA"/>
              </w:rPr>
              <w:t>Note:</w:t>
            </w:r>
            <w:r w:rsidRPr="004D5F75">
              <w:rPr>
                <w:rFonts w:ascii="Arial" w:eastAsia="Calibri" w:hAnsi="Arial" w:cs="Arial"/>
                <w:sz w:val="20"/>
                <w:szCs w:val="22"/>
                <w:lang w:val="en-ZA"/>
              </w:rPr>
              <w:t xml:space="preserve"> Tenderers are required to take full responsibility for the total cost of developing the requisite skills, and Eskom shall not make any financial contribution towards the fulfilment of this obligation.  Tenderers are advised to approach their relevant SETAs to access grants</w:t>
            </w:r>
            <w:r>
              <w:rPr>
                <w:rFonts w:ascii="Arial" w:eastAsia="Calibri" w:hAnsi="Arial" w:cs="Arial"/>
                <w:sz w:val="20"/>
                <w:szCs w:val="22"/>
                <w:lang w:val="en-ZA"/>
              </w:rPr>
              <w:t xml:space="preserve"> and</w:t>
            </w:r>
            <w:r w:rsidRPr="004D5F75">
              <w:rPr>
                <w:rFonts w:ascii="Arial" w:eastAsia="Calibri" w:hAnsi="Arial" w:cs="Arial"/>
                <w:sz w:val="20"/>
                <w:szCs w:val="22"/>
                <w:lang w:val="en-ZA"/>
              </w:rPr>
              <w:t xml:space="preserve"> subsidies as well as South African Revenue Services for tax </w:t>
            </w:r>
            <w:r>
              <w:rPr>
                <w:rFonts w:ascii="Arial" w:eastAsia="Calibri" w:hAnsi="Arial" w:cs="Arial"/>
                <w:sz w:val="20"/>
                <w:szCs w:val="22"/>
                <w:lang w:val="en-ZA"/>
              </w:rPr>
              <w:t>incentives</w:t>
            </w:r>
            <w:r w:rsidRPr="004D5F75">
              <w:rPr>
                <w:rFonts w:ascii="Arial" w:eastAsia="Calibri" w:hAnsi="Arial" w:cs="Arial"/>
                <w:sz w:val="20"/>
                <w:szCs w:val="22"/>
                <w:lang w:val="en-ZA"/>
              </w:rPr>
              <w:t xml:space="preserve"> that are earmarked for skills development initiatives.</w:t>
            </w:r>
          </w:p>
        </w:tc>
      </w:tr>
      <w:tr w:rsidR="00FD310A" w:rsidRPr="000C5130" w14:paraId="0942600B" w14:textId="77777777" w:rsidTr="00477D5F">
        <w:trPr>
          <w:trHeight w:val="723"/>
        </w:trPr>
        <w:tc>
          <w:tcPr>
            <w:tcW w:w="9016" w:type="dxa"/>
            <w:shd w:val="clear" w:color="auto" w:fill="FFFFFF" w:themeFill="background1"/>
          </w:tcPr>
          <w:p w14:paraId="1648FDEE" w14:textId="77777777" w:rsidR="00FD310A" w:rsidRDefault="00FD310A" w:rsidP="00026784">
            <w:pPr>
              <w:tabs>
                <w:tab w:val="left" w:pos="720"/>
              </w:tabs>
              <w:spacing w:line="360" w:lineRule="auto"/>
              <w:jc w:val="both"/>
              <w:rPr>
                <w:rFonts w:ascii="Arial" w:hAnsi="Arial" w:cs="Arial"/>
                <w:b/>
                <w:bCs/>
                <w:sz w:val="20"/>
              </w:rPr>
            </w:pPr>
          </w:p>
        </w:tc>
      </w:tr>
      <w:bookmarkEnd w:id="1"/>
    </w:tbl>
    <w:p w14:paraId="0B65F029" w14:textId="77777777" w:rsidR="00BB2C69" w:rsidRPr="004E3127" w:rsidRDefault="00BB2C69" w:rsidP="00EB6A30">
      <w:pPr>
        <w:spacing w:after="120" w:line="276" w:lineRule="auto"/>
        <w:rPr>
          <w:rFonts w:ascii="Arial" w:hAnsi="Arial" w:cs="Arial"/>
          <w:b/>
          <w:sz w:val="16"/>
          <w:szCs w:val="16"/>
        </w:rPr>
      </w:pPr>
    </w:p>
    <w:p w14:paraId="14951245" w14:textId="77777777" w:rsidR="0039219D" w:rsidRPr="00506A41" w:rsidRDefault="0039219D" w:rsidP="00EB6A30">
      <w:pPr>
        <w:spacing w:after="120" w:line="276" w:lineRule="auto"/>
        <w:rPr>
          <w:rFonts w:ascii="Arial" w:hAnsi="Arial" w:cs="Arial"/>
          <w:b/>
          <w:sz w:val="22"/>
        </w:rPr>
      </w:pPr>
      <w:r w:rsidRPr="00506A41">
        <w:rPr>
          <w:rFonts w:ascii="Arial" w:hAnsi="Arial" w:cs="Arial"/>
          <w:b/>
          <w:sz w:val="22"/>
        </w:rPr>
        <w:t xml:space="preserve">Section </w:t>
      </w:r>
      <w:r w:rsidR="00506A41" w:rsidRPr="00506A41">
        <w:rPr>
          <w:rFonts w:ascii="Arial" w:hAnsi="Arial" w:cs="Arial"/>
          <w:b/>
          <w:sz w:val="22"/>
        </w:rPr>
        <w:t>4</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66635BF9" w14:textId="77777777" w:rsidR="00BF610E" w:rsidRPr="004E3127" w:rsidRDefault="00BF610E" w:rsidP="00BF610E">
            <w:pPr>
              <w:spacing w:line="360" w:lineRule="auto"/>
              <w:jc w:val="both"/>
              <w:rPr>
                <w:rFonts w:ascii="Arial" w:hAnsi="Arial" w:cs="Arial"/>
                <w:sz w:val="16"/>
                <w:szCs w:val="16"/>
              </w:rPr>
            </w:pPr>
          </w:p>
          <w:p w14:paraId="528FAFBA" w14:textId="77777777" w:rsidR="004E3127" w:rsidRDefault="004E3127" w:rsidP="004E3127">
            <w:pPr>
              <w:spacing w:line="360" w:lineRule="auto"/>
              <w:jc w:val="both"/>
              <w:rPr>
                <w:rFonts w:ascii="Arial" w:hAnsi="Arial" w:cs="Arial"/>
                <w:sz w:val="20"/>
              </w:rPr>
            </w:pPr>
            <w:r w:rsidRPr="000B7D6D">
              <w:rPr>
                <w:rFonts w:ascii="Arial" w:eastAsia="Calibri" w:hAnsi="Arial" w:cs="Arial"/>
                <w:sz w:val="20"/>
                <w:szCs w:val="22"/>
                <w:lang w:val="en-ZA"/>
              </w:rPr>
              <w:t>As security for the fulfilment of SDL&amp;I obligations, Eskom will apply a penalty of 2.5% o</w:t>
            </w:r>
            <w:r>
              <w:rPr>
                <w:rFonts w:ascii="Arial" w:eastAsia="Calibri" w:hAnsi="Arial" w:cs="Arial"/>
                <w:sz w:val="20"/>
                <w:szCs w:val="22"/>
                <w:lang w:val="en-ZA"/>
              </w:rPr>
              <w:t>n</w:t>
            </w:r>
            <w:r w:rsidRPr="000B7D6D">
              <w:rPr>
                <w:rFonts w:ascii="Arial" w:eastAsia="Calibri" w:hAnsi="Arial" w:cs="Arial"/>
                <w:sz w:val="20"/>
                <w:szCs w:val="22"/>
                <w:lang w:val="en-ZA"/>
              </w:rPr>
              <w:t xml:space="preserve"> every invoice amount (excluding VAT) for failure to submit SDL&amp;I performance reports every quarter; </w:t>
            </w:r>
            <w:r w:rsidRPr="000B7D6D">
              <w:rPr>
                <w:rFonts w:ascii="Arial" w:eastAsia="Calibri" w:hAnsi="Arial" w:cs="Arial"/>
                <w:b/>
                <w:sz w:val="20"/>
                <w:szCs w:val="22"/>
                <w:lang w:val="en-ZA"/>
              </w:rPr>
              <w:t>or</w:t>
            </w:r>
            <w:r w:rsidRPr="000B7D6D">
              <w:rPr>
                <w:rFonts w:ascii="Arial" w:eastAsia="Calibri" w:hAnsi="Arial" w:cs="Arial"/>
                <w:sz w:val="20"/>
                <w:szCs w:val="22"/>
                <w:lang w:val="en-ZA"/>
              </w:rPr>
              <w:t xml:space="preserve"> failure to meet the SDL&amp;I obligations in </w:t>
            </w:r>
            <w:r>
              <w:rPr>
                <w:rFonts w:ascii="Arial" w:eastAsia="Calibri" w:hAnsi="Arial" w:cs="Arial"/>
                <w:sz w:val="20"/>
                <w:szCs w:val="22"/>
                <w:lang w:val="en-ZA"/>
              </w:rPr>
              <w:t>this</w:t>
            </w:r>
            <w:r w:rsidRPr="000B7D6D">
              <w:rPr>
                <w:rFonts w:ascii="Arial" w:eastAsia="Calibri" w:hAnsi="Arial" w:cs="Arial"/>
                <w:sz w:val="20"/>
                <w:szCs w:val="22"/>
                <w:lang w:val="en-ZA"/>
              </w:rPr>
              <w:t xml:space="preserve"> contract.</w:t>
            </w:r>
            <w:r>
              <w:rPr>
                <w:rFonts w:ascii="Arial" w:eastAsia="Calibri" w:hAnsi="Arial" w:cs="Arial"/>
                <w:sz w:val="20"/>
                <w:szCs w:val="22"/>
                <w:lang w:val="en-ZA"/>
              </w:rPr>
              <w:t xml:space="preserve"> </w:t>
            </w:r>
            <w:r w:rsidRPr="009450C4">
              <w:rPr>
                <w:rFonts w:ascii="Arial" w:hAnsi="Arial" w:cs="Arial"/>
                <w:sz w:val="20"/>
              </w:rPr>
              <w:t>The retained amounts shall only be released to the contractor upon:</w:t>
            </w:r>
          </w:p>
          <w:p w14:paraId="6D556762" w14:textId="77777777" w:rsidR="004E3127" w:rsidRPr="009450C4" w:rsidRDefault="004E3127" w:rsidP="004E3127">
            <w:pPr>
              <w:spacing w:line="360" w:lineRule="auto"/>
              <w:jc w:val="both"/>
              <w:rPr>
                <w:rFonts w:ascii="Arial" w:hAnsi="Arial" w:cs="Arial"/>
                <w:sz w:val="16"/>
                <w:szCs w:val="16"/>
                <w:lang w:val="en-ZA"/>
              </w:rPr>
            </w:pPr>
          </w:p>
          <w:p w14:paraId="006BFB43" w14:textId="77777777" w:rsidR="004E3127" w:rsidRPr="009450C4" w:rsidRDefault="004E3127" w:rsidP="004E3127">
            <w:pPr>
              <w:pStyle w:val="ListParagraph"/>
              <w:numPr>
                <w:ilvl w:val="0"/>
                <w:numId w:val="13"/>
              </w:numPr>
              <w:spacing w:line="360" w:lineRule="auto"/>
              <w:jc w:val="both"/>
              <w:rPr>
                <w:rFonts w:ascii="Arial" w:hAnsi="Arial" w:cs="Arial"/>
                <w:sz w:val="20"/>
              </w:rPr>
            </w:pPr>
            <w:r>
              <w:rPr>
                <w:rFonts w:ascii="Arial" w:hAnsi="Arial" w:cs="Arial"/>
                <w:sz w:val="20"/>
              </w:rPr>
              <w:lastRenderedPageBreak/>
              <w:t>The t</w:t>
            </w:r>
            <w:r w:rsidRPr="009450C4">
              <w:rPr>
                <w:rFonts w:ascii="Arial" w:hAnsi="Arial" w:cs="Arial"/>
                <w:sz w:val="20"/>
              </w:rPr>
              <w:t>enderer will be expected to submit their performance reports on a quarterly basis towards SDL&amp;I obligations.</w:t>
            </w:r>
          </w:p>
          <w:p w14:paraId="4992F91B" w14:textId="77777777" w:rsidR="004E3127" w:rsidRDefault="004E3127" w:rsidP="004E3127">
            <w:pPr>
              <w:pStyle w:val="ListParagraph"/>
              <w:numPr>
                <w:ilvl w:val="0"/>
                <w:numId w:val="13"/>
              </w:numPr>
              <w:spacing w:line="360" w:lineRule="auto"/>
              <w:jc w:val="both"/>
              <w:rPr>
                <w:rFonts w:ascii="Arial" w:hAnsi="Arial" w:cs="Arial"/>
                <w:sz w:val="20"/>
              </w:rPr>
            </w:pPr>
            <w:r w:rsidRPr="009450C4">
              <w:rPr>
                <w:rFonts w:ascii="Arial" w:hAnsi="Arial" w:cs="Arial"/>
                <w:sz w:val="20"/>
              </w:rPr>
              <w:t xml:space="preserve">SDL&amp;I will assess the </w:t>
            </w:r>
            <w:r>
              <w:rPr>
                <w:rFonts w:ascii="Arial" w:hAnsi="Arial" w:cs="Arial"/>
                <w:sz w:val="20"/>
              </w:rPr>
              <w:t xml:space="preserve">submitted </w:t>
            </w:r>
            <w:r w:rsidRPr="009450C4">
              <w:rPr>
                <w:rFonts w:ascii="Arial" w:hAnsi="Arial" w:cs="Arial"/>
                <w:sz w:val="20"/>
              </w:rPr>
              <w:t xml:space="preserve">performance </w:t>
            </w:r>
            <w:r>
              <w:rPr>
                <w:rFonts w:ascii="Arial" w:hAnsi="Arial" w:cs="Arial"/>
                <w:sz w:val="20"/>
              </w:rPr>
              <w:t xml:space="preserve">report </w:t>
            </w:r>
            <w:r w:rsidRPr="009450C4">
              <w:rPr>
                <w:rFonts w:ascii="Arial" w:hAnsi="Arial" w:cs="Arial"/>
                <w:sz w:val="20"/>
              </w:rPr>
              <w:t xml:space="preserve">against the Implementation plan </w:t>
            </w:r>
            <w:r>
              <w:rPr>
                <w:rFonts w:ascii="Arial" w:hAnsi="Arial" w:cs="Arial"/>
                <w:sz w:val="20"/>
              </w:rPr>
              <w:t>the</w:t>
            </w:r>
            <w:r w:rsidRPr="009450C4">
              <w:rPr>
                <w:rFonts w:ascii="Arial" w:hAnsi="Arial" w:cs="Arial"/>
                <w:sz w:val="20"/>
              </w:rPr>
              <w:t>n issue a compliance report.</w:t>
            </w:r>
            <w:r>
              <w:rPr>
                <w:rFonts w:ascii="Arial" w:hAnsi="Arial" w:cs="Arial"/>
                <w:sz w:val="20"/>
              </w:rPr>
              <w:t xml:space="preserve"> </w:t>
            </w:r>
          </w:p>
          <w:p w14:paraId="266B4A64" w14:textId="77777777" w:rsidR="004E3127" w:rsidRPr="009450C4" w:rsidRDefault="004E3127" w:rsidP="004E3127">
            <w:pPr>
              <w:pStyle w:val="ListParagraph"/>
              <w:numPr>
                <w:ilvl w:val="0"/>
                <w:numId w:val="13"/>
              </w:numPr>
              <w:spacing w:line="360" w:lineRule="auto"/>
              <w:jc w:val="both"/>
              <w:rPr>
                <w:rFonts w:ascii="Arial" w:hAnsi="Arial" w:cs="Arial"/>
                <w:sz w:val="20"/>
              </w:rPr>
            </w:pPr>
            <w:r>
              <w:rPr>
                <w:rFonts w:ascii="Arial" w:hAnsi="Arial" w:cs="Arial"/>
                <w:sz w:val="20"/>
              </w:rPr>
              <w:t>Should the report yield non-compliance results, Eskom will retain the 2.5% penalty.</w:t>
            </w:r>
          </w:p>
          <w:p w14:paraId="17136A1E" w14:textId="7D11AB80" w:rsidR="00EF4E0F" w:rsidRPr="004E3127" w:rsidRDefault="004E3127" w:rsidP="00026784">
            <w:pPr>
              <w:pStyle w:val="ListParagraph"/>
              <w:numPr>
                <w:ilvl w:val="0"/>
                <w:numId w:val="13"/>
              </w:numPr>
              <w:spacing w:line="360" w:lineRule="auto"/>
              <w:jc w:val="both"/>
              <w:rPr>
                <w:rFonts w:ascii="Arial" w:eastAsia="Calibri" w:hAnsi="Arial" w:cs="Arial"/>
                <w:szCs w:val="24"/>
                <w:lang w:val="en-ZA"/>
              </w:rPr>
            </w:pPr>
            <w:r w:rsidRPr="004E3127">
              <w:rPr>
                <w:rFonts w:ascii="Arial" w:hAnsi="Arial" w:cs="Arial"/>
                <w:sz w:val="20"/>
              </w:rPr>
              <w:t>Should the compliance results be positive, Eskom will release the retained funds to the tenderer.</w:t>
            </w:r>
          </w:p>
        </w:tc>
      </w:tr>
    </w:tbl>
    <w:p w14:paraId="672A8981" w14:textId="77777777" w:rsidR="004E3127" w:rsidRDefault="004E3127" w:rsidP="00C7656D">
      <w:pPr>
        <w:spacing w:after="200" w:line="276" w:lineRule="auto"/>
        <w:rPr>
          <w:rFonts w:ascii="Arial" w:hAnsi="Arial" w:cs="Arial"/>
          <w:b/>
          <w:sz w:val="22"/>
        </w:rPr>
      </w:pPr>
    </w:p>
    <w:p w14:paraId="35DAD45A" w14:textId="65EA1678" w:rsidR="00990864" w:rsidRPr="00816D48" w:rsidRDefault="00C7656D" w:rsidP="00C7656D">
      <w:pPr>
        <w:spacing w:after="200" w:line="276" w:lineRule="auto"/>
        <w:rPr>
          <w:rFonts w:ascii="Arial" w:hAnsi="Arial" w:cs="Arial"/>
          <w:b/>
          <w:sz w:val="22"/>
        </w:rPr>
      </w:pPr>
      <w:r>
        <w:rPr>
          <w:rFonts w:ascii="Arial" w:hAnsi="Arial" w:cs="Arial"/>
          <w:b/>
          <w:sz w:val="22"/>
        </w:rPr>
        <w:t>Se</w:t>
      </w:r>
      <w:r w:rsidR="00990864">
        <w:rPr>
          <w:rFonts w:ascii="Arial" w:hAnsi="Arial" w:cs="Arial"/>
          <w:b/>
          <w:sz w:val="22"/>
        </w:rPr>
        <w:t>ction 5: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BD655D">
        <w:trPr>
          <w:trHeight w:val="1541"/>
        </w:trPr>
        <w:tc>
          <w:tcPr>
            <w:tcW w:w="9050" w:type="dxa"/>
            <w:shd w:val="clear" w:color="auto" w:fill="DDD9C3" w:themeFill="background2" w:themeFillShade="E6"/>
          </w:tcPr>
          <w:p w14:paraId="3F64373D" w14:textId="2C2BD029" w:rsidR="00990864" w:rsidRPr="00EB6A30" w:rsidRDefault="00990864">
            <w:pPr>
              <w:pStyle w:val="ListParagraph"/>
              <w:numPr>
                <w:ilvl w:val="0"/>
                <w:numId w:val="3"/>
              </w:numPr>
              <w:spacing w:after="200"/>
              <w:ind w:left="314" w:hanging="218"/>
              <w:jc w:val="both"/>
              <w:rPr>
                <w:rFonts w:ascii="Arial" w:eastAsia="Calibri" w:hAnsi="Arial" w:cs="Arial"/>
                <w:sz w:val="16"/>
                <w:szCs w:val="22"/>
                <w:lang w:val="en-GB"/>
              </w:rPr>
            </w:pPr>
            <w:bookmarkStart w:id="3" w:name="OLE_LINK6"/>
            <w:r w:rsidRPr="00EB6A30">
              <w:rPr>
                <w:rFonts w:ascii="Arial" w:eastAsia="Calibri" w:hAnsi="Arial" w:cs="Arial"/>
                <w:sz w:val="16"/>
                <w:szCs w:val="22"/>
                <w:lang w:val="en-GB"/>
              </w:rPr>
              <w:t>The suppliers shall on a quarterly basis submit a report to Eskom in accordance with Data Collection Template on their compliance with the SDL&amp;I obligations described above.</w:t>
            </w:r>
            <w:bookmarkEnd w:id="3"/>
          </w:p>
          <w:p w14:paraId="02A7FE79" w14:textId="77777777" w:rsidR="00990864" w:rsidRPr="00EB6A30" w:rsidRDefault="00990864">
            <w:pPr>
              <w:pStyle w:val="ListParagraph"/>
              <w:numPr>
                <w:ilvl w:val="0"/>
                <w:numId w:val="3"/>
              </w:numPr>
              <w:spacing w:after="200"/>
              <w:ind w:left="314" w:hanging="218"/>
              <w:jc w:val="both"/>
              <w:rPr>
                <w:rFonts w:ascii="Arial" w:eastAsia="Calibri" w:hAnsi="Arial" w:cs="Arial"/>
                <w:sz w:val="16"/>
                <w:szCs w:val="22"/>
                <w:lang w:val="en-GB"/>
              </w:rPr>
            </w:pPr>
            <w:r w:rsidRPr="00EB6A30">
              <w:rPr>
                <w:rFonts w:ascii="Arial" w:eastAsia="Calibri" w:hAnsi="Arial" w:cs="Arial"/>
                <w:sz w:val="16"/>
                <w:szCs w:val="22"/>
                <w:lang w:val="en-GB"/>
              </w:rPr>
              <w:t>Eskom shall review the SDL&amp;I reports submitted by the suppliers within 60 (sixty) days of receipt of the reports and notify the suppliers in writing if their SDL&amp;I obligations have not been met.</w:t>
            </w:r>
          </w:p>
          <w:p w14:paraId="01DA1D3C" w14:textId="77777777" w:rsidR="00990864" w:rsidRPr="00EB6A30" w:rsidRDefault="00990864">
            <w:pPr>
              <w:pStyle w:val="ListParagraph"/>
              <w:numPr>
                <w:ilvl w:val="0"/>
                <w:numId w:val="3"/>
              </w:numPr>
              <w:spacing w:after="200"/>
              <w:ind w:left="314" w:hanging="218"/>
              <w:jc w:val="both"/>
              <w:rPr>
                <w:rFonts w:ascii="Arial" w:eastAsia="Calibri" w:hAnsi="Arial" w:cs="Arial"/>
                <w:sz w:val="16"/>
                <w:szCs w:val="22"/>
                <w:lang w:val="en-ZA"/>
              </w:rPr>
            </w:pPr>
            <w:r w:rsidRPr="00EB6A30">
              <w:rPr>
                <w:rFonts w:ascii="Arial" w:eastAsia="Calibri" w:hAnsi="Arial" w:cs="Arial"/>
                <w:sz w:val="16"/>
                <w:szCs w:val="22"/>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1E25735E" w:rsidR="00990864" w:rsidRPr="00EB6A30" w:rsidRDefault="00990864" w:rsidP="00BD655D">
            <w:pPr>
              <w:pStyle w:val="ListParagraph"/>
              <w:tabs>
                <w:tab w:val="left" w:pos="720"/>
              </w:tabs>
              <w:ind w:left="314"/>
              <w:jc w:val="both"/>
              <w:rPr>
                <w:rFonts w:ascii="Arial" w:eastAsia="Calibri" w:hAnsi="Arial" w:cs="Arial"/>
                <w:sz w:val="16"/>
                <w:szCs w:val="22"/>
                <w:lang w:val="en-ZA"/>
              </w:rPr>
            </w:pPr>
          </w:p>
        </w:tc>
      </w:tr>
    </w:tbl>
    <w:p w14:paraId="67F54BEC" w14:textId="52D100AA" w:rsidR="00140917" w:rsidRPr="00A360C3" w:rsidRDefault="00140917" w:rsidP="00EB6A30">
      <w:pPr>
        <w:spacing w:after="120" w:line="276" w:lineRule="auto"/>
        <w:rPr>
          <w:rFonts w:ascii="Arial" w:hAnsi="Arial" w:cs="Arial"/>
          <w:bCs/>
          <w:sz w:val="16"/>
          <w:szCs w:val="16"/>
        </w:rPr>
      </w:pPr>
    </w:p>
    <w:p w14:paraId="587B54AC" w14:textId="1093C797" w:rsidR="00F13DC7" w:rsidRPr="00EB6A30" w:rsidRDefault="00BD655D" w:rsidP="00F13DC7">
      <w:pPr>
        <w:spacing w:after="120" w:line="276" w:lineRule="auto"/>
        <w:rPr>
          <w:rFonts w:ascii="Arial" w:hAnsi="Arial" w:cs="Arial"/>
          <w:b/>
          <w:sz w:val="22"/>
        </w:rPr>
      </w:pPr>
      <w:r>
        <w:rPr>
          <w:rFonts w:ascii="Arial" w:hAnsi="Arial" w:cs="Arial"/>
          <w:b/>
          <w:sz w:val="22"/>
        </w:rPr>
        <w:t xml:space="preserve">Section 6: </w:t>
      </w:r>
      <w:r w:rsidR="00F13DC7" w:rsidRPr="00EB6A30">
        <w:rPr>
          <w:rFonts w:ascii="Arial" w:hAnsi="Arial" w:cs="Arial"/>
          <w:b/>
          <w:sz w:val="22"/>
        </w:rPr>
        <w:t>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F13DC7" w:rsidRPr="00EB6A30" w14:paraId="698BA9DA" w14:textId="77777777" w:rsidTr="00C214F3">
        <w:tc>
          <w:tcPr>
            <w:tcW w:w="9050" w:type="dxa"/>
            <w:gridSpan w:val="2"/>
            <w:shd w:val="clear" w:color="auto" w:fill="000000"/>
          </w:tcPr>
          <w:p w14:paraId="0E6C3DCD" w14:textId="5E204DC9" w:rsidR="00F13DC7" w:rsidRPr="00EB6A30" w:rsidRDefault="00F13DC7" w:rsidP="00C214F3">
            <w:pPr>
              <w:tabs>
                <w:tab w:val="left" w:pos="720"/>
              </w:tabs>
              <w:jc w:val="both"/>
              <w:rPr>
                <w:rFonts w:ascii="Arial" w:hAnsi="Arial" w:cs="Arial"/>
                <w:sz w:val="20"/>
              </w:rPr>
            </w:pPr>
            <w:r w:rsidRPr="00EB6A30">
              <w:rPr>
                <w:rFonts w:ascii="Arial" w:hAnsi="Arial" w:cs="Arial"/>
                <w:sz w:val="20"/>
              </w:rPr>
              <w:t xml:space="preserve">The following information demonstrates market analysis and </w:t>
            </w:r>
            <w:r w:rsidR="002A5585" w:rsidRPr="00EB6A30">
              <w:rPr>
                <w:rFonts w:ascii="Arial" w:hAnsi="Arial" w:cs="Arial"/>
                <w:sz w:val="20"/>
              </w:rPr>
              <w:t>assists</w:t>
            </w:r>
            <w:r w:rsidRPr="00EB6A30">
              <w:rPr>
                <w:rFonts w:ascii="Arial" w:hAnsi="Arial" w:cs="Arial"/>
                <w:sz w:val="20"/>
              </w:rPr>
              <w:t xml:space="preserve"> in arriving at the targets above.</w:t>
            </w:r>
            <w:r w:rsidRPr="00EB6A30">
              <w:rPr>
                <w:sz w:val="20"/>
              </w:rPr>
              <w:t xml:space="preserve">  </w:t>
            </w:r>
          </w:p>
        </w:tc>
      </w:tr>
      <w:tr w:rsidR="00F13DC7" w:rsidRPr="00EB6A30" w14:paraId="47EFD7E3" w14:textId="77777777" w:rsidTr="00C214F3">
        <w:trPr>
          <w:trHeight w:val="780"/>
        </w:trPr>
        <w:tc>
          <w:tcPr>
            <w:tcW w:w="4111" w:type="dxa"/>
            <w:shd w:val="clear" w:color="auto" w:fill="auto"/>
          </w:tcPr>
          <w:p w14:paraId="2DFFFBDE" w14:textId="77777777" w:rsidR="00F13DC7" w:rsidRPr="00EB6A30" w:rsidRDefault="00F13DC7" w:rsidP="00C214F3">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06E4E29" w14:textId="77777777" w:rsidR="00F13DC7" w:rsidRDefault="00F13DC7" w:rsidP="00C214F3">
            <w:pPr>
              <w:tabs>
                <w:tab w:val="left" w:pos="720"/>
              </w:tabs>
              <w:jc w:val="both"/>
              <w:rPr>
                <w:rFonts w:ascii="Arial" w:hAnsi="Arial" w:cs="Arial"/>
                <w:sz w:val="20"/>
              </w:rPr>
            </w:pPr>
          </w:p>
          <w:p w14:paraId="32B964EB" w14:textId="17EAFF2D" w:rsidR="00F13DC7" w:rsidRPr="002A5585" w:rsidRDefault="00F13DC7" w:rsidP="002A5585">
            <w:pPr>
              <w:pStyle w:val="ListParagraph"/>
              <w:numPr>
                <w:ilvl w:val="0"/>
                <w:numId w:val="5"/>
              </w:numPr>
              <w:tabs>
                <w:tab w:val="left" w:pos="720"/>
              </w:tabs>
              <w:spacing w:line="276" w:lineRule="auto"/>
              <w:jc w:val="both"/>
              <w:rPr>
                <w:rFonts w:ascii="Arial" w:hAnsi="Arial" w:cs="Arial"/>
                <w:sz w:val="20"/>
              </w:rPr>
            </w:pPr>
          </w:p>
        </w:tc>
        <w:tc>
          <w:tcPr>
            <w:tcW w:w="4939" w:type="dxa"/>
            <w:shd w:val="clear" w:color="auto" w:fill="auto"/>
          </w:tcPr>
          <w:p w14:paraId="0D61660A" w14:textId="77777777" w:rsidR="00F13DC7" w:rsidRDefault="00F13DC7" w:rsidP="00C214F3">
            <w:pPr>
              <w:tabs>
                <w:tab w:val="left" w:pos="720"/>
              </w:tabs>
              <w:jc w:val="both"/>
              <w:rPr>
                <w:rFonts w:ascii="Arial" w:hAnsi="Arial" w:cs="Arial"/>
                <w:sz w:val="20"/>
              </w:rPr>
            </w:pPr>
            <w:r>
              <w:rPr>
                <w:rFonts w:ascii="Arial" w:hAnsi="Arial" w:cs="Arial"/>
                <w:sz w:val="20"/>
              </w:rPr>
              <w:t>Potential Suppliers:</w:t>
            </w:r>
          </w:p>
          <w:p w14:paraId="6C9438DD" w14:textId="77777777" w:rsidR="00F13DC7" w:rsidRPr="00612F56" w:rsidRDefault="00F13DC7" w:rsidP="00C214F3">
            <w:pPr>
              <w:tabs>
                <w:tab w:val="left" w:pos="720"/>
              </w:tabs>
              <w:jc w:val="both"/>
              <w:rPr>
                <w:rFonts w:ascii="Arial" w:hAnsi="Arial" w:cs="Arial"/>
                <w:sz w:val="20"/>
              </w:rPr>
            </w:pPr>
          </w:p>
          <w:p w14:paraId="0D566F13" w14:textId="77777777" w:rsidR="00F13DC7" w:rsidRPr="00692B80" w:rsidRDefault="00F13DC7">
            <w:pPr>
              <w:pStyle w:val="ListParagraph"/>
              <w:numPr>
                <w:ilvl w:val="0"/>
                <w:numId w:val="5"/>
              </w:numPr>
              <w:rPr>
                <w:rFonts w:ascii="Arial" w:hAnsi="Arial" w:cs="Arial"/>
                <w:sz w:val="20"/>
              </w:rPr>
            </w:pPr>
            <w:r>
              <w:rPr>
                <w:rFonts w:ascii="Arial" w:hAnsi="Arial" w:cs="Arial"/>
                <w:sz w:val="20"/>
              </w:rPr>
              <w:t>Open market</w:t>
            </w:r>
          </w:p>
        </w:tc>
      </w:tr>
      <w:tr w:rsidR="002A5585" w:rsidRPr="00EB6A30" w14:paraId="53D3CFE1" w14:textId="77777777" w:rsidTr="00C214F3">
        <w:trPr>
          <w:trHeight w:val="780"/>
        </w:trPr>
        <w:tc>
          <w:tcPr>
            <w:tcW w:w="4111" w:type="dxa"/>
            <w:shd w:val="clear" w:color="auto" w:fill="auto"/>
          </w:tcPr>
          <w:p w14:paraId="52D9D683" w14:textId="77777777" w:rsidR="002A5585" w:rsidRPr="00EB6A30" w:rsidRDefault="002A5585" w:rsidP="00C214F3">
            <w:pPr>
              <w:tabs>
                <w:tab w:val="left" w:pos="720"/>
              </w:tabs>
              <w:jc w:val="both"/>
              <w:rPr>
                <w:rFonts w:ascii="Arial" w:hAnsi="Arial" w:cs="Arial"/>
                <w:sz w:val="20"/>
                <w:u w:val="single"/>
              </w:rPr>
            </w:pPr>
          </w:p>
        </w:tc>
        <w:tc>
          <w:tcPr>
            <w:tcW w:w="4939" w:type="dxa"/>
            <w:shd w:val="clear" w:color="auto" w:fill="auto"/>
          </w:tcPr>
          <w:p w14:paraId="0A07444C" w14:textId="77777777" w:rsidR="002A5585" w:rsidRDefault="002A5585" w:rsidP="00C214F3">
            <w:pPr>
              <w:tabs>
                <w:tab w:val="left" w:pos="720"/>
              </w:tabs>
              <w:jc w:val="both"/>
              <w:rPr>
                <w:rFonts w:ascii="Arial" w:hAnsi="Arial" w:cs="Arial"/>
                <w:sz w:val="20"/>
              </w:rPr>
            </w:pPr>
          </w:p>
        </w:tc>
      </w:tr>
    </w:tbl>
    <w:p w14:paraId="5269264B" w14:textId="26EEEB4E" w:rsidR="00BB2C69" w:rsidRDefault="00BB2C69" w:rsidP="00F13DC7">
      <w:pPr>
        <w:spacing w:before="120" w:after="120" w:line="276" w:lineRule="auto"/>
        <w:rPr>
          <w:rFonts w:ascii="Arial" w:hAnsi="Arial" w:cs="Arial"/>
          <w:bCs/>
          <w:sz w:val="16"/>
          <w:szCs w:val="16"/>
        </w:rPr>
      </w:pPr>
    </w:p>
    <w:p w14:paraId="36C5E3EE" w14:textId="77777777" w:rsidR="00BB2C69" w:rsidRPr="00A360C3" w:rsidRDefault="00BB2C69" w:rsidP="00F13DC7">
      <w:pPr>
        <w:spacing w:before="120" w:after="120" w:line="276" w:lineRule="auto"/>
        <w:rPr>
          <w:rFonts w:ascii="Arial" w:hAnsi="Arial" w:cs="Arial"/>
          <w:bCs/>
          <w:sz w:val="16"/>
          <w:szCs w:val="16"/>
        </w:rPr>
      </w:pPr>
    </w:p>
    <w:p w14:paraId="5C6D2EAA" w14:textId="77777777"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7: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pPr>
              <w:pStyle w:val="ListParagraph"/>
              <w:numPr>
                <w:ilvl w:val="0"/>
                <w:numId w:val="2"/>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w:t>
            </w:r>
            <w:proofErr w:type="gramStart"/>
            <w:r w:rsidRPr="00EB6A30">
              <w:rPr>
                <w:rFonts w:ascii="Arial" w:hAnsi="Arial" w:cs="Arial"/>
                <w:sz w:val="16"/>
                <w:lang w:val="en-ZA"/>
              </w:rPr>
              <w:t>in order to</w:t>
            </w:r>
            <w:proofErr w:type="gramEnd"/>
            <w:r w:rsidRPr="00EB6A30">
              <w:rPr>
                <w:rFonts w:ascii="Arial" w:hAnsi="Arial" w:cs="Arial"/>
                <w:sz w:val="16"/>
                <w:lang w:val="en-ZA"/>
              </w:rPr>
              <w:t xml:space="preserve">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Empowering supplier status must be indicated. For QSEs, the deponent must select the basis for the empowering supplier status. </w:t>
            </w:r>
          </w:p>
          <w:p w14:paraId="1BF3A599"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w:t>
            </w:r>
            <w:proofErr w:type="gramStart"/>
            <w:r w:rsidRPr="00EB6A30">
              <w:rPr>
                <w:rFonts w:ascii="Arial" w:hAnsi="Arial" w:cs="Arial"/>
                <w:b/>
                <w:sz w:val="16"/>
                <w:u w:val="single"/>
                <w:lang w:val="en-ZA"/>
              </w:rPr>
              <w:t>sworn affidavit</w:t>
            </w:r>
            <w:proofErr w:type="gramEnd"/>
            <w:r w:rsidRPr="00EB6A30">
              <w:rPr>
                <w:rFonts w:ascii="Arial" w:hAnsi="Arial" w:cs="Arial"/>
                <w:b/>
                <w:sz w:val="16"/>
                <w:u w:val="single"/>
                <w:lang w:val="en-ZA"/>
              </w:rPr>
              <w:t xml:space="preserve"> must be signed in the presence of the Commissioner of Oath. </w:t>
            </w:r>
            <w:proofErr w:type="gramStart"/>
            <w:r w:rsidRPr="00EB6A30">
              <w:rPr>
                <w:rFonts w:ascii="Arial" w:hAnsi="Arial" w:cs="Arial"/>
                <w:b/>
                <w:sz w:val="16"/>
                <w:u w:val="single"/>
                <w:lang w:val="en-ZA"/>
              </w:rPr>
              <w:t>Furthermore</w:t>
            </w:r>
            <w:proofErr w:type="gramEnd"/>
            <w:r w:rsidRPr="00EB6A30">
              <w:rPr>
                <w:rFonts w:ascii="Arial" w:hAnsi="Arial" w:cs="Arial"/>
                <w:b/>
                <w:sz w:val="16"/>
                <w:u w:val="single"/>
                <w:lang w:val="en-ZA"/>
              </w:rPr>
              <w:t xml:space="preserve"> the Commissioner must also sign and stamp)</w:t>
            </w:r>
          </w:p>
          <w:p w14:paraId="6D2499D9" w14:textId="77777777" w:rsidR="00D45AEE" w:rsidRPr="00EB6A30" w:rsidRDefault="00D45AEE">
            <w:pPr>
              <w:pStyle w:val="ListParagraph"/>
              <w:numPr>
                <w:ilvl w:val="0"/>
                <w:numId w:val="2"/>
              </w:numPr>
              <w:ind w:left="426"/>
              <w:rPr>
                <w:rFonts w:ascii="Arial" w:hAnsi="Arial" w:cs="Arial"/>
                <w:sz w:val="16"/>
                <w:lang w:val="en-ZA"/>
              </w:rPr>
            </w:pPr>
            <w:r w:rsidRPr="00EB6A30">
              <w:rPr>
                <w:rFonts w:ascii="Arial" w:hAnsi="Arial" w:cs="Arial"/>
                <w:sz w:val="16"/>
                <w:lang w:val="en-ZA"/>
              </w:rPr>
              <w:t xml:space="preserve">Commissioner of Oath cannot be an employee or ex officio of the enterprise because, a person cannot by law, commission </w:t>
            </w:r>
            <w:proofErr w:type="gramStart"/>
            <w:r w:rsidRPr="00EB6A30">
              <w:rPr>
                <w:rFonts w:ascii="Arial" w:hAnsi="Arial" w:cs="Arial"/>
                <w:sz w:val="16"/>
                <w:lang w:val="en-ZA"/>
              </w:rPr>
              <w:t>a sworn affidavit</w:t>
            </w:r>
            <w:proofErr w:type="gramEnd"/>
            <w:r w:rsidRPr="00EB6A30">
              <w:rPr>
                <w:rFonts w:ascii="Arial" w:hAnsi="Arial" w:cs="Arial"/>
                <w:sz w:val="16"/>
                <w:lang w:val="en-ZA"/>
              </w:rPr>
              <w:t xml:space="preserve"> in which they have an interest.</w:t>
            </w:r>
          </w:p>
        </w:tc>
      </w:tr>
    </w:tbl>
    <w:p w14:paraId="182C526F" w14:textId="5CD68AB6" w:rsidR="00874A63" w:rsidRDefault="00874A63" w:rsidP="00304117">
      <w:pPr>
        <w:pBdr>
          <w:bottom w:val="single" w:sz="12" w:space="1" w:color="auto"/>
        </w:pBdr>
        <w:tabs>
          <w:tab w:val="left" w:pos="720"/>
        </w:tabs>
        <w:jc w:val="both"/>
        <w:rPr>
          <w:rFonts w:ascii="Arial" w:hAnsi="Arial" w:cs="Arial"/>
          <w:b/>
          <w:sz w:val="20"/>
        </w:rPr>
      </w:pPr>
    </w:p>
    <w:p w14:paraId="04E59D77" w14:textId="77D6A243" w:rsidR="001C670C" w:rsidRDefault="001C670C" w:rsidP="00304117">
      <w:pPr>
        <w:pBdr>
          <w:bottom w:val="single" w:sz="12" w:space="1" w:color="auto"/>
        </w:pBdr>
        <w:tabs>
          <w:tab w:val="left" w:pos="720"/>
        </w:tabs>
        <w:jc w:val="both"/>
        <w:rPr>
          <w:rFonts w:ascii="Arial" w:hAnsi="Arial" w:cs="Arial"/>
          <w:b/>
          <w:sz w:val="20"/>
        </w:rPr>
      </w:pPr>
    </w:p>
    <w:p w14:paraId="001BE1D9" w14:textId="77777777" w:rsidR="001C670C" w:rsidRDefault="001C670C" w:rsidP="00304117">
      <w:pPr>
        <w:pBdr>
          <w:bottom w:val="single" w:sz="12" w:space="1" w:color="auto"/>
        </w:pBdr>
        <w:tabs>
          <w:tab w:val="left" w:pos="720"/>
        </w:tabs>
        <w:jc w:val="both"/>
        <w:rPr>
          <w:rFonts w:ascii="Arial" w:hAnsi="Arial" w:cs="Arial"/>
          <w:b/>
          <w:sz w:val="20"/>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4"/>
      </w:tblGrid>
      <w:tr w:rsidR="004D3228" w14:paraId="2B824853" w14:textId="77777777" w:rsidTr="00864E91">
        <w:tc>
          <w:tcPr>
            <w:tcW w:w="4508" w:type="dxa"/>
          </w:tcPr>
          <w:p w14:paraId="6A251422" w14:textId="77777777" w:rsidR="004D3228" w:rsidRDefault="004D3228" w:rsidP="00864E91">
            <w:pPr>
              <w:tabs>
                <w:tab w:val="left" w:pos="720"/>
              </w:tabs>
              <w:jc w:val="both"/>
              <w:rPr>
                <w:rFonts w:ascii="Arial" w:hAnsi="Arial" w:cs="Arial"/>
                <w:sz w:val="20"/>
              </w:rPr>
            </w:pPr>
          </w:p>
        </w:tc>
      </w:tr>
      <w:tr w:rsidR="004D3228" w:rsidRPr="00AC3774" w14:paraId="441BDB00" w14:textId="77777777" w:rsidTr="00864E91">
        <w:tc>
          <w:tcPr>
            <w:tcW w:w="4508" w:type="dxa"/>
          </w:tcPr>
          <w:p w14:paraId="401D682D" w14:textId="77777777" w:rsidR="004D3228" w:rsidRDefault="004D3228" w:rsidP="00864E91">
            <w:pPr>
              <w:tabs>
                <w:tab w:val="left" w:pos="720"/>
              </w:tabs>
              <w:jc w:val="both"/>
              <w:rPr>
                <w:rFonts w:ascii="Arial" w:hAnsi="Arial" w:cs="Arial"/>
                <w:sz w:val="20"/>
              </w:rPr>
            </w:pPr>
          </w:p>
          <w:p w14:paraId="43325FE3" w14:textId="77777777" w:rsidR="004D3228" w:rsidRDefault="004D3228" w:rsidP="00864E91">
            <w:pPr>
              <w:tabs>
                <w:tab w:val="left" w:pos="720"/>
              </w:tabs>
              <w:jc w:val="both"/>
              <w:rPr>
                <w:rFonts w:ascii="Arial" w:hAnsi="Arial" w:cs="Arial"/>
                <w:sz w:val="20"/>
              </w:rPr>
            </w:pPr>
            <w:r>
              <w:rPr>
                <w:rFonts w:ascii="Arial" w:hAnsi="Arial" w:cs="Arial"/>
                <w:sz w:val="20"/>
              </w:rPr>
              <w:t>Name of bidder</w:t>
            </w:r>
            <w:r w:rsidRPr="000C5130">
              <w:rPr>
                <w:rFonts w:ascii="Arial" w:hAnsi="Arial" w:cs="Arial"/>
                <w:sz w:val="20"/>
              </w:rPr>
              <w:t>:</w:t>
            </w:r>
            <w:r>
              <w:rPr>
                <w:rFonts w:ascii="Arial" w:hAnsi="Arial" w:cs="Arial"/>
                <w:sz w:val="20"/>
              </w:rPr>
              <w:t xml:space="preserve"> _______________________</w:t>
            </w:r>
          </w:p>
          <w:p w14:paraId="7E9563A0" w14:textId="77777777" w:rsidR="004D3228" w:rsidRPr="00AC3774" w:rsidRDefault="004D3228" w:rsidP="00864E91">
            <w:pPr>
              <w:tabs>
                <w:tab w:val="left" w:pos="720"/>
              </w:tabs>
              <w:jc w:val="both"/>
              <w:rPr>
                <w:rFonts w:ascii="Arial" w:hAnsi="Arial" w:cs="Arial"/>
                <w:sz w:val="20"/>
              </w:rPr>
            </w:pPr>
          </w:p>
        </w:tc>
      </w:tr>
      <w:tr w:rsidR="004D3228" w:rsidRPr="00AC3774" w14:paraId="598A2E24" w14:textId="77777777" w:rsidTr="00864E91">
        <w:tc>
          <w:tcPr>
            <w:tcW w:w="4508" w:type="dxa"/>
          </w:tcPr>
          <w:p w14:paraId="7BAD5BCC" w14:textId="77777777" w:rsidR="004D3228" w:rsidRDefault="004D3228" w:rsidP="00864E91">
            <w:pPr>
              <w:tabs>
                <w:tab w:val="left" w:pos="720"/>
              </w:tabs>
              <w:jc w:val="both"/>
              <w:rPr>
                <w:rFonts w:ascii="Arial" w:hAnsi="Arial" w:cs="Arial"/>
                <w:sz w:val="20"/>
              </w:rPr>
            </w:pPr>
          </w:p>
          <w:p w14:paraId="44A7A848" w14:textId="77777777" w:rsidR="004D3228" w:rsidRDefault="004D3228" w:rsidP="00864E91">
            <w:pPr>
              <w:tabs>
                <w:tab w:val="left" w:pos="720"/>
              </w:tabs>
              <w:jc w:val="both"/>
              <w:rPr>
                <w:rFonts w:ascii="Arial" w:hAnsi="Arial" w:cs="Arial"/>
                <w:sz w:val="20"/>
              </w:rPr>
            </w:pPr>
            <w:r>
              <w:rPr>
                <w:rFonts w:ascii="Arial" w:hAnsi="Arial" w:cs="Arial"/>
                <w:sz w:val="20"/>
              </w:rPr>
              <w:t>Bidder representative: __________________</w:t>
            </w:r>
          </w:p>
          <w:p w14:paraId="6EEF9FB4" w14:textId="77777777" w:rsidR="004D3228" w:rsidRDefault="004D3228" w:rsidP="00864E91">
            <w:pPr>
              <w:tabs>
                <w:tab w:val="left" w:pos="720"/>
              </w:tabs>
              <w:jc w:val="both"/>
              <w:rPr>
                <w:rFonts w:ascii="Arial" w:hAnsi="Arial" w:cs="Arial"/>
                <w:sz w:val="20"/>
              </w:rPr>
            </w:pPr>
          </w:p>
          <w:p w14:paraId="79CEBC84" w14:textId="77777777" w:rsidR="004D3228" w:rsidRDefault="004D3228" w:rsidP="00864E91">
            <w:pPr>
              <w:tabs>
                <w:tab w:val="left" w:pos="720"/>
              </w:tabs>
              <w:jc w:val="both"/>
              <w:rPr>
                <w:rFonts w:ascii="Arial" w:hAnsi="Arial" w:cs="Arial"/>
                <w:sz w:val="20"/>
              </w:rPr>
            </w:pPr>
          </w:p>
          <w:p w14:paraId="0B23052C" w14:textId="77777777" w:rsidR="004D3228" w:rsidRPr="00AC3774" w:rsidRDefault="004D3228" w:rsidP="00864E91">
            <w:pPr>
              <w:tabs>
                <w:tab w:val="left" w:pos="720"/>
              </w:tabs>
              <w:jc w:val="both"/>
              <w:rPr>
                <w:rFonts w:ascii="Arial" w:hAnsi="Arial" w:cs="Arial"/>
                <w:sz w:val="20"/>
              </w:rPr>
            </w:pPr>
            <w:r>
              <w:rPr>
                <w:rFonts w:ascii="Arial" w:hAnsi="Arial" w:cs="Arial"/>
                <w:sz w:val="20"/>
              </w:rPr>
              <w:t>Representative signature: ________________</w:t>
            </w:r>
          </w:p>
        </w:tc>
      </w:tr>
      <w:tr w:rsidR="004D3228" w:rsidRPr="00AC3774" w14:paraId="4D3BA1B8" w14:textId="77777777" w:rsidTr="00864E91">
        <w:tc>
          <w:tcPr>
            <w:tcW w:w="4508" w:type="dxa"/>
          </w:tcPr>
          <w:p w14:paraId="25190E05" w14:textId="77777777" w:rsidR="004D3228" w:rsidRPr="00AC3774" w:rsidRDefault="004D3228" w:rsidP="00864E91">
            <w:pPr>
              <w:tabs>
                <w:tab w:val="left" w:pos="720"/>
              </w:tabs>
              <w:jc w:val="both"/>
              <w:rPr>
                <w:rFonts w:ascii="Arial" w:hAnsi="Arial" w:cs="Arial"/>
                <w:sz w:val="20"/>
              </w:rPr>
            </w:pPr>
          </w:p>
        </w:tc>
      </w:tr>
      <w:tr w:rsidR="004D3228" w:rsidRPr="00AC3774" w14:paraId="3B98A42B" w14:textId="77777777" w:rsidTr="00864E91">
        <w:tc>
          <w:tcPr>
            <w:tcW w:w="4508" w:type="dxa"/>
          </w:tcPr>
          <w:p w14:paraId="03B7E9C3" w14:textId="77777777" w:rsidR="004D3228" w:rsidRPr="00AC3774" w:rsidRDefault="004D3228" w:rsidP="00864E91">
            <w:pPr>
              <w:tabs>
                <w:tab w:val="left" w:pos="720"/>
              </w:tabs>
              <w:jc w:val="both"/>
              <w:rPr>
                <w:rFonts w:ascii="Arial" w:hAnsi="Arial" w:cs="Arial"/>
                <w:sz w:val="20"/>
              </w:rPr>
            </w:pPr>
          </w:p>
          <w:p w14:paraId="418F901E" w14:textId="77777777" w:rsidR="004D3228" w:rsidRPr="00AC3774" w:rsidRDefault="004D3228" w:rsidP="00864E91">
            <w:pPr>
              <w:tabs>
                <w:tab w:val="left" w:pos="720"/>
              </w:tabs>
              <w:jc w:val="both"/>
              <w:rPr>
                <w:rFonts w:ascii="Arial" w:hAnsi="Arial" w:cs="Arial"/>
                <w:sz w:val="20"/>
              </w:rPr>
            </w:pPr>
            <w:r>
              <w:rPr>
                <w:rFonts w:ascii="Arial" w:hAnsi="Arial" w:cs="Arial"/>
                <w:sz w:val="20"/>
              </w:rPr>
              <w:t>Date: _____________________</w:t>
            </w:r>
          </w:p>
        </w:tc>
      </w:tr>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74ED" w14:textId="77777777" w:rsidR="007D37B0" w:rsidRDefault="007D37B0" w:rsidP="00201A98">
      <w:r>
        <w:separator/>
      </w:r>
    </w:p>
  </w:endnote>
  <w:endnote w:type="continuationSeparator" w:id="0">
    <w:p w14:paraId="647634EA" w14:textId="77777777" w:rsidR="007D37B0" w:rsidRDefault="007D37B0"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B737" w14:textId="77777777" w:rsidR="007D37B0" w:rsidRDefault="007D37B0" w:rsidP="00201A98">
      <w:r>
        <w:separator/>
      </w:r>
    </w:p>
  </w:footnote>
  <w:footnote w:type="continuationSeparator" w:id="0">
    <w:p w14:paraId="5E44B43C" w14:textId="77777777" w:rsidR="007D37B0" w:rsidRDefault="007D37B0"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304117" w:rsidRPr="00116E60" w14:paraId="2C78AF87" w14:textId="77777777" w:rsidTr="00105474">
      <w:trPr>
        <w:cantSplit/>
        <w:trHeight w:val="263"/>
        <w:jc w:val="center"/>
      </w:trPr>
      <w:tc>
        <w:tcPr>
          <w:tcW w:w="2410" w:type="dxa"/>
          <w:vMerge w:val="restart"/>
          <w:vAlign w:val="bottom"/>
        </w:tcPr>
        <w:p w14:paraId="5C0BF010" w14:textId="77777777" w:rsidR="00304117" w:rsidRPr="003914DE" w:rsidRDefault="00000000" w:rsidP="00EA1B3D">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2875844" r:id="rId2"/>
            </w:object>
          </w:r>
        </w:p>
      </w:tc>
      <w:tc>
        <w:tcPr>
          <w:tcW w:w="3544" w:type="dxa"/>
          <w:vMerge w:val="restart"/>
          <w:vAlign w:val="center"/>
        </w:tcPr>
        <w:p w14:paraId="51058E85" w14:textId="77777777" w:rsidR="00304117" w:rsidRPr="00CA666C" w:rsidRDefault="00304117" w:rsidP="00304117">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w:t>
          </w:r>
          <w:r w:rsidR="00FE6AD8">
            <w:rPr>
              <w:rFonts w:ascii="Arial" w:hAnsi="Arial" w:cs="Arial"/>
              <w:b/>
              <w:szCs w:val="24"/>
              <w:lang w:val="en-ZA" w:eastAsia="en-ZA"/>
            </w:rPr>
            <w:t xml:space="preserve">(SDL&amp;I) </w:t>
          </w:r>
          <w:r>
            <w:rPr>
              <w:rFonts w:ascii="Arial" w:hAnsi="Arial" w:cs="Arial"/>
              <w:b/>
              <w:szCs w:val="24"/>
              <w:lang w:val="en-ZA" w:eastAsia="en-ZA"/>
            </w:rPr>
            <w:t xml:space="preserve">Strategy Setting </w:t>
          </w:r>
          <w:r>
            <w:rPr>
              <w:rFonts w:ascii="Arial" w:hAnsi="Arial" w:cs="Arial"/>
              <w:b/>
              <w:szCs w:val="24"/>
              <w:lang w:eastAsia="en-ZA"/>
            </w:rPr>
            <w:t>Template</w:t>
          </w:r>
        </w:p>
      </w:tc>
      <w:tc>
        <w:tcPr>
          <w:tcW w:w="1795" w:type="dxa"/>
          <w:shd w:val="clear" w:color="auto" w:fill="auto"/>
          <w:vAlign w:val="center"/>
        </w:tcPr>
        <w:p w14:paraId="5D39760E" w14:textId="77777777" w:rsidR="00304117" w:rsidRPr="00105474" w:rsidRDefault="00304117"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0072ECF4" w14:textId="77777777" w:rsidR="00304117" w:rsidRPr="00105474" w:rsidRDefault="00B3212E" w:rsidP="003113D9">
          <w:pPr>
            <w:rPr>
              <w:rFonts w:ascii="Arial" w:hAnsi="Arial"/>
              <w:sz w:val="16"/>
              <w:lang w:val="en-GB"/>
            </w:rPr>
          </w:pPr>
          <w:r>
            <w:rPr>
              <w:rFonts w:ascii="Arial" w:hAnsi="Arial"/>
              <w:sz w:val="16"/>
              <w:lang w:val="en-GB"/>
            </w:rPr>
            <w:t>240-43921804</w:t>
          </w:r>
        </w:p>
      </w:tc>
      <w:tc>
        <w:tcPr>
          <w:tcW w:w="567" w:type="dxa"/>
          <w:shd w:val="clear" w:color="auto" w:fill="auto"/>
          <w:vAlign w:val="center"/>
        </w:tcPr>
        <w:p w14:paraId="53F8F567" w14:textId="77777777" w:rsidR="00304117" w:rsidRPr="00105474" w:rsidRDefault="00304117"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77777777" w:rsidR="00304117" w:rsidRPr="00105474" w:rsidRDefault="00B3212E" w:rsidP="003113D9">
          <w:pPr>
            <w:rPr>
              <w:rFonts w:ascii="Arial" w:hAnsi="Arial"/>
              <w:sz w:val="16"/>
              <w:lang w:val="en-GB"/>
            </w:rPr>
          </w:pPr>
          <w:r>
            <w:rPr>
              <w:rFonts w:ascii="Arial" w:hAnsi="Arial"/>
              <w:sz w:val="16"/>
              <w:lang w:val="en-GB"/>
            </w:rPr>
            <w:t>6</w:t>
          </w:r>
        </w:p>
      </w:tc>
    </w:tr>
    <w:tr w:rsidR="00B3212E" w:rsidRPr="00116E60" w14:paraId="21265494" w14:textId="77777777" w:rsidTr="00105474">
      <w:trPr>
        <w:cantSplit/>
        <w:trHeight w:val="261"/>
        <w:jc w:val="center"/>
      </w:trPr>
      <w:tc>
        <w:tcPr>
          <w:tcW w:w="2410" w:type="dxa"/>
          <w:vMerge/>
          <w:vAlign w:val="bottom"/>
        </w:tcPr>
        <w:p w14:paraId="2CF2AB68" w14:textId="77777777" w:rsidR="00B3212E" w:rsidRPr="003914DE" w:rsidRDefault="00B3212E" w:rsidP="00EA1B3D">
          <w:pPr>
            <w:spacing w:before="840"/>
            <w:rPr>
              <w:rFonts w:ascii="Arial" w:hAnsi="Arial"/>
              <w:b/>
              <w:lang w:val="en-GB"/>
            </w:rPr>
          </w:pPr>
        </w:p>
      </w:tc>
      <w:tc>
        <w:tcPr>
          <w:tcW w:w="3544" w:type="dxa"/>
          <w:vMerge/>
          <w:vAlign w:val="center"/>
        </w:tcPr>
        <w:p w14:paraId="74A674B1"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0D7A82E" w14:textId="77777777" w:rsidR="00B3212E" w:rsidRPr="00105474" w:rsidRDefault="00B3212E"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5BCC8B" w14:textId="77777777" w:rsidR="00B3212E" w:rsidRPr="00105474" w:rsidRDefault="00B3212E" w:rsidP="00EA1B3D">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48C2D68C" w14:textId="77777777" w:rsidR="00B3212E" w:rsidRPr="00105474" w:rsidRDefault="00B3212E" w:rsidP="0088295E">
          <w:pPr>
            <w:rPr>
              <w:rFonts w:ascii="Arial" w:hAnsi="Arial"/>
              <w:b/>
              <w:color w:val="0000CC"/>
              <w:sz w:val="16"/>
              <w:lang w:val="en-GB"/>
            </w:rPr>
          </w:pPr>
          <w:r w:rsidRPr="00105474">
            <w:rPr>
              <w:rFonts w:ascii="Arial" w:hAnsi="Arial"/>
              <w:b/>
              <w:sz w:val="16"/>
              <w:lang w:val="en-GB"/>
            </w:rPr>
            <w:t>Rev</w:t>
          </w:r>
        </w:p>
      </w:tc>
      <w:tc>
        <w:tcPr>
          <w:tcW w:w="567" w:type="dxa"/>
          <w:shd w:val="clear" w:color="auto" w:fill="auto"/>
          <w:vAlign w:val="center"/>
        </w:tcPr>
        <w:p w14:paraId="75ADA1D5" w14:textId="77777777" w:rsidR="00B3212E" w:rsidRPr="00105474" w:rsidRDefault="00D5588B" w:rsidP="0088295E">
          <w:pPr>
            <w:rPr>
              <w:rFonts w:ascii="Arial" w:hAnsi="Arial"/>
              <w:sz w:val="16"/>
              <w:lang w:val="en-GB"/>
            </w:rPr>
          </w:pPr>
          <w:r>
            <w:rPr>
              <w:rFonts w:ascii="Arial" w:hAnsi="Arial"/>
              <w:sz w:val="16"/>
              <w:lang w:val="en-GB"/>
            </w:rPr>
            <w:t>3</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77777777" w:rsidR="00B3212E" w:rsidRPr="00105474" w:rsidRDefault="00B3212E" w:rsidP="00B3212E">
          <w:pPr>
            <w:rPr>
              <w:rFonts w:ascii="Arial" w:hAnsi="Arial"/>
              <w:sz w:val="16"/>
              <w:lang w:val="en-GB"/>
            </w:rPr>
          </w:pPr>
          <w:r w:rsidRPr="00105474">
            <w:rPr>
              <w:rFonts w:ascii="Arial" w:hAnsi="Arial"/>
              <w:sz w:val="16"/>
              <w:lang w:val="en-GB"/>
            </w:rPr>
            <w:t>01 September 20</w:t>
          </w:r>
          <w:r>
            <w:rPr>
              <w:rFonts w:ascii="Arial" w:hAnsi="Arial"/>
              <w:sz w:val="16"/>
              <w:lang w:val="en-GB"/>
            </w:rPr>
            <w:t>20</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77777777" w:rsidR="00B3212E" w:rsidRPr="00105474" w:rsidRDefault="00B3212E" w:rsidP="00B3212E">
          <w:pPr>
            <w:rPr>
              <w:rFonts w:ascii="Arial" w:hAnsi="Arial"/>
              <w:sz w:val="16"/>
              <w:lang w:val="en-GB"/>
            </w:rPr>
          </w:pPr>
          <w:r w:rsidRPr="00105474">
            <w:rPr>
              <w:rFonts w:ascii="Arial" w:hAnsi="Arial"/>
              <w:sz w:val="16"/>
              <w:lang w:val="en-GB"/>
            </w:rPr>
            <w:t>September 202</w:t>
          </w:r>
          <w:r>
            <w:rPr>
              <w:rFonts w:ascii="Arial" w:hAnsi="Arial"/>
              <w:sz w:val="16"/>
              <w:lang w:val="en-GB"/>
            </w:rPr>
            <w:t>3</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000170"/>
    <w:multiLevelType w:val="hybridMultilevel"/>
    <w:tmpl w:val="4198EA4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21E171B9"/>
    <w:multiLevelType w:val="hybridMultilevel"/>
    <w:tmpl w:val="518CE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9" w15:restartNumberingAfterBreak="0">
    <w:nsid w:val="38986D50"/>
    <w:multiLevelType w:val="hybridMultilevel"/>
    <w:tmpl w:val="2E9C95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39C616BA"/>
    <w:multiLevelType w:val="hybridMultilevel"/>
    <w:tmpl w:val="FDAC38AA"/>
    <w:lvl w:ilvl="0" w:tplc="41E45DE2">
      <w:start w:val="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9F23379"/>
    <w:multiLevelType w:val="hybridMultilevel"/>
    <w:tmpl w:val="EB9C4FC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BE21B4B"/>
    <w:multiLevelType w:val="hybridMultilevel"/>
    <w:tmpl w:val="92008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947682F"/>
    <w:multiLevelType w:val="hybridMultilevel"/>
    <w:tmpl w:val="42844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C372781"/>
    <w:multiLevelType w:val="hybridMultilevel"/>
    <w:tmpl w:val="48CC338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6D4E263F"/>
    <w:multiLevelType w:val="hybridMultilevel"/>
    <w:tmpl w:val="D3829C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F6D05CB"/>
    <w:multiLevelType w:val="hybridMultilevel"/>
    <w:tmpl w:val="4560DB50"/>
    <w:lvl w:ilvl="0" w:tplc="680E7008">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85817A3"/>
    <w:multiLevelType w:val="hybridMultilevel"/>
    <w:tmpl w:val="5108258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1"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17179071">
    <w:abstractNumId w:val="8"/>
  </w:num>
  <w:num w:numId="2" w16cid:durableId="2048142957">
    <w:abstractNumId w:val="16"/>
  </w:num>
  <w:num w:numId="3" w16cid:durableId="1627422529">
    <w:abstractNumId w:val="6"/>
  </w:num>
  <w:num w:numId="4" w16cid:durableId="1210727649">
    <w:abstractNumId w:val="15"/>
  </w:num>
  <w:num w:numId="5" w16cid:durableId="1293830976">
    <w:abstractNumId w:val="21"/>
  </w:num>
  <w:num w:numId="6" w16cid:durableId="1373072012">
    <w:abstractNumId w:val="20"/>
  </w:num>
  <w:num w:numId="7" w16cid:durableId="526408696">
    <w:abstractNumId w:val="2"/>
  </w:num>
  <w:num w:numId="8" w16cid:durableId="273438757">
    <w:abstractNumId w:val="19"/>
  </w:num>
  <w:num w:numId="9" w16cid:durableId="1770394987">
    <w:abstractNumId w:val="13"/>
  </w:num>
  <w:num w:numId="10" w16cid:durableId="1402479846">
    <w:abstractNumId w:val="11"/>
  </w:num>
  <w:num w:numId="11" w16cid:durableId="1936013830">
    <w:abstractNumId w:val="12"/>
  </w:num>
  <w:num w:numId="12" w16cid:durableId="447236341">
    <w:abstractNumId w:val="7"/>
  </w:num>
  <w:num w:numId="13" w16cid:durableId="850996304">
    <w:abstractNumId w:val="17"/>
  </w:num>
  <w:num w:numId="14" w16cid:durableId="1426419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893773">
    <w:abstractNumId w:val="0"/>
  </w:num>
  <w:num w:numId="16" w16cid:durableId="600452623">
    <w:abstractNumId w:val="14"/>
  </w:num>
  <w:num w:numId="17" w16cid:durableId="1463688125">
    <w:abstractNumId w:val="3"/>
  </w:num>
  <w:num w:numId="18" w16cid:durableId="230189981">
    <w:abstractNumId w:val="9"/>
  </w:num>
  <w:num w:numId="19" w16cid:durableId="947545668">
    <w:abstractNumId w:val="10"/>
  </w:num>
  <w:num w:numId="20" w16cid:durableId="449057764">
    <w:abstractNumId w:val="18"/>
  </w:num>
  <w:num w:numId="21" w16cid:durableId="70590000">
    <w:abstractNumId w:val="5"/>
  </w:num>
  <w:num w:numId="22" w16cid:durableId="1167095651">
    <w:abstractNumId w:val="4"/>
  </w:num>
  <w:num w:numId="23" w16cid:durableId="177216678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0AB3"/>
    <w:rsid w:val="00012031"/>
    <w:rsid w:val="00012461"/>
    <w:rsid w:val="000177B1"/>
    <w:rsid w:val="00023030"/>
    <w:rsid w:val="000263D8"/>
    <w:rsid w:val="00026784"/>
    <w:rsid w:val="00026998"/>
    <w:rsid w:val="0003097A"/>
    <w:rsid w:val="00032FEA"/>
    <w:rsid w:val="00035759"/>
    <w:rsid w:val="000361D9"/>
    <w:rsid w:val="00044E88"/>
    <w:rsid w:val="000458EA"/>
    <w:rsid w:val="00066CB4"/>
    <w:rsid w:val="00067DC9"/>
    <w:rsid w:val="000735ED"/>
    <w:rsid w:val="00074C17"/>
    <w:rsid w:val="00077A57"/>
    <w:rsid w:val="00084BF6"/>
    <w:rsid w:val="00097047"/>
    <w:rsid w:val="000A01FA"/>
    <w:rsid w:val="000A386C"/>
    <w:rsid w:val="000A648D"/>
    <w:rsid w:val="000B165C"/>
    <w:rsid w:val="000B28F1"/>
    <w:rsid w:val="000B4163"/>
    <w:rsid w:val="000B6B22"/>
    <w:rsid w:val="000B7D6D"/>
    <w:rsid w:val="000C33EB"/>
    <w:rsid w:val="000C6C73"/>
    <w:rsid w:val="000D4357"/>
    <w:rsid w:val="000D5135"/>
    <w:rsid w:val="000E1AB5"/>
    <w:rsid w:val="000F2D77"/>
    <w:rsid w:val="0010011F"/>
    <w:rsid w:val="001022DD"/>
    <w:rsid w:val="00105474"/>
    <w:rsid w:val="00115ECC"/>
    <w:rsid w:val="00127E44"/>
    <w:rsid w:val="00140917"/>
    <w:rsid w:val="001477A3"/>
    <w:rsid w:val="001510CA"/>
    <w:rsid w:val="001521AD"/>
    <w:rsid w:val="00153B00"/>
    <w:rsid w:val="00154240"/>
    <w:rsid w:val="00155040"/>
    <w:rsid w:val="00155248"/>
    <w:rsid w:val="001645BF"/>
    <w:rsid w:val="0016672F"/>
    <w:rsid w:val="00173BE4"/>
    <w:rsid w:val="00180AB7"/>
    <w:rsid w:val="001829A7"/>
    <w:rsid w:val="001A0679"/>
    <w:rsid w:val="001A408A"/>
    <w:rsid w:val="001A57D9"/>
    <w:rsid w:val="001A756E"/>
    <w:rsid w:val="001B2323"/>
    <w:rsid w:val="001B3B2A"/>
    <w:rsid w:val="001C599B"/>
    <w:rsid w:val="001C61B6"/>
    <w:rsid w:val="001C670C"/>
    <w:rsid w:val="001D0409"/>
    <w:rsid w:val="001D042C"/>
    <w:rsid w:val="001D077A"/>
    <w:rsid w:val="001D1614"/>
    <w:rsid w:val="001D391D"/>
    <w:rsid w:val="001D3F40"/>
    <w:rsid w:val="001D43D9"/>
    <w:rsid w:val="001E64BB"/>
    <w:rsid w:val="001E7B52"/>
    <w:rsid w:val="001F5E4B"/>
    <w:rsid w:val="002010DB"/>
    <w:rsid w:val="00201A98"/>
    <w:rsid w:val="00226713"/>
    <w:rsid w:val="002319CA"/>
    <w:rsid w:val="002341C9"/>
    <w:rsid w:val="0024372F"/>
    <w:rsid w:val="00253B8A"/>
    <w:rsid w:val="002632AA"/>
    <w:rsid w:val="00270763"/>
    <w:rsid w:val="0027500D"/>
    <w:rsid w:val="002763F5"/>
    <w:rsid w:val="002768C3"/>
    <w:rsid w:val="00276C45"/>
    <w:rsid w:val="0027700C"/>
    <w:rsid w:val="00281C71"/>
    <w:rsid w:val="002855B7"/>
    <w:rsid w:val="00296B82"/>
    <w:rsid w:val="002A1E23"/>
    <w:rsid w:val="002A5585"/>
    <w:rsid w:val="002A7C4A"/>
    <w:rsid w:val="002B02CB"/>
    <w:rsid w:val="002B19FA"/>
    <w:rsid w:val="002E453E"/>
    <w:rsid w:val="002E4C4E"/>
    <w:rsid w:val="002F19F2"/>
    <w:rsid w:val="002F4F5C"/>
    <w:rsid w:val="003037EE"/>
    <w:rsid w:val="00304117"/>
    <w:rsid w:val="003113D9"/>
    <w:rsid w:val="003127C7"/>
    <w:rsid w:val="00316294"/>
    <w:rsid w:val="00317372"/>
    <w:rsid w:val="0032593D"/>
    <w:rsid w:val="003317CA"/>
    <w:rsid w:val="003320AB"/>
    <w:rsid w:val="00332369"/>
    <w:rsid w:val="003363BE"/>
    <w:rsid w:val="00336747"/>
    <w:rsid w:val="00343807"/>
    <w:rsid w:val="003462C3"/>
    <w:rsid w:val="00347894"/>
    <w:rsid w:val="00360EA7"/>
    <w:rsid w:val="003633CD"/>
    <w:rsid w:val="00372699"/>
    <w:rsid w:val="003731E8"/>
    <w:rsid w:val="00373CF8"/>
    <w:rsid w:val="0037426F"/>
    <w:rsid w:val="0037609B"/>
    <w:rsid w:val="00381E2D"/>
    <w:rsid w:val="003840F2"/>
    <w:rsid w:val="00390AB7"/>
    <w:rsid w:val="003914DE"/>
    <w:rsid w:val="0039219D"/>
    <w:rsid w:val="003B3ABD"/>
    <w:rsid w:val="003C07F4"/>
    <w:rsid w:val="003C7A25"/>
    <w:rsid w:val="003D48B8"/>
    <w:rsid w:val="003D66F2"/>
    <w:rsid w:val="003D66FA"/>
    <w:rsid w:val="003D78F9"/>
    <w:rsid w:val="003E052A"/>
    <w:rsid w:val="003E4D3F"/>
    <w:rsid w:val="003F2387"/>
    <w:rsid w:val="003F3E07"/>
    <w:rsid w:val="003F59CF"/>
    <w:rsid w:val="003F7B1E"/>
    <w:rsid w:val="00404772"/>
    <w:rsid w:val="00420F29"/>
    <w:rsid w:val="004242FA"/>
    <w:rsid w:val="004251A4"/>
    <w:rsid w:val="00430A96"/>
    <w:rsid w:val="0043150C"/>
    <w:rsid w:val="004364AE"/>
    <w:rsid w:val="00452E77"/>
    <w:rsid w:val="00454BCC"/>
    <w:rsid w:val="00457274"/>
    <w:rsid w:val="00460577"/>
    <w:rsid w:val="00462579"/>
    <w:rsid w:val="00470A92"/>
    <w:rsid w:val="00472A90"/>
    <w:rsid w:val="00477D5F"/>
    <w:rsid w:val="004857A1"/>
    <w:rsid w:val="00486F57"/>
    <w:rsid w:val="00487A2E"/>
    <w:rsid w:val="00487AA0"/>
    <w:rsid w:val="00494324"/>
    <w:rsid w:val="004954EB"/>
    <w:rsid w:val="004C3176"/>
    <w:rsid w:val="004C38A6"/>
    <w:rsid w:val="004C4008"/>
    <w:rsid w:val="004C50A1"/>
    <w:rsid w:val="004D00A8"/>
    <w:rsid w:val="004D1602"/>
    <w:rsid w:val="004D2DD9"/>
    <w:rsid w:val="004D3228"/>
    <w:rsid w:val="004D408B"/>
    <w:rsid w:val="004E19F4"/>
    <w:rsid w:val="004E3127"/>
    <w:rsid w:val="004E6C33"/>
    <w:rsid w:val="004E77C0"/>
    <w:rsid w:val="004F07CB"/>
    <w:rsid w:val="004F117E"/>
    <w:rsid w:val="004F578D"/>
    <w:rsid w:val="00504CE2"/>
    <w:rsid w:val="00506A41"/>
    <w:rsid w:val="005125A6"/>
    <w:rsid w:val="0051409A"/>
    <w:rsid w:val="00514EB4"/>
    <w:rsid w:val="00527028"/>
    <w:rsid w:val="00534A84"/>
    <w:rsid w:val="005358BE"/>
    <w:rsid w:val="00536E30"/>
    <w:rsid w:val="00542B08"/>
    <w:rsid w:val="00550760"/>
    <w:rsid w:val="00557071"/>
    <w:rsid w:val="00560D72"/>
    <w:rsid w:val="00560EDB"/>
    <w:rsid w:val="00563AC1"/>
    <w:rsid w:val="00565D0A"/>
    <w:rsid w:val="005703DD"/>
    <w:rsid w:val="005765A0"/>
    <w:rsid w:val="00576B3E"/>
    <w:rsid w:val="0057724B"/>
    <w:rsid w:val="00580D2A"/>
    <w:rsid w:val="00586532"/>
    <w:rsid w:val="005908DD"/>
    <w:rsid w:val="0059543E"/>
    <w:rsid w:val="00596B3A"/>
    <w:rsid w:val="005A39B7"/>
    <w:rsid w:val="005A4292"/>
    <w:rsid w:val="005A62CE"/>
    <w:rsid w:val="005A63F7"/>
    <w:rsid w:val="005B39B4"/>
    <w:rsid w:val="005B6B0F"/>
    <w:rsid w:val="005B7605"/>
    <w:rsid w:val="005C2E51"/>
    <w:rsid w:val="005D33B1"/>
    <w:rsid w:val="005D66A8"/>
    <w:rsid w:val="005D7F0D"/>
    <w:rsid w:val="005E0073"/>
    <w:rsid w:val="005E3BE0"/>
    <w:rsid w:val="005E5C0A"/>
    <w:rsid w:val="005E6044"/>
    <w:rsid w:val="00602047"/>
    <w:rsid w:val="006067AC"/>
    <w:rsid w:val="00607D65"/>
    <w:rsid w:val="0061034B"/>
    <w:rsid w:val="006260D8"/>
    <w:rsid w:val="0062683D"/>
    <w:rsid w:val="00627923"/>
    <w:rsid w:val="0063091C"/>
    <w:rsid w:val="00630C25"/>
    <w:rsid w:val="00633969"/>
    <w:rsid w:val="00633B8B"/>
    <w:rsid w:val="0063746A"/>
    <w:rsid w:val="00637900"/>
    <w:rsid w:val="00637D14"/>
    <w:rsid w:val="00642493"/>
    <w:rsid w:val="0064741D"/>
    <w:rsid w:val="00655FCF"/>
    <w:rsid w:val="00657B8A"/>
    <w:rsid w:val="00686AD4"/>
    <w:rsid w:val="00692B80"/>
    <w:rsid w:val="006A1569"/>
    <w:rsid w:val="006A443E"/>
    <w:rsid w:val="006A55C5"/>
    <w:rsid w:val="006A73A5"/>
    <w:rsid w:val="006B05FD"/>
    <w:rsid w:val="006B0DF7"/>
    <w:rsid w:val="006B3FA2"/>
    <w:rsid w:val="006B57DF"/>
    <w:rsid w:val="006D07D5"/>
    <w:rsid w:val="006D6104"/>
    <w:rsid w:val="006D696A"/>
    <w:rsid w:val="006E0940"/>
    <w:rsid w:val="006E14B5"/>
    <w:rsid w:val="006E1BFE"/>
    <w:rsid w:val="006E4F88"/>
    <w:rsid w:val="006E52BA"/>
    <w:rsid w:val="006E7C3C"/>
    <w:rsid w:val="006F4421"/>
    <w:rsid w:val="006F5D0A"/>
    <w:rsid w:val="00702C96"/>
    <w:rsid w:val="00705512"/>
    <w:rsid w:val="0070780F"/>
    <w:rsid w:val="00713E63"/>
    <w:rsid w:val="00724B4F"/>
    <w:rsid w:val="00726FE1"/>
    <w:rsid w:val="00730262"/>
    <w:rsid w:val="00732A3F"/>
    <w:rsid w:val="00732BC4"/>
    <w:rsid w:val="00733FE1"/>
    <w:rsid w:val="00743BC6"/>
    <w:rsid w:val="0076048C"/>
    <w:rsid w:val="00761BE3"/>
    <w:rsid w:val="00761D9F"/>
    <w:rsid w:val="00766FB1"/>
    <w:rsid w:val="00766FE5"/>
    <w:rsid w:val="00771E96"/>
    <w:rsid w:val="00784A54"/>
    <w:rsid w:val="00785295"/>
    <w:rsid w:val="00791C9C"/>
    <w:rsid w:val="00794B9D"/>
    <w:rsid w:val="0079769C"/>
    <w:rsid w:val="007A6DC8"/>
    <w:rsid w:val="007A6F13"/>
    <w:rsid w:val="007B57E6"/>
    <w:rsid w:val="007C0A56"/>
    <w:rsid w:val="007C671C"/>
    <w:rsid w:val="007D37B0"/>
    <w:rsid w:val="007D4E0A"/>
    <w:rsid w:val="007E0CE5"/>
    <w:rsid w:val="007F15E3"/>
    <w:rsid w:val="00825B67"/>
    <w:rsid w:val="008326AE"/>
    <w:rsid w:val="00844D86"/>
    <w:rsid w:val="0084573D"/>
    <w:rsid w:val="00845A4B"/>
    <w:rsid w:val="0085043F"/>
    <w:rsid w:val="008525C7"/>
    <w:rsid w:val="00854874"/>
    <w:rsid w:val="00855983"/>
    <w:rsid w:val="00860294"/>
    <w:rsid w:val="00860C12"/>
    <w:rsid w:val="00861AE9"/>
    <w:rsid w:val="00861BE0"/>
    <w:rsid w:val="00864374"/>
    <w:rsid w:val="008723E9"/>
    <w:rsid w:val="00874A63"/>
    <w:rsid w:val="00880865"/>
    <w:rsid w:val="0088295E"/>
    <w:rsid w:val="00886564"/>
    <w:rsid w:val="008873CA"/>
    <w:rsid w:val="00893563"/>
    <w:rsid w:val="0089392A"/>
    <w:rsid w:val="00894E42"/>
    <w:rsid w:val="008951A9"/>
    <w:rsid w:val="0089757B"/>
    <w:rsid w:val="008A3FC8"/>
    <w:rsid w:val="008A550E"/>
    <w:rsid w:val="008A66CD"/>
    <w:rsid w:val="008B4200"/>
    <w:rsid w:val="008B5871"/>
    <w:rsid w:val="008C01CF"/>
    <w:rsid w:val="008C0E9E"/>
    <w:rsid w:val="008F2FA4"/>
    <w:rsid w:val="008F5BEC"/>
    <w:rsid w:val="009017B9"/>
    <w:rsid w:val="00903604"/>
    <w:rsid w:val="00914474"/>
    <w:rsid w:val="00916ABF"/>
    <w:rsid w:val="009214A0"/>
    <w:rsid w:val="00924E22"/>
    <w:rsid w:val="009261BD"/>
    <w:rsid w:val="009310D4"/>
    <w:rsid w:val="009354DB"/>
    <w:rsid w:val="00937DBC"/>
    <w:rsid w:val="00944D59"/>
    <w:rsid w:val="0095525E"/>
    <w:rsid w:val="00956E52"/>
    <w:rsid w:val="00960598"/>
    <w:rsid w:val="00965504"/>
    <w:rsid w:val="00970379"/>
    <w:rsid w:val="0097694C"/>
    <w:rsid w:val="00977B70"/>
    <w:rsid w:val="009801BA"/>
    <w:rsid w:val="00990864"/>
    <w:rsid w:val="00997E31"/>
    <w:rsid w:val="009A53BF"/>
    <w:rsid w:val="009A730B"/>
    <w:rsid w:val="009A77EC"/>
    <w:rsid w:val="009F3555"/>
    <w:rsid w:val="00A05C1D"/>
    <w:rsid w:val="00A1078D"/>
    <w:rsid w:val="00A111DA"/>
    <w:rsid w:val="00A14D4F"/>
    <w:rsid w:val="00A17546"/>
    <w:rsid w:val="00A22EF4"/>
    <w:rsid w:val="00A256F9"/>
    <w:rsid w:val="00A346F0"/>
    <w:rsid w:val="00A360C3"/>
    <w:rsid w:val="00A4460B"/>
    <w:rsid w:val="00A473FA"/>
    <w:rsid w:val="00A532EE"/>
    <w:rsid w:val="00A54671"/>
    <w:rsid w:val="00A61CD4"/>
    <w:rsid w:val="00A651E0"/>
    <w:rsid w:val="00A6602E"/>
    <w:rsid w:val="00A67C16"/>
    <w:rsid w:val="00A72491"/>
    <w:rsid w:val="00A72A16"/>
    <w:rsid w:val="00A75A9A"/>
    <w:rsid w:val="00A7697A"/>
    <w:rsid w:val="00A911B0"/>
    <w:rsid w:val="00A91CB3"/>
    <w:rsid w:val="00AA16F4"/>
    <w:rsid w:val="00AA403D"/>
    <w:rsid w:val="00AB4D3B"/>
    <w:rsid w:val="00AB54B6"/>
    <w:rsid w:val="00AB5B40"/>
    <w:rsid w:val="00AB64E3"/>
    <w:rsid w:val="00AB650A"/>
    <w:rsid w:val="00AB6ECF"/>
    <w:rsid w:val="00AC3774"/>
    <w:rsid w:val="00AD1C04"/>
    <w:rsid w:val="00AD2B7B"/>
    <w:rsid w:val="00AD6B2E"/>
    <w:rsid w:val="00AD784B"/>
    <w:rsid w:val="00AE7139"/>
    <w:rsid w:val="00AF3513"/>
    <w:rsid w:val="00AF35DE"/>
    <w:rsid w:val="00AF6824"/>
    <w:rsid w:val="00B00EB3"/>
    <w:rsid w:val="00B0566F"/>
    <w:rsid w:val="00B07294"/>
    <w:rsid w:val="00B072E8"/>
    <w:rsid w:val="00B16C39"/>
    <w:rsid w:val="00B263C0"/>
    <w:rsid w:val="00B3212E"/>
    <w:rsid w:val="00B32FC7"/>
    <w:rsid w:val="00B35AA2"/>
    <w:rsid w:val="00B44389"/>
    <w:rsid w:val="00B47EA0"/>
    <w:rsid w:val="00B54B80"/>
    <w:rsid w:val="00B57DBD"/>
    <w:rsid w:val="00B612DB"/>
    <w:rsid w:val="00B70E33"/>
    <w:rsid w:val="00B729B9"/>
    <w:rsid w:val="00B85F6B"/>
    <w:rsid w:val="00B93602"/>
    <w:rsid w:val="00BA5C88"/>
    <w:rsid w:val="00BB2C69"/>
    <w:rsid w:val="00BB6D00"/>
    <w:rsid w:val="00BB7D73"/>
    <w:rsid w:val="00BC6F34"/>
    <w:rsid w:val="00BC7452"/>
    <w:rsid w:val="00BD2863"/>
    <w:rsid w:val="00BD655D"/>
    <w:rsid w:val="00BD65E2"/>
    <w:rsid w:val="00BE0CD8"/>
    <w:rsid w:val="00BE3DBD"/>
    <w:rsid w:val="00BE56E8"/>
    <w:rsid w:val="00BE6D5F"/>
    <w:rsid w:val="00BF2FF2"/>
    <w:rsid w:val="00BF465C"/>
    <w:rsid w:val="00BF476B"/>
    <w:rsid w:val="00BF610E"/>
    <w:rsid w:val="00C12D3D"/>
    <w:rsid w:val="00C2594A"/>
    <w:rsid w:val="00C2623C"/>
    <w:rsid w:val="00C262D6"/>
    <w:rsid w:val="00C369AF"/>
    <w:rsid w:val="00C37E77"/>
    <w:rsid w:val="00C40E58"/>
    <w:rsid w:val="00C413FB"/>
    <w:rsid w:val="00C4471F"/>
    <w:rsid w:val="00C469F5"/>
    <w:rsid w:val="00C5004E"/>
    <w:rsid w:val="00C51844"/>
    <w:rsid w:val="00C530CD"/>
    <w:rsid w:val="00C610B6"/>
    <w:rsid w:val="00C628FA"/>
    <w:rsid w:val="00C638B7"/>
    <w:rsid w:val="00C64D96"/>
    <w:rsid w:val="00C64FE1"/>
    <w:rsid w:val="00C67975"/>
    <w:rsid w:val="00C71201"/>
    <w:rsid w:val="00C71402"/>
    <w:rsid w:val="00C72E5D"/>
    <w:rsid w:val="00C7656D"/>
    <w:rsid w:val="00C77EB9"/>
    <w:rsid w:val="00C8088F"/>
    <w:rsid w:val="00C81139"/>
    <w:rsid w:val="00C8486D"/>
    <w:rsid w:val="00C85676"/>
    <w:rsid w:val="00C87CC3"/>
    <w:rsid w:val="00C95686"/>
    <w:rsid w:val="00C95EC4"/>
    <w:rsid w:val="00CA1205"/>
    <w:rsid w:val="00CA48E7"/>
    <w:rsid w:val="00CA666C"/>
    <w:rsid w:val="00CA7AEF"/>
    <w:rsid w:val="00CB13D4"/>
    <w:rsid w:val="00CB3BE1"/>
    <w:rsid w:val="00CB4DCA"/>
    <w:rsid w:val="00CC4075"/>
    <w:rsid w:val="00CC4080"/>
    <w:rsid w:val="00CD787A"/>
    <w:rsid w:val="00CE00CF"/>
    <w:rsid w:val="00CE5EEE"/>
    <w:rsid w:val="00CF56BE"/>
    <w:rsid w:val="00CF781D"/>
    <w:rsid w:val="00D04B3C"/>
    <w:rsid w:val="00D07DEE"/>
    <w:rsid w:val="00D13293"/>
    <w:rsid w:val="00D21895"/>
    <w:rsid w:val="00D2565A"/>
    <w:rsid w:val="00D32E5C"/>
    <w:rsid w:val="00D3660F"/>
    <w:rsid w:val="00D415A5"/>
    <w:rsid w:val="00D45AEE"/>
    <w:rsid w:val="00D479A6"/>
    <w:rsid w:val="00D5588B"/>
    <w:rsid w:val="00D60523"/>
    <w:rsid w:val="00D60A56"/>
    <w:rsid w:val="00D71719"/>
    <w:rsid w:val="00D754CB"/>
    <w:rsid w:val="00D817F7"/>
    <w:rsid w:val="00D86CD2"/>
    <w:rsid w:val="00DA1B06"/>
    <w:rsid w:val="00DA3954"/>
    <w:rsid w:val="00DA55E4"/>
    <w:rsid w:val="00DB0660"/>
    <w:rsid w:val="00DB22F3"/>
    <w:rsid w:val="00DB6A92"/>
    <w:rsid w:val="00DC3353"/>
    <w:rsid w:val="00DC6795"/>
    <w:rsid w:val="00DD5408"/>
    <w:rsid w:val="00DD7B12"/>
    <w:rsid w:val="00DE2368"/>
    <w:rsid w:val="00DE31B1"/>
    <w:rsid w:val="00DF0A10"/>
    <w:rsid w:val="00DF46B0"/>
    <w:rsid w:val="00E10DC0"/>
    <w:rsid w:val="00E2355B"/>
    <w:rsid w:val="00E238C2"/>
    <w:rsid w:val="00E30E79"/>
    <w:rsid w:val="00E32BC1"/>
    <w:rsid w:val="00E35EB0"/>
    <w:rsid w:val="00E3774F"/>
    <w:rsid w:val="00E500CF"/>
    <w:rsid w:val="00E534E2"/>
    <w:rsid w:val="00E5621A"/>
    <w:rsid w:val="00E56F99"/>
    <w:rsid w:val="00E70F32"/>
    <w:rsid w:val="00E71288"/>
    <w:rsid w:val="00E71A93"/>
    <w:rsid w:val="00E74D52"/>
    <w:rsid w:val="00E81422"/>
    <w:rsid w:val="00E86104"/>
    <w:rsid w:val="00E90B24"/>
    <w:rsid w:val="00EA1B3D"/>
    <w:rsid w:val="00EA320B"/>
    <w:rsid w:val="00EA4206"/>
    <w:rsid w:val="00EB03A4"/>
    <w:rsid w:val="00EB20DA"/>
    <w:rsid w:val="00EB6A30"/>
    <w:rsid w:val="00EC662F"/>
    <w:rsid w:val="00ED3E4E"/>
    <w:rsid w:val="00EF279E"/>
    <w:rsid w:val="00EF2F58"/>
    <w:rsid w:val="00EF4E0F"/>
    <w:rsid w:val="00EF5055"/>
    <w:rsid w:val="00EF67B3"/>
    <w:rsid w:val="00EF6D03"/>
    <w:rsid w:val="00EF748F"/>
    <w:rsid w:val="00EF780B"/>
    <w:rsid w:val="00F03728"/>
    <w:rsid w:val="00F04C7B"/>
    <w:rsid w:val="00F0521B"/>
    <w:rsid w:val="00F13DC7"/>
    <w:rsid w:val="00F16AC6"/>
    <w:rsid w:val="00F22D6B"/>
    <w:rsid w:val="00F274B7"/>
    <w:rsid w:val="00F3247D"/>
    <w:rsid w:val="00F337F6"/>
    <w:rsid w:val="00F3474A"/>
    <w:rsid w:val="00F43869"/>
    <w:rsid w:val="00F43E37"/>
    <w:rsid w:val="00F45833"/>
    <w:rsid w:val="00F45F18"/>
    <w:rsid w:val="00F52019"/>
    <w:rsid w:val="00F53FC5"/>
    <w:rsid w:val="00F55FA9"/>
    <w:rsid w:val="00F64443"/>
    <w:rsid w:val="00F73FDF"/>
    <w:rsid w:val="00F748A2"/>
    <w:rsid w:val="00F819D3"/>
    <w:rsid w:val="00F9103A"/>
    <w:rsid w:val="00F92697"/>
    <w:rsid w:val="00F9323F"/>
    <w:rsid w:val="00F9702A"/>
    <w:rsid w:val="00FA1238"/>
    <w:rsid w:val="00FA31B2"/>
    <w:rsid w:val="00FB1948"/>
    <w:rsid w:val="00FB1E51"/>
    <w:rsid w:val="00FB2E48"/>
    <w:rsid w:val="00FB31F7"/>
    <w:rsid w:val="00FB3F38"/>
    <w:rsid w:val="00FC0343"/>
    <w:rsid w:val="00FD310A"/>
    <w:rsid w:val="00FD6D80"/>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unhideWhenUsed/>
    <w:qFormat/>
    <w:rsid w:val="00C37E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Bulleted Text,Bullet List,Indent Normal,Paragraph,Table of contents numbered,Standard Paragraph,List Paragraph 1,List Paragraph1,Normal for Tables,LIST,BULLETS,EOH bullet,Use Case List Paragraph,EOH paragraph,Figure_name,Table (List),lp1"/>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Bulleted Text Char,Bullet List Char,Indent Normal Char,Paragraph Char,Table of contents numbered Char,Standard Paragraph Char,List Paragraph 1 Char,List Paragraph1 Char,Normal for Tables Char,LIST Char,BULLETS Char,EOH bullet Char"/>
    <w:link w:val="ListParagraph"/>
    <w:uiPriority w:val="34"/>
    <w:rsid w:val="006E14B5"/>
    <w:rPr>
      <w:rFonts w:ascii="Times New Roman" w:eastAsia="Times New Roman" w:hAnsi="Times New Roman" w:cs="Times New Roman"/>
      <w:sz w:val="24"/>
      <w:szCs w:val="20"/>
      <w:lang w:val="en-US"/>
    </w:rPr>
  </w:style>
  <w:style w:type="paragraph" w:customStyle="1" w:styleId="Default">
    <w:name w:val="Default"/>
    <w:rsid w:val="00044E8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37E77"/>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695">
      <w:bodyDiv w:val="1"/>
      <w:marLeft w:val="0"/>
      <w:marRight w:val="0"/>
      <w:marTop w:val="0"/>
      <w:marBottom w:val="0"/>
      <w:divBdr>
        <w:top w:val="none" w:sz="0" w:space="0" w:color="auto"/>
        <w:left w:val="none" w:sz="0" w:space="0" w:color="auto"/>
        <w:bottom w:val="none" w:sz="0" w:space="0" w:color="auto"/>
        <w:right w:val="none" w:sz="0" w:space="0" w:color="auto"/>
      </w:divBdr>
    </w:div>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165247390">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856503972">
      <w:bodyDiv w:val="1"/>
      <w:marLeft w:val="0"/>
      <w:marRight w:val="0"/>
      <w:marTop w:val="0"/>
      <w:marBottom w:val="0"/>
      <w:divBdr>
        <w:top w:val="none" w:sz="0" w:space="0" w:color="auto"/>
        <w:left w:val="none" w:sz="0" w:space="0" w:color="auto"/>
        <w:bottom w:val="none" w:sz="0" w:space="0" w:color="auto"/>
        <w:right w:val="none" w:sz="0" w:space="0" w:color="auto"/>
      </w:divBdr>
    </w:div>
    <w:div w:id="1104418759">
      <w:bodyDiv w:val="1"/>
      <w:marLeft w:val="0"/>
      <w:marRight w:val="0"/>
      <w:marTop w:val="0"/>
      <w:marBottom w:val="0"/>
      <w:divBdr>
        <w:top w:val="none" w:sz="0" w:space="0" w:color="auto"/>
        <w:left w:val="none" w:sz="0" w:space="0" w:color="auto"/>
        <w:bottom w:val="none" w:sz="0" w:space="0" w:color="auto"/>
        <w:right w:val="none" w:sz="0" w:space="0" w:color="auto"/>
      </w:divBdr>
    </w:div>
    <w:div w:id="1229993608">
      <w:bodyDiv w:val="1"/>
      <w:marLeft w:val="0"/>
      <w:marRight w:val="0"/>
      <w:marTop w:val="0"/>
      <w:marBottom w:val="0"/>
      <w:divBdr>
        <w:top w:val="none" w:sz="0" w:space="0" w:color="auto"/>
        <w:left w:val="none" w:sz="0" w:space="0" w:color="auto"/>
        <w:bottom w:val="none" w:sz="0" w:space="0" w:color="auto"/>
        <w:right w:val="none" w:sz="0" w:space="0" w:color="auto"/>
      </w:divBdr>
    </w:div>
    <w:div w:id="1318069441">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545097252">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1804529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Willem Burger</cp:lastModifiedBy>
  <cp:revision>2</cp:revision>
  <cp:lastPrinted>2024-02-07T07:16:00Z</cp:lastPrinted>
  <dcterms:created xsi:type="dcterms:W3CDTF">2025-07-01T09:51:00Z</dcterms:created>
  <dcterms:modified xsi:type="dcterms:W3CDTF">2025-07-01T09:51:00Z</dcterms:modified>
</cp:coreProperties>
</file>