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400"/>
        <w:tblW w:w="0" w:type="auto"/>
        <w:tblLook w:val="04A0"/>
      </w:tblPr>
      <w:tblGrid>
        <w:gridCol w:w="2235"/>
        <w:gridCol w:w="7341"/>
      </w:tblGrid>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RFQ </w:t>
            </w:r>
          </w:p>
        </w:tc>
        <w:tc>
          <w:tcPr>
            <w:tcW w:w="7341" w:type="dxa"/>
          </w:tcPr>
          <w:p w:rsidR="00E56C11" w:rsidRPr="004C5E40" w:rsidRDefault="004C5E40" w:rsidP="00FE0936">
            <w:pPr>
              <w:rPr>
                <w:rFonts w:ascii="Tahoma" w:hAnsi="Tahoma" w:cs="Tahoma"/>
                <w:b/>
              </w:rPr>
            </w:pPr>
            <w:r w:rsidRPr="004C5E40">
              <w:rPr>
                <w:rFonts w:ascii="Tahoma" w:hAnsi="Tahoma" w:cs="Tahoma"/>
                <w:b/>
              </w:rPr>
              <w:t xml:space="preserve">Provision </w:t>
            </w:r>
            <w:r w:rsidR="0045119E">
              <w:rPr>
                <w:rFonts w:ascii="Tahoma" w:hAnsi="Tahoma" w:cs="Tahoma"/>
                <w:b/>
              </w:rPr>
              <w:t>for</w:t>
            </w:r>
            <w:r w:rsidR="00FE0936">
              <w:rPr>
                <w:rFonts w:ascii="Tahoma" w:hAnsi="Tahoma" w:cs="Tahoma"/>
                <w:b/>
              </w:rPr>
              <w:t xml:space="preserve"> ICT support </w:t>
            </w:r>
            <w:r w:rsidR="009E697E">
              <w:rPr>
                <w:rFonts w:ascii="Tahoma" w:hAnsi="Tahoma" w:cs="Tahoma"/>
                <w:b/>
              </w:rPr>
              <w:t xml:space="preserve">services at </w:t>
            </w:r>
            <w:r w:rsidR="00FE0936">
              <w:rPr>
                <w:rFonts w:ascii="Tahoma" w:hAnsi="Tahoma" w:cs="Tahoma"/>
                <w:b/>
              </w:rPr>
              <w:t>National</w:t>
            </w:r>
            <w:r w:rsidR="009E697E">
              <w:rPr>
                <w:rFonts w:ascii="Tahoma" w:hAnsi="Tahoma" w:cs="Tahoma"/>
                <w:b/>
              </w:rPr>
              <w:t xml:space="preserve"> Museum for a fixed term period of </w:t>
            </w:r>
            <w:r w:rsidR="00FE0936">
              <w:rPr>
                <w:rFonts w:ascii="Tahoma" w:hAnsi="Tahoma" w:cs="Tahoma"/>
                <w:b/>
              </w:rPr>
              <w:t>12</w:t>
            </w:r>
            <w:r w:rsidR="009E697E">
              <w:rPr>
                <w:rFonts w:ascii="Tahoma" w:hAnsi="Tahoma" w:cs="Tahoma"/>
                <w:b/>
              </w:rPr>
              <w:t xml:space="preserve"> months</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ISSUE DATE</w:t>
            </w:r>
          </w:p>
        </w:tc>
        <w:tc>
          <w:tcPr>
            <w:tcW w:w="7341" w:type="dxa"/>
          </w:tcPr>
          <w:p w:rsidR="00E56C11" w:rsidRPr="004C5E40" w:rsidRDefault="00EE7055" w:rsidP="009E697E">
            <w:pPr>
              <w:rPr>
                <w:rFonts w:ascii="Tahoma" w:hAnsi="Tahoma" w:cs="Tahoma"/>
                <w:b/>
              </w:rPr>
            </w:pPr>
            <w:r>
              <w:rPr>
                <w:rFonts w:ascii="Tahoma" w:hAnsi="Tahoma" w:cs="Tahoma"/>
                <w:b/>
              </w:rPr>
              <w:t>25</w:t>
            </w:r>
            <w:r w:rsidR="0045119E">
              <w:rPr>
                <w:rFonts w:ascii="Tahoma" w:hAnsi="Tahoma" w:cs="Tahoma"/>
                <w:b/>
              </w:rPr>
              <w:t xml:space="preserve"> </w:t>
            </w:r>
            <w:r w:rsidR="009E697E">
              <w:rPr>
                <w:rFonts w:ascii="Tahoma" w:hAnsi="Tahoma" w:cs="Tahoma"/>
                <w:b/>
              </w:rPr>
              <w:t>October</w:t>
            </w:r>
            <w:r w:rsidR="00763D8A">
              <w:rPr>
                <w:rFonts w:ascii="Tahoma" w:hAnsi="Tahoma" w:cs="Tahoma"/>
                <w:b/>
              </w:rPr>
              <w:t xml:space="preserve"> 2022</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CLOSING DATE </w:t>
            </w:r>
          </w:p>
        </w:tc>
        <w:tc>
          <w:tcPr>
            <w:tcW w:w="7341" w:type="dxa"/>
          </w:tcPr>
          <w:p w:rsidR="00E56C11" w:rsidRPr="004C5E40" w:rsidRDefault="00EE7055" w:rsidP="00EE7055">
            <w:pPr>
              <w:rPr>
                <w:rFonts w:ascii="Tahoma" w:hAnsi="Tahoma" w:cs="Tahoma"/>
                <w:b/>
              </w:rPr>
            </w:pPr>
            <w:r>
              <w:rPr>
                <w:rFonts w:ascii="Tahoma" w:hAnsi="Tahoma" w:cs="Tahoma"/>
                <w:b/>
              </w:rPr>
              <w:t>3</w:t>
            </w:r>
            <w:r w:rsidR="00763D8A">
              <w:rPr>
                <w:rFonts w:ascii="Tahoma" w:hAnsi="Tahoma" w:cs="Tahoma"/>
                <w:b/>
              </w:rPr>
              <w:t xml:space="preserve"> </w:t>
            </w:r>
            <w:r>
              <w:rPr>
                <w:rFonts w:ascii="Tahoma" w:hAnsi="Tahoma" w:cs="Tahoma"/>
                <w:b/>
              </w:rPr>
              <w:t>November</w:t>
            </w:r>
            <w:r w:rsidR="00763D8A">
              <w:rPr>
                <w:rFonts w:ascii="Tahoma" w:hAnsi="Tahoma" w:cs="Tahoma"/>
                <w:b/>
              </w:rPr>
              <w:t xml:space="preserve"> 2022</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CLOSING TIME</w:t>
            </w:r>
          </w:p>
        </w:tc>
        <w:tc>
          <w:tcPr>
            <w:tcW w:w="7341" w:type="dxa"/>
          </w:tcPr>
          <w:p w:rsidR="00E56C11" w:rsidRPr="004C5E40" w:rsidRDefault="00763D8A" w:rsidP="00EE7055">
            <w:pPr>
              <w:rPr>
                <w:rFonts w:ascii="Tahoma" w:hAnsi="Tahoma" w:cs="Tahoma"/>
                <w:b/>
              </w:rPr>
            </w:pPr>
            <w:r>
              <w:rPr>
                <w:rFonts w:ascii="Tahoma" w:hAnsi="Tahoma" w:cs="Tahoma"/>
                <w:b/>
              </w:rPr>
              <w:t>1</w:t>
            </w:r>
            <w:r w:rsidR="00EE7055">
              <w:rPr>
                <w:rFonts w:ascii="Tahoma" w:hAnsi="Tahoma" w:cs="Tahoma"/>
                <w:b/>
              </w:rPr>
              <w:t>8</w:t>
            </w:r>
            <w:r w:rsidR="0045119E">
              <w:rPr>
                <w:rFonts w:ascii="Tahoma" w:hAnsi="Tahoma" w:cs="Tahoma"/>
                <w:b/>
              </w:rPr>
              <w:t>h00</w:t>
            </w:r>
          </w:p>
        </w:tc>
      </w:tr>
    </w:tbl>
    <w:p w:rsidR="00E56C11" w:rsidRPr="004C5E40" w:rsidRDefault="00E56C11" w:rsidP="004C5E40">
      <w:pPr>
        <w:rPr>
          <w:rFonts w:ascii="Tahoma" w:hAnsi="Tahoma" w:cs="Tahoma"/>
          <w:b/>
        </w:rPr>
      </w:pPr>
    </w:p>
    <w:p w:rsidR="00376A4D" w:rsidRDefault="00376A4D"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A QUOTE FOR </w:t>
      </w:r>
      <w:r w:rsidR="009E697E">
        <w:rPr>
          <w:rFonts w:ascii="Tahoma" w:hAnsi="Tahoma" w:cs="Tahoma"/>
          <w:b/>
        </w:rPr>
        <w:t>AN EXPERIENCE</w:t>
      </w:r>
      <w:r w:rsidR="00FE0936">
        <w:rPr>
          <w:rFonts w:ascii="Tahoma" w:hAnsi="Tahoma" w:cs="Tahoma"/>
          <w:b/>
        </w:rPr>
        <w:t xml:space="preserve"> AND QUALIFIED SERVICE</w:t>
      </w:r>
      <w:r w:rsidR="009E697E">
        <w:rPr>
          <w:rFonts w:ascii="Tahoma" w:hAnsi="Tahoma" w:cs="Tahoma"/>
          <w:b/>
        </w:rPr>
        <w:t xml:space="preserve"> </w:t>
      </w:r>
      <w:r w:rsidR="00D43DC2">
        <w:rPr>
          <w:rFonts w:ascii="Tahoma" w:hAnsi="Tahoma" w:cs="Tahoma"/>
          <w:b/>
        </w:rPr>
        <w:t xml:space="preserve">PROVIDER TO </w:t>
      </w:r>
      <w:r w:rsidR="009E697E">
        <w:rPr>
          <w:rFonts w:ascii="Tahoma" w:hAnsi="Tahoma" w:cs="Tahoma"/>
          <w:b/>
        </w:rPr>
        <w:t xml:space="preserve">PROVIDE </w:t>
      </w:r>
      <w:r w:rsidR="00FE0936">
        <w:rPr>
          <w:rFonts w:ascii="Tahoma" w:hAnsi="Tahoma" w:cs="Tahoma"/>
          <w:b/>
        </w:rPr>
        <w:t>ICT SUPPORT</w:t>
      </w:r>
      <w:r w:rsidR="009E697E">
        <w:rPr>
          <w:rFonts w:ascii="Tahoma" w:hAnsi="Tahoma" w:cs="Tahoma"/>
          <w:b/>
        </w:rPr>
        <w:t xml:space="preserve"> SERVICES FOR FIXED TERM PERIOD OF </w:t>
      </w:r>
      <w:r w:rsidR="00FE0936">
        <w:rPr>
          <w:rFonts w:ascii="Tahoma" w:hAnsi="Tahoma" w:cs="Tahoma"/>
          <w:b/>
        </w:rPr>
        <w:t>12</w:t>
      </w:r>
      <w:r w:rsidR="009E697E">
        <w:rPr>
          <w:rFonts w:ascii="Tahoma" w:hAnsi="Tahoma" w:cs="Tahoma"/>
          <w:b/>
        </w:rPr>
        <w:t xml:space="preserve"> MONTHS.</w:t>
      </w:r>
    </w:p>
    <w:p w:rsidR="00491876" w:rsidRPr="004C5E40" w:rsidRDefault="00491876"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FE0936" w:rsidRPr="00300092" w:rsidRDefault="00FE0936" w:rsidP="00FE0936">
      <w:pPr>
        <w:pStyle w:val="ListParagraph"/>
        <w:spacing w:before="100" w:beforeAutospacing="1" w:after="100" w:afterAutospacing="1" w:line="240" w:lineRule="exact"/>
        <w:ind w:left="0"/>
        <w:jc w:val="both"/>
        <w:rPr>
          <w:rFonts w:ascii="Arial" w:hAnsi="Arial" w:cs="Arial"/>
        </w:rPr>
      </w:pPr>
      <w:r w:rsidRPr="00300092">
        <w:rPr>
          <w:rFonts w:ascii="Arial" w:hAnsi="Arial" w:cs="Arial"/>
        </w:rPr>
        <w:t>The Museum currently is outsourcing its ICT support services from Networking computing &amp; Consultants on contractual basis and the contract is ending on the 30</w:t>
      </w:r>
      <w:r w:rsidRPr="00300092">
        <w:rPr>
          <w:rFonts w:ascii="Arial" w:hAnsi="Arial" w:cs="Arial"/>
          <w:vertAlign w:val="superscript"/>
        </w:rPr>
        <w:t>th</w:t>
      </w:r>
      <w:r w:rsidRPr="00300092">
        <w:rPr>
          <w:rFonts w:ascii="Arial" w:hAnsi="Arial" w:cs="Arial"/>
        </w:rPr>
        <w:t xml:space="preserve"> of November 2022. In order to comply with supply chain management processes we would like to issue out a request for a quote to appoint an experienced and qualified service provider to provide ICT support services to the Museum for a fixed term period of 24 months.</w:t>
      </w:r>
    </w:p>
    <w:p w:rsidR="00FE0936" w:rsidRPr="00300092" w:rsidRDefault="00FE0936" w:rsidP="00FE0936">
      <w:pPr>
        <w:pStyle w:val="ListParagraph"/>
        <w:spacing w:before="100" w:beforeAutospacing="1" w:after="100" w:afterAutospacing="1" w:line="240" w:lineRule="exact"/>
        <w:ind w:left="0"/>
        <w:jc w:val="both"/>
        <w:rPr>
          <w:rFonts w:ascii="Arial" w:hAnsi="Arial" w:cs="Arial"/>
        </w:rPr>
      </w:pPr>
    </w:p>
    <w:p w:rsidR="00FE0936" w:rsidRPr="00300092" w:rsidRDefault="00FE0936" w:rsidP="00FE0936">
      <w:pPr>
        <w:pStyle w:val="ListParagraph"/>
        <w:spacing w:before="100" w:beforeAutospacing="1" w:after="100" w:afterAutospacing="1" w:line="240" w:lineRule="exact"/>
        <w:ind w:left="0"/>
        <w:jc w:val="both"/>
        <w:rPr>
          <w:rFonts w:ascii="Arial" w:hAnsi="Arial" w:cs="Arial"/>
        </w:rPr>
      </w:pPr>
      <w:r w:rsidRPr="00300092">
        <w:rPr>
          <w:rFonts w:ascii="Arial" w:hAnsi="Arial" w:cs="Arial"/>
        </w:rPr>
        <w:t>The following is a summary of current services being provided by Networking computing &amp; consultants;</w:t>
      </w:r>
    </w:p>
    <w:p w:rsidR="00FE0936" w:rsidRPr="00300092" w:rsidRDefault="00FE0936" w:rsidP="00FE0936">
      <w:pPr>
        <w:pStyle w:val="ListParagraph"/>
        <w:spacing w:before="100" w:beforeAutospacing="1" w:after="100" w:afterAutospacing="1" w:line="240" w:lineRule="exact"/>
        <w:ind w:left="0"/>
        <w:jc w:val="both"/>
        <w:rPr>
          <w:rFonts w:ascii="Arial" w:hAnsi="Arial" w:cs="Arial"/>
        </w:rPr>
      </w:pPr>
    </w:p>
    <w:p w:rsidR="00FE0936" w:rsidRPr="00300092" w:rsidRDefault="00FE0936" w:rsidP="00FE0936">
      <w:pPr>
        <w:pStyle w:val="ListParagraph"/>
        <w:numPr>
          <w:ilvl w:val="0"/>
          <w:numId w:val="27"/>
        </w:numPr>
        <w:autoSpaceDE w:val="0"/>
        <w:autoSpaceDN w:val="0"/>
        <w:adjustRightInd w:val="0"/>
        <w:jc w:val="both"/>
        <w:rPr>
          <w:rFonts w:ascii="Arial" w:hAnsi="Arial" w:cs="Arial"/>
          <w:color w:val="050300"/>
        </w:rPr>
      </w:pPr>
      <w:r w:rsidRPr="00300092">
        <w:rPr>
          <w:rFonts w:ascii="Arial" w:hAnsi="Arial" w:cs="Arial"/>
          <w:color w:val="050300"/>
        </w:rPr>
        <w:t>Maintain internet access and monitor bandwidth usage</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ADSL Internet Access (National Museum) – 5GB</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ADSL Internet Access (</w:t>
      </w:r>
      <w:proofErr w:type="spellStart"/>
      <w:r w:rsidRPr="00300092">
        <w:rPr>
          <w:rFonts w:ascii="Arial" w:hAnsi="Arial" w:cs="Arial"/>
          <w:color w:val="050300"/>
        </w:rPr>
        <w:t>Oliewenhuis</w:t>
      </w:r>
      <w:proofErr w:type="spellEnd"/>
      <w:r w:rsidRPr="00300092">
        <w:rPr>
          <w:rFonts w:ascii="Arial" w:hAnsi="Arial" w:cs="Arial"/>
          <w:color w:val="050300"/>
        </w:rPr>
        <w:t xml:space="preserve"> Art Museum) – 3GB</w:t>
      </w:r>
    </w:p>
    <w:p w:rsidR="00FE0936" w:rsidRPr="00300092" w:rsidRDefault="00FE0936" w:rsidP="00FE0936">
      <w:pPr>
        <w:pStyle w:val="ListParagraph"/>
        <w:numPr>
          <w:ilvl w:val="0"/>
          <w:numId w:val="27"/>
        </w:numPr>
        <w:autoSpaceDE w:val="0"/>
        <w:autoSpaceDN w:val="0"/>
        <w:adjustRightInd w:val="0"/>
        <w:jc w:val="both"/>
        <w:rPr>
          <w:rFonts w:ascii="Arial" w:hAnsi="Arial" w:cs="Arial"/>
          <w:color w:val="050300"/>
        </w:rPr>
      </w:pPr>
      <w:r w:rsidRPr="00300092">
        <w:rPr>
          <w:rFonts w:ascii="Arial" w:hAnsi="Arial" w:cs="Arial"/>
          <w:color w:val="050300"/>
        </w:rPr>
        <w:t xml:space="preserve">Maintain existing technical aspects relating to ISP status for all servers at National Museum, </w:t>
      </w:r>
      <w:proofErr w:type="spellStart"/>
      <w:r w:rsidRPr="00300092">
        <w:rPr>
          <w:rFonts w:ascii="Arial" w:hAnsi="Arial" w:cs="Arial"/>
          <w:color w:val="050300"/>
        </w:rPr>
        <w:t>Oliewenhuis</w:t>
      </w:r>
      <w:proofErr w:type="spellEnd"/>
      <w:r w:rsidRPr="00300092">
        <w:rPr>
          <w:rFonts w:ascii="Arial" w:hAnsi="Arial" w:cs="Arial"/>
          <w:color w:val="050300"/>
        </w:rPr>
        <w:t xml:space="preserve"> Art Museum and </w:t>
      </w:r>
      <w:proofErr w:type="spellStart"/>
      <w:r w:rsidRPr="00300092">
        <w:rPr>
          <w:rFonts w:ascii="Arial" w:hAnsi="Arial" w:cs="Arial"/>
          <w:color w:val="050300"/>
        </w:rPr>
        <w:t>Exporama</w:t>
      </w:r>
      <w:proofErr w:type="spellEnd"/>
    </w:p>
    <w:p w:rsidR="00FE0936" w:rsidRPr="00300092" w:rsidRDefault="00FE0936" w:rsidP="00FE0936">
      <w:pPr>
        <w:pStyle w:val="ListParagraph"/>
        <w:numPr>
          <w:ilvl w:val="0"/>
          <w:numId w:val="27"/>
        </w:numPr>
        <w:autoSpaceDE w:val="0"/>
        <w:autoSpaceDN w:val="0"/>
        <w:adjustRightInd w:val="0"/>
        <w:jc w:val="both"/>
        <w:rPr>
          <w:rFonts w:ascii="Arial" w:hAnsi="Arial" w:cs="Arial"/>
          <w:color w:val="050300"/>
        </w:rPr>
      </w:pPr>
      <w:r w:rsidRPr="00300092">
        <w:rPr>
          <w:rFonts w:ascii="Arial" w:hAnsi="Arial" w:cs="Arial"/>
          <w:color w:val="050300"/>
        </w:rPr>
        <w:t>Maintain National Museum domain name (nasmus.co.za)</w:t>
      </w:r>
    </w:p>
    <w:p w:rsidR="00FE0936" w:rsidRPr="00300092" w:rsidRDefault="00FE0936" w:rsidP="00FE0936">
      <w:pPr>
        <w:pStyle w:val="ListParagraph"/>
        <w:numPr>
          <w:ilvl w:val="0"/>
          <w:numId w:val="27"/>
        </w:numPr>
        <w:autoSpaceDE w:val="0"/>
        <w:autoSpaceDN w:val="0"/>
        <w:adjustRightInd w:val="0"/>
        <w:jc w:val="both"/>
        <w:rPr>
          <w:rFonts w:ascii="Arial" w:hAnsi="Arial" w:cs="Arial"/>
          <w:color w:val="050300"/>
        </w:rPr>
      </w:pPr>
      <w:r w:rsidRPr="00300092">
        <w:rPr>
          <w:rFonts w:ascii="Arial" w:hAnsi="Arial" w:cs="Arial"/>
          <w:color w:val="050300"/>
        </w:rPr>
        <w:t>Maintain e-mail facility, including anti-virus and spam filtering</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 xml:space="preserve"> Base service fee</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Email usage fee (per MB)</w:t>
      </w:r>
    </w:p>
    <w:p w:rsidR="00FE0936" w:rsidRPr="00300092" w:rsidRDefault="00FE0936" w:rsidP="00FE0936">
      <w:pPr>
        <w:pStyle w:val="ListParagraph"/>
        <w:numPr>
          <w:ilvl w:val="0"/>
          <w:numId w:val="27"/>
        </w:numPr>
        <w:autoSpaceDE w:val="0"/>
        <w:autoSpaceDN w:val="0"/>
        <w:adjustRightInd w:val="0"/>
        <w:jc w:val="both"/>
        <w:rPr>
          <w:rFonts w:ascii="Arial" w:hAnsi="Arial" w:cs="Arial"/>
          <w:color w:val="050300"/>
        </w:rPr>
      </w:pPr>
      <w:r w:rsidRPr="00300092">
        <w:rPr>
          <w:rFonts w:ascii="Arial" w:hAnsi="Arial" w:cs="Arial"/>
          <w:color w:val="050300"/>
        </w:rPr>
        <w:t>Regular reporting on usage statistics</w:t>
      </w:r>
    </w:p>
    <w:p w:rsidR="00FE0936" w:rsidRPr="00300092" w:rsidRDefault="00FE0936" w:rsidP="00FE0936">
      <w:pPr>
        <w:pStyle w:val="ListParagraph"/>
        <w:numPr>
          <w:ilvl w:val="0"/>
          <w:numId w:val="27"/>
        </w:numPr>
        <w:autoSpaceDE w:val="0"/>
        <w:autoSpaceDN w:val="0"/>
        <w:adjustRightInd w:val="0"/>
        <w:jc w:val="both"/>
        <w:rPr>
          <w:rFonts w:ascii="Arial" w:hAnsi="Arial" w:cs="Arial"/>
          <w:color w:val="050300"/>
        </w:rPr>
      </w:pPr>
      <w:proofErr w:type="gramStart"/>
      <w:r w:rsidRPr="00300092">
        <w:rPr>
          <w:rFonts w:ascii="Arial" w:hAnsi="Arial" w:cs="Arial"/>
          <w:color w:val="050300"/>
        </w:rPr>
        <w:t>additional</w:t>
      </w:r>
      <w:proofErr w:type="gramEnd"/>
      <w:r w:rsidRPr="00300092">
        <w:rPr>
          <w:rFonts w:ascii="Arial" w:hAnsi="Arial" w:cs="Arial"/>
          <w:color w:val="050300"/>
        </w:rPr>
        <w:t xml:space="preserve"> call-out services will be done directors prior approval. </w:t>
      </w:r>
    </w:p>
    <w:p w:rsidR="004D5292" w:rsidRPr="00300092" w:rsidRDefault="004D5292" w:rsidP="004C5E40">
      <w:pPr>
        <w:rPr>
          <w:rFonts w:ascii="Tahoma" w:hAnsi="Tahoma" w:cs="Tahoma"/>
        </w:rPr>
      </w:pPr>
    </w:p>
    <w:p w:rsidR="00246152" w:rsidRPr="00300092" w:rsidRDefault="00246152" w:rsidP="004C5E40">
      <w:pPr>
        <w:rPr>
          <w:rFonts w:ascii="Tahoma" w:hAnsi="Tahoma" w:cs="Tahoma"/>
        </w:rPr>
      </w:pPr>
    </w:p>
    <w:p w:rsidR="009E697E" w:rsidRDefault="009E697E" w:rsidP="009E697E">
      <w:pPr>
        <w:rPr>
          <w:rFonts w:ascii="Tahoma" w:hAnsi="Tahoma" w:cs="Tahoma"/>
          <w:b/>
        </w:rPr>
      </w:pPr>
    </w:p>
    <w:p w:rsidR="009E697E" w:rsidRDefault="009E697E" w:rsidP="009E697E">
      <w:pPr>
        <w:autoSpaceDE w:val="0"/>
        <w:autoSpaceDN w:val="0"/>
        <w:adjustRightInd w:val="0"/>
        <w:jc w:val="both"/>
        <w:rPr>
          <w:rFonts w:ascii="Arial" w:hAnsi="Arial" w:cs="Arial"/>
          <w:b/>
          <w:bCs/>
          <w:color w:val="050300"/>
        </w:rPr>
      </w:pPr>
      <w:r>
        <w:rPr>
          <w:rFonts w:ascii="Arial" w:hAnsi="Arial" w:cs="Arial"/>
          <w:b/>
          <w:bCs/>
          <w:color w:val="050300"/>
        </w:rPr>
        <w:t xml:space="preserve">Specification for gardening contractors for </w:t>
      </w:r>
      <w:proofErr w:type="spellStart"/>
      <w:r>
        <w:rPr>
          <w:rFonts w:ascii="Arial" w:hAnsi="Arial" w:cs="Arial"/>
          <w:b/>
          <w:bCs/>
          <w:color w:val="050300"/>
        </w:rPr>
        <w:t>Oliewenhuis</w:t>
      </w:r>
      <w:proofErr w:type="spellEnd"/>
      <w:r>
        <w:rPr>
          <w:rFonts w:ascii="Arial" w:hAnsi="Arial" w:cs="Arial"/>
          <w:b/>
          <w:bCs/>
          <w:color w:val="050300"/>
        </w:rPr>
        <w:t xml:space="preserve"> Art Museum gardens:</w:t>
      </w:r>
    </w:p>
    <w:p w:rsidR="00FE0936" w:rsidRDefault="00FE0936" w:rsidP="009E697E">
      <w:pPr>
        <w:autoSpaceDE w:val="0"/>
        <w:autoSpaceDN w:val="0"/>
        <w:adjustRightInd w:val="0"/>
        <w:jc w:val="both"/>
        <w:rPr>
          <w:rFonts w:ascii="Arial" w:hAnsi="Arial" w:cs="Arial"/>
          <w:color w:val="050300"/>
        </w:rPr>
      </w:pPr>
    </w:p>
    <w:p w:rsidR="00FE0936" w:rsidRPr="00300092" w:rsidRDefault="00FE0936" w:rsidP="00FE0936">
      <w:pPr>
        <w:pStyle w:val="ListParagraph"/>
        <w:numPr>
          <w:ilvl w:val="0"/>
          <w:numId w:val="29"/>
        </w:numPr>
        <w:jc w:val="both"/>
        <w:rPr>
          <w:rFonts w:ascii="Arial" w:hAnsi="Arial" w:cs="Arial"/>
          <w:b/>
          <w:bCs/>
        </w:rPr>
      </w:pPr>
      <w:r w:rsidRPr="00300092">
        <w:rPr>
          <w:rFonts w:ascii="Arial" w:hAnsi="Arial" w:cs="Arial"/>
          <w:b/>
          <w:bCs/>
        </w:rPr>
        <w:t xml:space="preserve">Scope of Service </w:t>
      </w:r>
    </w:p>
    <w:p w:rsidR="00FE0936" w:rsidRDefault="00FE0936" w:rsidP="00FE0936">
      <w:pPr>
        <w:jc w:val="both"/>
        <w:rPr>
          <w:rFonts w:ascii="Arial" w:hAnsi="Arial" w:cs="Arial"/>
          <w:b/>
          <w:bCs/>
          <w:sz w:val="20"/>
          <w:szCs w:val="20"/>
        </w:rPr>
      </w:pPr>
    </w:p>
    <w:p w:rsidR="00FE0936" w:rsidRPr="00300092" w:rsidRDefault="00FE0936" w:rsidP="00FE0936">
      <w:pPr>
        <w:pStyle w:val="ListParagraph"/>
        <w:numPr>
          <w:ilvl w:val="0"/>
          <w:numId w:val="30"/>
        </w:numPr>
        <w:autoSpaceDE w:val="0"/>
        <w:autoSpaceDN w:val="0"/>
        <w:adjustRightInd w:val="0"/>
        <w:jc w:val="both"/>
        <w:rPr>
          <w:rFonts w:ascii="Arial" w:hAnsi="Arial" w:cs="Arial"/>
          <w:color w:val="050300"/>
        </w:rPr>
      </w:pPr>
      <w:r w:rsidRPr="00300092">
        <w:rPr>
          <w:rFonts w:ascii="Arial" w:hAnsi="Arial" w:cs="Arial"/>
          <w:color w:val="050300"/>
        </w:rPr>
        <w:t>Maintain internet access and monitor bandwidth usage</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ADSL Internet Access (National Museum) – 5GB</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ADSL Internet Access (</w:t>
      </w:r>
      <w:proofErr w:type="spellStart"/>
      <w:r w:rsidRPr="00300092">
        <w:rPr>
          <w:rFonts w:ascii="Arial" w:hAnsi="Arial" w:cs="Arial"/>
          <w:color w:val="050300"/>
        </w:rPr>
        <w:t>Oliewenhuis</w:t>
      </w:r>
      <w:proofErr w:type="spellEnd"/>
      <w:r w:rsidRPr="00300092">
        <w:rPr>
          <w:rFonts w:ascii="Arial" w:hAnsi="Arial" w:cs="Arial"/>
          <w:color w:val="050300"/>
        </w:rPr>
        <w:t xml:space="preserve"> Art Museum) – 3GB</w:t>
      </w:r>
    </w:p>
    <w:p w:rsidR="00FE0936" w:rsidRPr="00300092" w:rsidRDefault="00FE0936" w:rsidP="00FE0936">
      <w:pPr>
        <w:pStyle w:val="ListParagraph"/>
        <w:numPr>
          <w:ilvl w:val="0"/>
          <w:numId w:val="30"/>
        </w:numPr>
        <w:autoSpaceDE w:val="0"/>
        <w:autoSpaceDN w:val="0"/>
        <w:adjustRightInd w:val="0"/>
        <w:jc w:val="both"/>
        <w:rPr>
          <w:rFonts w:ascii="Arial" w:hAnsi="Arial" w:cs="Arial"/>
          <w:color w:val="050300"/>
        </w:rPr>
      </w:pPr>
      <w:r w:rsidRPr="00300092">
        <w:rPr>
          <w:rFonts w:ascii="Arial" w:hAnsi="Arial" w:cs="Arial"/>
          <w:color w:val="050300"/>
        </w:rPr>
        <w:t xml:space="preserve">Maintain existing technical aspects relating to ISP status for all servers at National Museum, </w:t>
      </w:r>
      <w:proofErr w:type="spellStart"/>
      <w:r w:rsidRPr="00300092">
        <w:rPr>
          <w:rFonts w:ascii="Arial" w:hAnsi="Arial" w:cs="Arial"/>
          <w:color w:val="050300"/>
        </w:rPr>
        <w:t>Oliewenhuis</w:t>
      </w:r>
      <w:proofErr w:type="spellEnd"/>
      <w:r w:rsidRPr="00300092">
        <w:rPr>
          <w:rFonts w:ascii="Arial" w:hAnsi="Arial" w:cs="Arial"/>
          <w:color w:val="050300"/>
        </w:rPr>
        <w:t xml:space="preserve"> Art Museum and </w:t>
      </w:r>
      <w:proofErr w:type="spellStart"/>
      <w:r w:rsidRPr="00300092">
        <w:rPr>
          <w:rFonts w:ascii="Arial" w:hAnsi="Arial" w:cs="Arial"/>
          <w:color w:val="050300"/>
        </w:rPr>
        <w:t>Exporama</w:t>
      </w:r>
      <w:proofErr w:type="spellEnd"/>
    </w:p>
    <w:p w:rsidR="00FE0936" w:rsidRPr="00300092" w:rsidRDefault="00FE0936" w:rsidP="00FE0936">
      <w:pPr>
        <w:pStyle w:val="ListParagraph"/>
        <w:numPr>
          <w:ilvl w:val="0"/>
          <w:numId w:val="30"/>
        </w:numPr>
        <w:autoSpaceDE w:val="0"/>
        <w:autoSpaceDN w:val="0"/>
        <w:adjustRightInd w:val="0"/>
        <w:jc w:val="both"/>
        <w:rPr>
          <w:rFonts w:ascii="Arial" w:hAnsi="Arial" w:cs="Arial"/>
          <w:color w:val="050300"/>
        </w:rPr>
      </w:pPr>
      <w:r w:rsidRPr="00300092">
        <w:rPr>
          <w:rFonts w:ascii="Arial" w:hAnsi="Arial" w:cs="Arial"/>
          <w:color w:val="050300"/>
        </w:rPr>
        <w:t>Maintain National Museum domain name (nasmus.co.za)</w:t>
      </w:r>
    </w:p>
    <w:p w:rsidR="00FE0936" w:rsidRPr="00300092" w:rsidRDefault="00FE0936" w:rsidP="00FE0936">
      <w:pPr>
        <w:pStyle w:val="ListParagraph"/>
        <w:numPr>
          <w:ilvl w:val="0"/>
          <w:numId w:val="30"/>
        </w:numPr>
        <w:autoSpaceDE w:val="0"/>
        <w:autoSpaceDN w:val="0"/>
        <w:adjustRightInd w:val="0"/>
        <w:jc w:val="both"/>
        <w:rPr>
          <w:rFonts w:ascii="Arial" w:hAnsi="Arial" w:cs="Arial"/>
          <w:color w:val="050300"/>
        </w:rPr>
      </w:pPr>
      <w:r w:rsidRPr="00300092">
        <w:rPr>
          <w:rFonts w:ascii="Arial" w:hAnsi="Arial" w:cs="Arial"/>
          <w:color w:val="050300"/>
        </w:rPr>
        <w:t>Maintain e-mail facility, including anti-virus and spam filtering</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 xml:space="preserve"> Base service fee</w:t>
      </w:r>
    </w:p>
    <w:p w:rsidR="00FE0936" w:rsidRPr="00300092" w:rsidRDefault="00FE0936" w:rsidP="00FE0936">
      <w:pPr>
        <w:pStyle w:val="ListParagraph"/>
        <w:numPr>
          <w:ilvl w:val="0"/>
          <w:numId w:val="28"/>
        </w:numPr>
        <w:autoSpaceDE w:val="0"/>
        <w:autoSpaceDN w:val="0"/>
        <w:adjustRightInd w:val="0"/>
        <w:jc w:val="both"/>
        <w:rPr>
          <w:rFonts w:ascii="Arial" w:hAnsi="Arial" w:cs="Arial"/>
          <w:color w:val="050300"/>
        </w:rPr>
      </w:pPr>
      <w:r w:rsidRPr="00300092">
        <w:rPr>
          <w:rFonts w:ascii="Arial" w:hAnsi="Arial" w:cs="Arial"/>
          <w:color w:val="050300"/>
        </w:rPr>
        <w:t>Email usage fee (per MB)</w:t>
      </w:r>
    </w:p>
    <w:p w:rsidR="00FE0936" w:rsidRPr="00300092" w:rsidRDefault="00FE0936" w:rsidP="00FE0936">
      <w:pPr>
        <w:pStyle w:val="ListParagraph"/>
        <w:numPr>
          <w:ilvl w:val="0"/>
          <w:numId w:val="30"/>
        </w:numPr>
        <w:autoSpaceDE w:val="0"/>
        <w:autoSpaceDN w:val="0"/>
        <w:adjustRightInd w:val="0"/>
        <w:jc w:val="both"/>
        <w:rPr>
          <w:rFonts w:ascii="Arial" w:hAnsi="Arial" w:cs="Arial"/>
          <w:color w:val="050300"/>
        </w:rPr>
      </w:pPr>
      <w:r w:rsidRPr="00300092">
        <w:rPr>
          <w:rFonts w:ascii="Arial" w:hAnsi="Arial" w:cs="Arial"/>
          <w:color w:val="050300"/>
        </w:rPr>
        <w:t>Regular reporting on usage statistics</w:t>
      </w:r>
    </w:p>
    <w:p w:rsidR="00FE0936" w:rsidRPr="00300092" w:rsidRDefault="00FE0936" w:rsidP="00FE0936">
      <w:pPr>
        <w:pStyle w:val="ListParagraph"/>
        <w:numPr>
          <w:ilvl w:val="0"/>
          <w:numId w:val="30"/>
        </w:numPr>
        <w:autoSpaceDE w:val="0"/>
        <w:autoSpaceDN w:val="0"/>
        <w:adjustRightInd w:val="0"/>
        <w:jc w:val="both"/>
        <w:rPr>
          <w:rFonts w:ascii="Arial" w:hAnsi="Arial" w:cs="Arial"/>
          <w:color w:val="050300"/>
        </w:rPr>
      </w:pPr>
      <w:proofErr w:type="gramStart"/>
      <w:r w:rsidRPr="00300092">
        <w:rPr>
          <w:rFonts w:ascii="Arial" w:hAnsi="Arial" w:cs="Arial"/>
          <w:color w:val="050300"/>
        </w:rPr>
        <w:t>additional</w:t>
      </w:r>
      <w:proofErr w:type="gramEnd"/>
      <w:r w:rsidRPr="00300092">
        <w:rPr>
          <w:rFonts w:ascii="Arial" w:hAnsi="Arial" w:cs="Arial"/>
          <w:color w:val="050300"/>
        </w:rPr>
        <w:t xml:space="preserve"> call-out services will be done directors prior approval. </w:t>
      </w:r>
    </w:p>
    <w:p w:rsidR="00FE0936" w:rsidRPr="00FE0936" w:rsidRDefault="00FE0936" w:rsidP="00FE0936">
      <w:pPr>
        <w:jc w:val="both"/>
        <w:rPr>
          <w:rFonts w:ascii="Arial" w:hAnsi="Arial" w:cs="Arial"/>
          <w:b/>
          <w:bCs/>
          <w:sz w:val="20"/>
          <w:szCs w:val="20"/>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The service provider must have the following;</w:t>
      </w:r>
    </w:p>
    <w:p w:rsidR="00FE0936" w:rsidRPr="00300092" w:rsidRDefault="00FE0936" w:rsidP="00FE0936">
      <w:pPr>
        <w:jc w:val="both"/>
        <w:rPr>
          <w:rFonts w:ascii="Arial" w:hAnsi="Arial" w:cs="Arial"/>
        </w:rPr>
      </w:pPr>
    </w:p>
    <w:p w:rsidR="00FE0936" w:rsidRPr="00300092" w:rsidRDefault="00FE0936" w:rsidP="00FE0936">
      <w:pPr>
        <w:pStyle w:val="ListParagraph"/>
        <w:numPr>
          <w:ilvl w:val="2"/>
          <w:numId w:val="26"/>
        </w:numPr>
        <w:jc w:val="both"/>
        <w:rPr>
          <w:rFonts w:ascii="Arial" w:hAnsi="Arial" w:cs="Arial"/>
          <w:b/>
          <w:bCs/>
        </w:rPr>
      </w:pPr>
      <w:r w:rsidRPr="00300092">
        <w:rPr>
          <w:rFonts w:ascii="Arial" w:hAnsi="Arial" w:cs="Arial"/>
          <w:b/>
          <w:bCs/>
        </w:rPr>
        <w:t>at least 3 years’ experience in provision of ICT support services to either a public entity or government department that is governed by the Public Finance Management Act (PFMA). (</w:t>
      </w:r>
      <w:r w:rsidRPr="00300092">
        <w:rPr>
          <w:rFonts w:ascii="Arial" w:hAnsi="Arial" w:cs="Arial"/>
        </w:rPr>
        <w:t>NB: at least three (3) written contactable reference letters on a customer logo/letter, containing (Full description, Duration, Cost &amp; Signature of customer/representative must be attached)</w:t>
      </w:r>
      <w:r w:rsidRPr="00300092">
        <w:rPr>
          <w:rFonts w:ascii="Arial" w:hAnsi="Arial" w:cs="Arial"/>
          <w:b/>
          <w:bCs/>
        </w:rPr>
        <w:t xml:space="preserve">         </w:t>
      </w:r>
    </w:p>
    <w:p w:rsidR="00FE0936" w:rsidRPr="00300092" w:rsidRDefault="00FE0936" w:rsidP="00FE0936">
      <w:pPr>
        <w:ind w:left="360"/>
        <w:jc w:val="both"/>
        <w:rPr>
          <w:rFonts w:ascii="Arial" w:hAnsi="Arial" w:cs="Arial"/>
        </w:rPr>
      </w:pPr>
    </w:p>
    <w:p w:rsidR="00FE0936" w:rsidRPr="00300092" w:rsidRDefault="00FE0936" w:rsidP="00FE0936">
      <w:pPr>
        <w:pStyle w:val="ListParagraph"/>
        <w:numPr>
          <w:ilvl w:val="2"/>
          <w:numId w:val="26"/>
        </w:numPr>
        <w:jc w:val="both"/>
        <w:rPr>
          <w:rFonts w:ascii="Arial" w:hAnsi="Arial" w:cs="Arial"/>
          <w:b/>
          <w:bCs/>
        </w:rPr>
      </w:pPr>
      <w:r w:rsidRPr="00300092">
        <w:rPr>
          <w:rFonts w:ascii="Arial" w:hAnsi="Arial" w:cs="Arial"/>
          <w:b/>
          <w:bCs/>
        </w:rPr>
        <w:t xml:space="preserve">Compulsory registration and certification with </w:t>
      </w:r>
    </w:p>
    <w:p w:rsidR="00FE0936" w:rsidRPr="00300092" w:rsidRDefault="00FE0936" w:rsidP="00FE0936">
      <w:pPr>
        <w:pStyle w:val="ListParagraph"/>
        <w:rPr>
          <w:rFonts w:ascii="Arial" w:hAnsi="Arial" w:cs="Arial"/>
        </w:rPr>
      </w:pPr>
    </w:p>
    <w:p w:rsidR="00FE0936" w:rsidRPr="00300092" w:rsidRDefault="00FE0936" w:rsidP="00FE0936">
      <w:pPr>
        <w:ind w:left="360"/>
        <w:jc w:val="both"/>
        <w:rPr>
          <w:rFonts w:ascii="Arial" w:hAnsi="Arial" w:cs="Arial"/>
        </w:rPr>
      </w:pPr>
    </w:p>
    <w:p w:rsidR="00FE0936" w:rsidRPr="00300092" w:rsidRDefault="00FE0936" w:rsidP="00FE0936">
      <w:pPr>
        <w:pStyle w:val="ListParagraph"/>
        <w:numPr>
          <w:ilvl w:val="0"/>
          <w:numId w:val="32"/>
        </w:numPr>
        <w:jc w:val="both"/>
        <w:rPr>
          <w:rFonts w:ascii="Arial" w:hAnsi="Arial" w:cs="Arial"/>
        </w:rPr>
      </w:pPr>
      <w:r w:rsidRPr="00300092">
        <w:rPr>
          <w:rFonts w:ascii="Arial" w:hAnsi="Arial" w:cs="Arial"/>
          <w:b/>
          <w:bCs/>
        </w:rPr>
        <w:t xml:space="preserve">Control Objectives for Information and Related Technology (COBIT) – ICT governance </w:t>
      </w:r>
      <w:r w:rsidRPr="00300092">
        <w:rPr>
          <w:rFonts w:ascii="Arial" w:hAnsi="Arial" w:cs="Arial"/>
        </w:rPr>
        <w:t xml:space="preserve">(NB: Certified copy of certification must be attached) </w:t>
      </w:r>
    </w:p>
    <w:p w:rsidR="00FE0936" w:rsidRPr="00300092" w:rsidRDefault="00FE0936" w:rsidP="00FE0936">
      <w:pPr>
        <w:pStyle w:val="ListParagraph"/>
        <w:numPr>
          <w:ilvl w:val="0"/>
          <w:numId w:val="32"/>
        </w:numPr>
        <w:jc w:val="both"/>
        <w:rPr>
          <w:rFonts w:ascii="Arial" w:hAnsi="Arial" w:cs="Arial"/>
          <w:b/>
          <w:bCs/>
        </w:rPr>
      </w:pPr>
      <w:r w:rsidRPr="00300092">
        <w:rPr>
          <w:rFonts w:ascii="Arial" w:hAnsi="Arial" w:cs="Arial"/>
        </w:rPr>
        <w:t xml:space="preserve">Information Technology Infrastructure Library (ITIL) - ICT service management </w:t>
      </w:r>
      <w:r w:rsidRPr="00300092">
        <w:rPr>
          <w:rFonts w:ascii="Arial" w:hAnsi="Arial" w:cs="Arial"/>
          <w:b/>
          <w:bCs/>
        </w:rPr>
        <w:t xml:space="preserve">(NB: Certified copy of certification must be attached) </w:t>
      </w:r>
    </w:p>
    <w:p w:rsidR="00FE0936" w:rsidRPr="00300092" w:rsidRDefault="00FE0936" w:rsidP="00FE0936">
      <w:pPr>
        <w:pStyle w:val="ListParagraph"/>
        <w:numPr>
          <w:ilvl w:val="2"/>
          <w:numId w:val="26"/>
        </w:numPr>
        <w:jc w:val="both"/>
        <w:rPr>
          <w:rFonts w:ascii="Arial" w:hAnsi="Arial" w:cs="Arial"/>
        </w:rPr>
      </w:pPr>
      <w:r w:rsidRPr="00300092">
        <w:rPr>
          <w:rFonts w:ascii="Arial" w:hAnsi="Arial" w:cs="Arial"/>
          <w:b/>
          <w:bCs/>
        </w:rPr>
        <w:lastRenderedPageBreak/>
        <w:t>Experience The</w:t>
      </w:r>
      <w:r w:rsidR="009C6906" w:rsidRPr="00300092">
        <w:rPr>
          <w:rFonts w:ascii="Arial" w:hAnsi="Arial" w:cs="Arial"/>
          <w:b/>
          <w:bCs/>
        </w:rPr>
        <w:t xml:space="preserve"> Lead</w:t>
      </w:r>
      <w:r w:rsidRPr="00300092">
        <w:rPr>
          <w:rFonts w:ascii="Arial" w:hAnsi="Arial" w:cs="Arial"/>
          <w:b/>
          <w:bCs/>
        </w:rPr>
        <w:t xml:space="preserve"> consultant must have at least 3 years experience in providing ICT Support Services </w:t>
      </w:r>
      <w:r w:rsidRPr="00300092">
        <w:rPr>
          <w:rFonts w:ascii="Arial" w:hAnsi="Arial" w:cs="Arial"/>
        </w:rPr>
        <w:t xml:space="preserve">(NB: Detailed CV(s) of qualified person/consultant planned to provide the service must be attached). </w:t>
      </w:r>
    </w:p>
    <w:p w:rsidR="00FE0936" w:rsidRPr="00300092" w:rsidRDefault="00FE0936" w:rsidP="00FE0936">
      <w:pPr>
        <w:pStyle w:val="ListParagraph"/>
        <w:numPr>
          <w:ilvl w:val="2"/>
          <w:numId w:val="26"/>
        </w:numPr>
        <w:jc w:val="both"/>
        <w:rPr>
          <w:rFonts w:ascii="Arial" w:hAnsi="Arial" w:cs="Arial"/>
        </w:rPr>
      </w:pPr>
      <w:r w:rsidRPr="00300092">
        <w:rPr>
          <w:rFonts w:ascii="Arial" w:hAnsi="Arial" w:cs="Arial"/>
          <w:b/>
          <w:bCs/>
        </w:rPr>
        <w:t xml:space="preserve">Qualification(s) The </w:t>
      </w:r>
      <w:r w:rsidR="009C6906" w:rsidRPr="00300092">
        <w:rPr>
          <w:rFonts w:ascii="Arial" w:hAnsi="Arial" w:cs="Arial"/>
          <w:b/>
          <w:bCs/>
        </w:rPr>
        <w:t xml:space="preserve">Lead </w:t>
      </w:r>
      <w:r w:rsidRPr="00300092">
        <w:rPr>
          <w:rFonts w:ascii="Arial" w:hAnsi="Arial" w:cs="Arial"/>
          <w:b/>
          <w:bCs/>
        </w:rPr>
        <w:t xml:space="preserve">consultant must have the following </w:t>
      </w:r>
      <w:r w:rsidRPr="00300092">
        <w:rPr>
          <w:rFonts w:ascii="Arial" w:hAnsi="Arial" w:cs="Arial"/>
        </w:rPr>
        <w:t>(NB: Copy of Copies must be attached for item 1 and 2)</w:t>
      </w:r>
    </w:p>
    <w:p w:rsidR="00FE0936" w:rsidRPr="00300092" w:rsidRDefault="00FE0936" w:rsidP="00FE0936">
      <w:pPr>
        <w:pStyle w:val="ListParagraph"/>
        <w:numPr>
          <w:ilvl w:val="0"/>
          <w:numId w:val="33"/>
        </w:numPr>
        <w:jc w:val="both"/>
        <w:rPr>
          <w:rFonts w:ascii="Arial" w:hAnsi="Arial" w:cs="Arial"/>
        </w:rPr>
      </w:pPr>
      <w:r w:rsidRPr="00300092">
        <w:rPr>
          <w:rFonts w:ascii="Arial" w:hAnsi="Arial" w:cs="Arial"/>
        </w:rPr>
        <w:t xml:space="preserve">Diploma or Degree in Information Computer Technology (ICT) </w:t>
      </w:r>
    </w:p>
    <w:p w:rsidR="00FE0936" w:rsidRPr="00300092" w:rsidRDefault="00FE0936" w:rsidP="00FE0936">
      <w:pPr>
        <w:rPr>
          <w:rFonts w:ascii="Arial" w:hAnsi="Arial" w:cs="Arial"/>
          <w:b/>
          <w:bCs/>
        </w:rPr>
      </w:pPr>
    </w:p>
    <w:p w:rsidR="009E5445" w:rsidRPr="00300092" w:rsidRDefault="00444474" w:rsidP="00FE0936">
      <w:pPr>
        <w:pStyle w:val="ListParagraph"/>
        <w:ind w:left="360"/>
        <w:rPr>
          <w:rFonts w:ascii="Arial" w:hAnsi="Arial" w:cs="Arial"/>
        </w:rPr>
      </w:pPr>
      <w:r w:rsidRPr="00300092">
        <w:rPr>
          <w:rFonts w:ascii="Arial" w:hAnsi="Arial" w:cs="Arial"/>
        </w:rPr>
        <w:t>4</w:t>
      </w:r>
      <w:r w:rsidR="009E5445" w:rsidRPr="00300092">
        <w:rPr>
          <w:rFonts w:ascii="Arial" w:hAnsi="Arial" w:cs="Arial"/>
        </w:rPr>
        <w:t xml:space="preserve">.1.5The provider must provide a list of 3 contactable references of organizations where they </w:t>
      </w:r>
      <w:r w:rsidR="00B917DF" w:rsidRPr="00300092">
        <w:rPr>
          <w:rFonts w:ascii="Arial" w:hAnsi="Arial" w:cs="Arial"/>
        </w:rPr>
        <w:t>provided</w:t>
      </w:r>
      <w:r w:rsidR="009E5445" w:rsidRPr="00300092">
        <w:rPr>
          <w:rFonts w:ascii="Arial" w:hAnsi="Arial" w:cs="Arial"/>
        </w:rPr>
        <w:t xml:space="preserve"> similar </w:t>
      </w:r>
      <w:r w:rsidR="00B917DF" w:rsidRPr="00300092">
        <w:rPr>
          <w:rFonts w:ascii="Arial" w:hAnsi="Arial" w:cs="Arial"/>
        </w:rPr>
        <w:t>services in the</w:t>
      </w:r>
      <w:r w:rsidR="009E5445" w:rsidRPr="00300092">
        <w:rPr>
          <w:rFonts w:ascii="Arial" w:hAnsi="Arial" w:cs="Arial"/>
        </w:rPr>
        <w:t xml:space="preserve"> past.</w:t>
      </w:r>
    </w:p>
    <w:p w:rsidR="00824AE7" w:rsidRPr="00300092" w:rsidRDefault="00FE0936" w:rsidP="00FE0936">
      <w:pPr>
        <w:pStyle w:val="ListParagraph"/>
        <w:ind w:left="360"/>
        <w:rPr>
          <w:rFonts w:ascii="Arial" w:hAnsi="Arial" w:cs="Arial"/>
        </w:rPr>
      </w:pPr>
      <w:r w:rsidRPr="00300092">
        <w:rPr>
          <w:rFonts w:ascii="Arial" w:hAnsi="Arial" w:cs="Arial"/>
        </w:rPr>
        <w:t xml:space="preserve">4.1.6 </w:t>
      </w:r>
      <w:r w:rsidR="00444474" w:rsidRPr="00300092">
        <w:rPr>
          <w:rFonts w:ascii="Arial" w:hAnsi="Arial" w:cs="Arial"/>
        </w:rPr>
        <w:t xml:space="preserve">The provider must submit the SBD Forms signed and completed. </w:t>
      </w:r>
      <w:proofErr w:type="gramStart"/>
      <w:r w:rsidR="00444474" w:rsidRPr="00300092">
        <w:rPr>
          <w:rFonts w:ascii="Arial" w:hAnsi="Arial" w:cs="Arial"/>
        </w:rPr>
        <w:t>BBBEE certificate or Declaration.</w:t>
      </w:r>
      <w:proofErr w:type="gramEnd"/>
    </w:p>
    <w:p w:rsidR="009E5445" w:rsidRPr="00300092" w:rsidRDefault="00824AE7" w:rsidP="00FE0936">
      <w:pPr>
        <w:pStyle w:val="ListParagraph"/>
        <w:ind w:left="360"/>
        <w:rPr>
          <w:rFonts w:ascii="Arial" w:hAnsi="Arial" w:cs="Arial"/>
        </w:rPr>
      </w:pPr>
      <w:r w:rsidRPr="00300092">
        <w:rPr>
          <w:rFonts w:ascii="Arial" w:hAnsi="Arial" w:cs="Arial"/>
        </w:rPr>
        <w:t>4.1.7 CSD registration and tax clearance</w:t>
      </w:r>
      <w:r w:rsidR="00444474" w:rsidRPr="00300092">
        <w:rPr>
          <w:rFonts w:ascii="Arial" w:hAnsi="Arial" w:cs="Arial"/>
        </w:rPr>
        <w:t xml:space="preserve"> </w:t>
      </w: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 t</w:t>
      </w:r>
      <w:r w:rsidR="007745B5" w:rsidRPr="00300092">
        <w:rPr>
          <w:rFonts w:ascii="Arial" w:hAnsi="Arial" w:cs="Arial"/>
        </w:rPr>
        <w:t>hree</w:t>
      </w:r>
      <w:r w:rsidRPr="00300092">
        <w:rPr>
          <w:rFonts w:ascii="Arial" w:hAnsi="Arial" w:cs="Arial"/>
        </w:rPr>
        <w:t xml:space="preserve"> stage evaluation process, i.e.</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Similar scale projects in provision </w:t>
            </w:r>
          </w:p>
          <w:p w:rsidR="00D7299A" w:rsidRPr="004C5E40" w:rsidRDefault="00243CD6" w:rsidP="004C5E40">
            <w:pPr>
              <w:ind w:right="-1530"/>
              <w:rPr>
                <w:rFonts w:ascii="Tahoma" w:hAnsi="Tahoma" w:cs="Tahoma"/>
                <w:b/>
              </w:rPr>
            </w:pPr>
            <w:proofErr w:type="gramStart"/>
            <w:r>
              <w:rPr>
                <w:rFonts w:ascii="Tahoma" w:hAnsi="Tahoma" w:cs="Tahoma"/>
              </w:rPr>
              <w:t>for</w:t>
            </w:r>
            <w:proofErr w:type="gramEnd"/>
            <w:r w:rsidR="00D7299A" w:rsidRPr="004C5E40">
              <w:rPr>
                <w:rFonts w:ascii="Tahoma" w:hAnsi="Tahoma" w:cs="Tahoma"/>
              </w:rPr>
              <w:t xml:space="preserve"> </w:t>
            </w:r>
            <w:r w:rsidR="00824AE7">
              <w:rPr>
                <w:rFonts w:ascii="Tahoma" w:hAnsi="Tahoma" w:cs="Tahoma"/>
              </w:rPr>
              <w:t>ICT Support</w:t>
            </w:r>
            <w:r>
              <w:rPr>
                <w:rFonts w:ascii="Tahoma" w:hAnsi="Tahoma" w:cs="Tahoma"/>
              </w:rPr>
              <w:t xml:space="preserve"> services</w:t>
            </w:r>
            <w:r w:rsidR="00E56C11"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lastRenderedPageBreak/>
              <w:t xml:space="preserve">4 </w:t>
            </w:r>
            <w:r w:rsidR="00633C48">
              <w:rPr>
                <w:rFonts w:ascii="Tahoma" w:hAnsi="Tahoma" w:cs="Tahoma"/>
              </w:rPr>
              <w:t xml:space="preserve">=4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=5</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lastRenderedPageBreak/>
              <w:t>40</w:t>
            </w:r>
          </w:p>
        </w:tc>
      </w:tr>
      <w:tr w:rsidR="00E56C11" w:rsidRPr="004C5E40" w:rsidTr="000155FE">
        <w:tc>
          <w:tcPr>
            <w:tcW w:w="8188" w:type="dxa"/>
            <w:shd w:val="clear" w:color="auto" w:fill="auto"/>
          </w:tcPr>
          <w:p w:rsidR="009C6906" w:rsidRDefault="00B917DF" w:rsidP="00B917DF">
            <w:pPr>
              <w:ind w:right="-1530"/>
              <w:rPr>
                <w:rFonts w:ascii="Tahoma" w:hAnsi="Tahoma" w:cs="Tahoma"/>
              </w:rPr>
            </w:pPr>
            <w:r>
              <w:rPr>
                <w:rFonts w:ascii="Tahoma" w:hAnsi="Tahoma" w:cs="Tahoma"/>
              </w:rPr>
              <w:lastRenderedPageBreak/>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consultant </w:t>
            </w:r>
            <w:r w:rsidRPr="004C5E40">
              <w:rPr>
                <w:rFonts w:ascii="Tahoma" w:hAnsi="Tahoma" w:cs="Tahoma"/>
              </w:rPr>
              <w:t xml:space="preserve"> – Similar scale projects </w:t>
            </w:r>
          </w:p>
          <w:p w:rsidR="00B917DF" w:rsidRPr="004C5E40" w:rsidRDefault="00B917DF" w:rsidP="00B917DF">
            <w:pPr>
              <w:ind w:right="-1530"/>
              <w:rPr>
                <w:rFonts w:ascii="Tahoma" w:hAnsi="Tahoma" w:cs="Tahoma"/>
                <w:b/>
              </w:rPr>
            </w:pPr>
            <w:proofErr w:type="gramStart"/>
            <w:r w:rsidRPr="004C5E40">
              <w:rPr>
                <w:rFonts w:ascii="Tahoma" w:hAnsi="Tahoma" w:cs="Tahoma"/>
              </w:rPr>
              <w:t>in</w:t>
            </w:r>
            <w:proofErr w:type="gramEnd"/>
            <w:r w:rsidRPr="004C5E40">
              <w:rPr>
                <w:rFonts w:ascii="Tahoma" w:hAnsi="Tahoma" w:cs="Tahoma"/>
              </w:rPr>
              <w:t xml:space="preserve"> provision </w:t>
            </w:r>
            <w:r>
              <w:rPr>
                <w:rFonts w:ascii="Tahoma" w:hAnsi="Tahoma" w:cs="Tahoma"/>
              </w:rPr>
              <w:t>for</w:t>
            </w:r>
            <w:r w:rsidRPr="004C5E40">
              <w:rPr>
                <w:rFonts w:ascii="Tahoma" w:hAnsi="Tahoma" w:cs="Tahoma"/>
              </w:rPr>
              <w:t xml:space="preserve"> </w:t>
            </w:r>
            <w:r w:rsidR="009C6906">
              <w:rPr>
                <w:rFonts w:ascii="Tahoma" w:hAnsi="Tahoma" w:cs="Tahoma"/>
              </w:rPr>
              <w:t>ICT Support</w:t>
            </w:r>
            <w:r>
              <w:rPr>
                <w:rFonts w:ascii="Tahoma" w:hAnsi="Tahoma" w:cs="Tahoma"/>
              </w:rPr>
              <w:t xml:space="preserve"> services</w:t>
            </w:r>
            <w:r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B917DF" w:rsidRPr="004C5E40" w:rsidRDefault="00B917DF" w:rsidP="00B917DF">
            <w:pPr>
              <w:ind w:right="-1530"/>
              <w:rPr>
                <w:rFonts w:ascii="Tahoma" w:hAnsi="Tahoma" w:cs="Tahoma"/>
              </w:rPr>
            </w:pPr>
            <w:r w:rsidRPr="004C5E40">
              <w:rPr>
                <w:rFonts w:ascii="Tahoma" w:hAnsi="Tahoma" w:cs="Tahoma"/>
              </w:rPr>
              <w:t xml:space="preserve">1 = </w:t>
            </w:r>
            <w:r>
              <w:rPr>
                <w:rFonts w:ascii="Tahoma" w:hAnsi="Tahoma" w:cs="Tahoma"/>
              </w:rPr>
              <w:t>1 year</w:t>
            </w:r>
          </w:p>
          <w:p w:rsidR="00B917DF" w:rsidRPr="004C5E40" w:rsidRDefault="00B917DF" w:rsidP="00B917DF">
            <w:pPr>
              <w:ind w:right="-1530"/>
              <w:rPr>
                <w:rFonts w:ascii="Tahoma" w:hAnsi="Tahoma" w:cs="Tahoma"/>
              </w:rPr>
            </w:pPr>
            <w:r w:rsidRPr="004C5E40">
              <w:rPr>
                <w:rFonts w:ascii="Tahoma" w:hAnsi="Tahoma" w:cs="Tahoma"/>
              </w:rPr>
              <w:t xml:space="preserve">2 = </w:t>
            </w:r>
            <w:r>
              <w:rPr>
                <w:rFonts w:ascii="Tahoma" w:hAnsi="Tahoma" w:cs="Tahoma"/>
              </w:rPr>
              <w:t>2 years</w:t>
            </w:r>
          </w:p>
          <w:p w:rsidR="00B917DF" w:rsidRPr="004C5E40" w:rsidRDefault="00B917DF" w:rsidP="00B917DF">
            <w:pPr>
              <w:ind w:right="-1530"/>
              <w:rPr>
                <w:rFonts w:ascii="Tahoma" w:hAnsi="Tahoma" w:cs="Tahoma"/>
              </w:rPr>
            </w:pPr>
            <w:r w:rsidRPr="004C5E40">
              <w:rPr>
                <w:rFonts w:ascii="Tahoma" w:hAnsi="Tahoma" w:cs="Tahoma"/>
              </w:rPr>
              <w:t>3 =</w:t>
            </w:r>
            <w:r>
              <w:rPr>
                <w:rFonts w:ascii="Tahoma" w:hAnsi="Tahoma" w:cs="Tahoma"/>
              </w:rPr>
              <w:t>3 years</w:t>
            </w:r>
            <w:r w:rsidRPr="004C5E40">
              <w:rPr>
                <w:rFonts w:ascii="Tahoma" w:hAnsi="Tahoma" w:cs="Tahoma"/>
              </w:rPr>
              <w:t xml:space="preserve"> </w:t>
            </w:r>
          </w:p>
          <w:p w:rsidR="00B917DF" w:rsidRPr="004C5E40" w:rsidRDefault="00B917DF" w:rsidP="00B917DF">
            <w:pPr>
              <w:ind w:right="-1530"/>
              <w:rPr>
                <w:rFonts w:ascii="Tahoma" w:hAnsi="Tahoma" w:cs="Tahoma"/>
              </w:rPr>
            </w:pPr>
            <w:r w:rsidRPr="004C5E40">
              <w:rPr>
                <w:rFonts w:ascii="Tahoma" w:hAnsi="Tahoma" w:cs="Tahoma"/>
              </w:rPr>
              <w:t xml:space="preserve">4 </w:t>
            </w:r>
            <w:r>
              <w:rPr>
                <w:rFonts w:ascii="Tahoma" w:hAnsi="Tahoma" w:cs="Tahoma"/>
              </w:rPr>
              <w:t xml:space="preserve">=4 </w:t>
            </w:r>
            <w:r w:rsidRPr="004C5E40">
              <w:rPr>
                <w:rFonts w:ascii="Tahoma" w:hAnsi="Tahoma" w:cs="Tahoma"/>
              </w:rPr>
              <w:t xml:space="preserve">years </w:t>
            </w:r>
          </w:p>
          <w:p w:rsidR="00B917DF" w:rsidRDefault="00B917DF" w:rsidP="00B917DF">
            <w:pPr>
              <w:ind w:right="-1530"/>
              <w:rPr>
                <w:rFonts w:ascii="Tahoma" w:hAnsi="Tahoma" w:cs="Tahoma"/>
              </w:rPr>
            </w:pPr>
            <w:r w:rsidRPr="004C5E40">
              <w:rPr>
                <w:rFonts w:ascii="Tahoma" w:hAnsi="Tahoma" w:cs="Tahoma"/>
              </w:rPr>
              <w:t xml:space="preserve">5 </w:t>
            </w:r>
            <w:r>
              <w:rPr>
                <w:rFonts w:ascii="Tahoma" w:hAnsi="Tahoma" w:cs="Tahoma"/>
              </w:rPr>
              <w:t>=5</w:t>
            </w:r>
            <w:r w:rsidRPr="004C5E40">
              <w:rPr>
                <w:rFonts w:ascii="Tahoma" w:hAnsi="Tahoma" w:cs="Tahoma"/>
              </w:rPr>
              <w:t xml:space="preserve"> years plus </w:t>
            </w:r>
          </w:p>
          <w:p w:rsidR="009C6906" w:rsidRDefault="009C6906" w:rsidP="00B917DF">
            <w:pPr>
              <w:ind w:right="-1530"/>
              <w:rPr>
                <w:rFonts w:ascii="Tahoma" w:hAnsi="Tahoma" w:cs="Tahoma"/>
              </w:rPr>
            </w:pPr>
          </w:p>
          <w:p w:rsidR="009C6906" w:rsidRDefault="009C6906" w:rsidP="00B917DF">
            <w:pPr>
              <w:ind w:right="-1530"/>
              <w:rPr>
                <w:rFonts w:ascii="Tahoma" w:hAnsi="Tahoma" w:cs="Tahoma"/>
              </w:rPr>
            </w:pPr>
            <w:r>
              <w:rPr>
                <w:rFonts w:ascii="Tahoma" w:hAnsi="Tahoma" w:cs="Tahoma"/>
              </w:rPr>
              <w:t>Diploma = 5</w:t>
            </w:r>
          </w:p>
          <w:p w:rsidR="009C6906" w:rsidRPr="004C5E40" w:rsidRDefault="009C6906" w:rsidP="00B917DF">
            <w:pPr>
              <w:ind w:right="-1530"/>
              <w:rPr>
                <w:rFonts w:ascii="Tahoma" w:hAnsi="Tahoma" w:cs="Tahoma"/>
              </w:rPr>
            </w:pPr>
            <w:r>
              <w:rPr>
                <w:rFonts w:ascii="Tahoma" w:hAnsi="Tahoma" w:cs="Tahoma"/>
              </w:rPr>
              <w:t xml:space="preserve">No </w:t>
            </w:r>
            <w:proofErr w:type="spellStart"/>
            <w:r>
              <w:rPr>
                <w:rFonts w:ascii="Tahoma" w:hAnsi="Tahoma" w:cs="Tahoma"/>
              </w:rPr>
              <w:t>Dimploma</w:t>
            </w:r>
            <w:proofErr w:type="spellEnd"/>
            <w:r>
              <w:rPr>
                <w:rFonts w:ascii="Tahoma" w:hAnsi="Tahoma" w:cs="Tahoma"/>
              </w:rPr>
              <w:t xml:space="preserve">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Default="004C5E40" w:rsidP="004C5E40">
      <w:pPr>
        <w:rPr>
          <w:rFonts w:ascii="Tahoma" w:hAnsi="Tahoma" w:cs="Tahoma"/>
          <w:b/>
        </w:rPr>
      </w:pPr>
      <w:r w:rsidRPr="004C5E40">
        <w:rPr>
          <w:rFonts w:ascii="Tahoma" w:hAnsi="Tahoma" w:cs="Tahoma"/>
        </w:rPr>
        <w:t>The service provider must be cost per month for hosting services including VAT if applicable. Service provider must indicate the</w:t>
      </w:r>
      <w:r w:rsidR="00A9683B">
        <w:rPr>
          <w:rFonts w:ascii="Tahoma" w:hAnsi="Tahoma" w:cs="Tahoma"/>
        </w:rPr>
        <w:t xml:space="preserve"> following;</w:t>
      </w:r>
      <w:r w:rsidR="003D3947" w:rsidRPr="003D3947">
        <w:rPr>
          <w:rFonts w:ascii="Tahoma" w:hAnsi="Tahoma" w:cs="Tahoma"/>
          <w:b/>
        </w:rPr>
        <w:t xml:space="preserve"> </w:t>
      </w:r>
    </w:p>
    <w:p w:rsidR="00B917DF" w:rsidRDefault="00B917DF" w:rsidP="004C5E40">
      <w:pPr>
        <w:rPr>
          <w:rFonts w:ascii="Tahoma" w:hAnsi="Tahoma" w:cs="Tahoma"/>
          <w:b/>
        </w:rPr>
      </w:pPr>
    </w:p>
    <w:p w:rsidR="00B917DF" w:rsidRPr="004C5E40" w:rsidRDefault="00B917DF" w:rsidP="00B917DF">
      <w:pPr>
        <w:rPr>
          <w:rFonts w:ascii="Tahoma" w:hAnsi="Tahoma" w:cs="Tahoma"/>
        </w:rPr>
      </w:pPr>
    </w:p>
    <w:tbl>
      <w:tblPr>
        <w:tblStyle w:val="TableGrid"/>
        <w:tblW w:w="9918" w:type="dxa"/>
        <w:tblLook w:val="04A0"/>
      </w:tblPr>
      <w:tblGrid>
        <w:gridCol w:w="1618"/>
        <w:gridCol w:w="8300"/>
      </w:tblGrid>
      <w:tr w:rsidR="00A9683B" w:rsidRPr="004C5E40" w:rsidTr="00A9683B">
        <w:tc>
          <w:tcPr>
            <w:tcW w:w="1618" w:type="dxa"/>
          </w:tcPr>
          <w:p w:rsidR="00A9683B" w:rsidRPr="004C5E40" w:rsidRDefault="00A9683B" w:rsidP="00584EC6">
            <w:pPr>
              <w:rPr>
                <w:rFonts w:ascii="Tahoma" w:hAnsi="Tahoma" w:cs="Tahoma"/>
              </w:rPr>
            </w:pPr>
            <w:r w:rsidRPr="004C5E40">
              <w:rPr>
                <w:rFonts w:ascii="Tahoma" w:hAnsi="Tahoma" w:cs="Tahoma"/>
              </w:rPr>
              <w:t xml:space="preserve">Area of service </w:t>
            </w:r>
          </w:p>
        </w:tc>
        <w:tc>
          <w:tcPr>
            <w:tcW w:w="8300" w:type="dxa"/>
          </w:tcPr>
          <w:p w:rsidR="00A9683B" w:rsidRPr="004C5E40" w:rsidRDefault="009C6906" w:rsidP="009C6906">
            <w:pPr>
              <w:rPr>
                <w:rFonts w:ascii="Tahoma" w:hAnsi="Tahoma" w:cs="Tahoma"/>
              </w:rPr>
            </w:pPr>
            <w:r>
              <w:rPr>
                <w:rFonts w:ascii="Tahoma" w:hAnsi="Tahoma" w:cs="Tahoma"/>
              </w:rPr>
              <w:t>ICT Support</w:t>
            </w:r>
            <w:r w:rsidR="00A9683B">
              <w:rPr>
                <w:rFonts w:ascii="Tahoma" w:hAnsi="Tahoma" w:cs="Tahoma"/>
              </w:rPr>
              <w:t xml:space="preserve"> </w:t>
            </w:r>
            <w:r>
              <w:rPr>
                <w:rFonts w:ascii="Tahoma" w:hAnsi="Tahoma" w:cs="Tahoma"/>
              </w:rPr>
              <w:t>S</w:t>
            </w:r>
            <w:r w:rsidR="00A9683B">
              <w:rPr>
                <w:rFonts w:ascii="Tahoma" w:hAnsi="Tahoma" w:cs="Tahoma"/>
              </w:rPr>
              <w:t>ervices</w:t>
            </w:r>
          </w:p>
        </w:tc>
      </w:tr>
      <w:tr w:rsidR="00A9683B" w:rsidRPr="004C5E40" w:rsidTr="00A9683B">
        <w:tc>
          <w:tcPr>
            <w:tcW w:w="1618" w:type="dxa"/>
          </w:tcPr>
          <w:p w:rsidR="00A9683B" w:rsidRPr="004C5E40" w:rsidRDefault="00A9683B" w:rsidP="00584EC6">
            <w:pPr>
              <w:rPr>
                <w:rFonts w:ascii="Tahoma" w:hAnsi="Tahoma" w:cs="Tahoma"/>
              </w:rPr>
            </w:pPr>
            <w:r w:rsidRPr="004C5E40">
              <w:rPr>
                <w:rFonts w:ascii="Tahoma" w:hAnsi="Tahoma" w:cs="Tahoma"/>
              </w:rPr>
              <w:t xml:space="preserve">Monthly </w:t>
            </w:r>
            <w:r w:rsidR="009C6906">
              <w:rPr>
                <w:rFonts w:ascii="Tahoma" w:hAnsi="Tahoma" w:cs="Tahoma"/>
              </w:rPr>
              <w:t xml:space="preserve">ICT Support </w:t>
            </w:r>
            <w:r w:rsidRPr="004C5E40">
              <w:rPr>
                <w:rFonts w:ascii="Tahoma" w:hAnsi="Tahoma" w:cs="Tahoma"/>
              </w:rPr>
              <w:t>fee</w:t>
            </w:r>
          </w:p>
          <w:p w:rsidR="00A9683B" w:rsidRPr="004C5E40" w:rsidRDefault="00A9683B" w:rsidP="00584EC6">
            <w:pPr>
              <w:rPr>
                <w:rFonts w:ascii="Tahoma" w:hAnsi="Tahoma" w:cs="Tahoma"/>
              </w:rPr>
            </w:pPr>
          </w:p>
        </w:tc>
        <w:tc>
          <w:tcPr>
            <w:tcW w:w="8300" w:type="dxa"/>
          </w:tcPr>
          <w:p w:rsidR="00A9683B" w:rsidRPr="004C5E40" w:rsidRDefault="00A9683B" w:rsidP="00584EC6">
            <w:pPr>
              <w:rPr>
                <w:rFonts w:ascii="Tahoma" w:hAnsi="Tahoma" w:cs="Tahoma"/>
              </w:rPr>
            </w:pPr>
            <w:r w:rsidRPr="004C5E40">
              <w:rPr>
                <w:rFonts w:ascii="Tahoma" w:hAnsi="Tahoma" w:cs="Tahoma"/>
              </w:rPr>
              <w:t>R</w:t>
            </w:r>
          </w:p>
        </w:tc>
      </w:tr>
      <w:tr w:rsidR="00A9683B" w:rsidRPr="004C5E40" w:rsidTr="00A9683B">
        <w:tc>
          <w:tcPr>
            <w:tcW w:w="1618" w:type="dxa"/>
          </w:tcPr>
          <w:p w:rsidR="00A9683B" w:rsidRPr="004C5E40" w:rsidRDefault="00A9683B" w:rsidP="00584EC6">
            <w:pPr>
              <w:rPr>
                <w:rFonts w:ascii="Tahoma" w:hAnsi="Tahoma" w:cs="Tahoma"/>
                <w:b/>
              </w:rPr>
            </w:pPr>
            <w:r w:rsidRPr="004C5E40">
              <w:rPr>
                <w:rFonts w:ascii="Tahoma" w:hAnsi="Tahoma" w:cs="Tahoma"/>
                <w:b/>
              </w:rPr>
              <w:t>Total</w:t>
            </w:r>
            <w:r>
              <w:rPr>
                <w:rFonts w:ascii="Tahoma" w:hAnsi="Tahoma" w:cs="Tahoma"/>
                <w:b/>
              </w:rPr>
              <w:t xml:space="preserve"> inc. VAT</w:t>
            </w:r>
          </w:p>
        </w:tc>
        <w:tc>
          <w:tcPr>
            <w:tcW w:w="8300" w:type="dxa"/>
          </w:tcPr>
          <w:p w:rsidR="00A9683B" w:rsidRPr="004C5E40" w:rsidRDefault="00A9683B" w:rsidP="00584EC6">
            <w:pPr>
              <w:rPr>
                <w:rFonts w:ascii="Tahoma" w:hAnsi="Tahoma" w:cs="Tahoma"/>
              </w:rPr>
            </w:pPr>
          </w:p>
        </w:tc>
      </w:tr>
    </w:tbl>
    <w:p w:rsidR="00B917DF" w:rsidRPr="004C5E40" w:rsidRDefault="00B917DF" w:rsidP="004C5E40">
      <w:pPr>
        <w:rPr>
          <w:rFonts w:ascii="Tahoma" w:hAnsi="Tahoma" w:cs="Tahoma"/>
        </w:rPr>
      </w:pPr>
    </w:p>
    <w:p w:rsidR="004C5E40" w:rsidRPr="004C5E40" w:rsidRDefault="004C5E40" w:rsidP="004C5E40">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Pr="00A9683B" w:rsidRDefault="00A9683B" w:rsidP="004C5E40">
      <w:pPr>
        <w:rPr>
          <w:rFonts w:ascii="Tahoma" w:hAnsi="Tahoma" w:cs="Tahoma"/>
          <w:color w:val="FF0000"/>
        </w:rPr>
      </w:pPr>
      <w:r w:rsidRPr="00A9683B">
        <w:rPr>
          <w:rFonts w:ascii="Tahoma" w:hAnsi="Tahoma" w:cs="Tahoma"/>
          <w:color w:val="FF0000"/>
        </w:rPr>
        <w:t>NB: The Museum reserves the right to determine whether evaluation of bids should be applied depending on the lowest price of this procurement required</w:t>
      </w:r>
      <w:r w:rsidR="009C6906">
        <w:rPr>
          <w:rFonts w:ascii="Tahoma" w:hAnsi="Tahoma" w:cs="Tahoma"/>
          <w:color w:val="FF0000"/>
        </w:rPr>
        <w:t xml:space="preserve"> but all compulsory requirements must be adhered to.</w:t>
      </w:r>
      <w:r w:rsidRPr="00A9683B">
        <w:rPr>
          <w:rFonts w:ascii="Tahoma" w:hAnsi="Tahoma" w:cs="Tahoma"/>
          <w:color w:val="FF0000"/>
        </w:rPr>
        <w:t xml:space="preserve"> </w:t>
      </w:r>
    </w:p>
    <w:sectPr w:rsidR="00A9683B"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7">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
  </w:num>
  <w:num w:numId="3">
    <w:abstractNumId w:val="28"/>
  </w:num>
  <w:num w:numId="4">
    <w:abstractNumId w:val="29"/>
  </w:num>
  <w:num w:numId="5">
    <w:abstractNumId w:val="22"/>
  </w:num>
  <w:num w:numId="6">
    <w:abstractNumId w:val="10"/>
  </w:num>
  <w:num w:numId="7">
    <w:abstractNumId w:val="27"/>
  </w:num>
  <w:num w:numId="8">
    <w:abstractNumId w:val="1"/>
  </w:num>
  <w:num w:numId="9">
    <w:abstractNumId w:val="11"/>
  </w:num>
  <w:num w:numId="10">
    <w:abstractNumId w:val="4"/>
  </w:num>
  <w:num w:numId="11">
    <w:abstractNumId w:val="12"/>
  </w:num>
  <w:num w:numId="12">
    <w:abstractNumId w:val="17"/>
  </w:num>
  <w:num w:numId="13">
    <w:abstractNumId w:val="23"/>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31"/>
  </w:num>
  <w:num w:numId="20">
    <w:abstractNumId w:val="20"/>
  </w:num>
  <w:num w:numId="21">
    <w:abstractNumId w:val="9"/>
  </w:num>
  <w:num w:numId="22">
    <w:abstractNumId w:val="21"/>
  </w:num>
  <w:num w:numId="23">
    <w:abstractNumId w:val="2"/>
  </w:num>
  <w:num w:numId="24">
    <w:abstractNumId w:val="16"/>
  </w:num>
  <w:num w:numId="25">
    <w:abstractNumId w:val="8"/>
  </w:num>
  <w:num w:numId="26">
    <w:abstractNumId w:val="18"/>
  </w:num>
  <w:num w:numId="27">
    <w:abstractNumId w:val="6"/>
  </w:num>
  <w:num w:numId="28">
    <w:abstractNumId w:val="25"/>
  </w:num>
  <w:num w:numId="29">
    <w:abstractNumId w:val="5"/>
  </w:num>
  <w:num w:numId="30">
    <w:abstractNumId w:val="24"/>
  </w:num>
  <w:num w:numId="31">
    <w:abstractNumId w:val="19"/>
  </w:num>
  <w:num w:numId="32">
    <w:abstractNumId w:val="3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970F7"/>
    <w:rsid w:val="00221CD5"/>
    <w:rsid w:val="00243CD6"/>
    <w:rsid w:val="00246152"/>
    <w:rsid w:val="002B2D2E"/>
    <w:rsid w:val="00300092"/>
    <w:rsid w:val="003449A8"/>
    <w:rsid w:val="00350871"/>
    <w:rsid w:val="00376A4D"/>
    <w:rsid w:val="003A2BCE"/>
    <w:rsid w:val="003D3947"/>
    <w:rsid w:val="003E5E32"/>
    <w:rsid w:val="00444474"/>
    <w:rsid w:val="0045119E"/>
    <w:rsid w:val="004674BF"/>
    <w:rsid w:val="00491876"/>
    <w:rsid w:val="004C5E40"/>
    <w:rsid w:val="004D5292"/>
    <w:rsid w:val="00504EFF"/>
    <w:rsid w:val="00633C48"/>
    <w:rsid w:val="006945C3"/>
    <w:rsid w:val="006F1E96"/>
    <w:rsid w:val="00763D8A"/>
    <w:rsid w:val="007745B5"/>
    <w:rsid w:val="007A3A32"/>
    <w:rsid w:val="007B0F01"/>
    <w:rsid w:val="007E6952"/>
    <w:rsid w:val="00824AE7"/>
    <w:rsid w:val="00880E8D"/>
    <w:rsid w:val="009035E2"/>
    <w:rsid w:val="009C6906"/>
    <w:rsid w:val="009E5445"/>
    <w:rsid w:val="009E697E"/>
    <w:rsid w:val="00A9683B"/>
    <w:rsid w:val="00AB0F46"/>
    <w:rsid w:val="00B44316"/>
    <w:rsid w:val="00B917DF"/>
    <w:rsid w:val="00BE1C82"/>
    <w:rsid w:val="00BE2517"/>
    <w:rsid w:val="00C01CF1"/>
    <w:rsid w:val="00C241A3"/>
    <w:rsid w:val="00C24D67"/>
    <w:rsid w:val="00C340BB"/>
    <w:rsid w:val="00C6587B"/>
    <w:rsid w:val="00CC66CF"/>
    <w:rsid w:val="00CE5B16"/>
    <w:rsid w:val="00CF3D7C"/>
    <w:rsid w:val="00D0148A"/>
    <w:rsid w:val="00D304DF"/>
    <w:rsid w:val="00D43DC2"/>
    <w:rsid w:val="00D7299A"/>
    <w:rsid w:val="00DD3B42"/>
    <w:rsid w:val="00E56C11"/>
    <w:rsid w:val="00E72361"/>
    <w:rsid w:val="00ED7396"/>
    <w:rsid w:val="00EE7055"/>
    <w:rsid w:val="00F105E7"/>
    <w:rsid w:val="00F15C3B"/>
    <w:rsid w:val="00F67F7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2022-10-25T14:21:00Z</dcterms:created>
  <dcterms:modified xsi:type="dcterms:W3CDTF">2022-10-25T14:21:00Z</dcterms:modified>
</cp:coreProperties>
</file>