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709"/>
        <w:gridCol w:w="4246"/>
        <w:gridCol w:w="2977"/>
      </w:tblGrid>
      <w:tr w:rsidR="00E231B7" w:rsidRPr="00E231B7" w14:paraId="429ADDFF" w14:textId="77777777" w:rsidTr="00E231B7">
        <w:trPr>
          <w:trHeight w:val="551"/>
        </w:trPr>
        <w:tc>
          <w:tcPr>
            <w:tcW w:w="852" w:type="dxa"/>
          </w:tcPr>
          <w:p w14:paraId="07DFEDA6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E231B7">
              <w:rPr>
                <w:rFonts w:ascii="Arial" w:eastAsia="Arial" w:hAnsi="Arial" w:cs="Arial"/>
                <w:b/>
                <w:spacing w:val="-4"/>
                <w:sz w:val="24"/>
                <w:lang w:val="en-US"/>
              </w:rPr>
              <w:t>Item</w:t>
            </w:r>
          </w:p>
        </w:tc>
        <w:tc>
          <w:tcPr>
            <w:tcW w:w="1709" w:type="dxa"/>
          </w:tcPr>
          <w:p w14:paraId="34ACBF70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E231B7">
              <w:rPr>
                <w:rFonts w:ascii="Arial" w:eastAsia="Arial" w:hAnsi="Arial" w:cs="Arial"/>
                <w:b/>
                <w:sz w:val="24"/>
                <w:lang w:val="en-US"/>
              </w:rPr>
              <w:t>Section</w:t>
            </w:r>
          </w:p>
        </w:tc>
        <w:tc>
          <w:tcPr>
            <w:tcW w:w="4246" w:type="dxa"/>
          </w:tcPr>
          <w:p w14:paraId="62390620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E231B7">
              <w:rPr>
                <w:rFonts w:ascii="Arial" w:eastAsia="Arial" w:hAnsi="Arial" w:cs="Arial"/>
                <w:b/>
                <w:spacing w:val="-2"/>
                <w:sz w:val="24"/>
                <w:lang w:val="en-US"/>
              </w:rPr>
              <w:t>Questions</w:t>
            </w:r>
          </w:p>
        </w:tc>
        <w:tc>
          <w:tcPr>
            <w:tcW w:w="2977" w:type="dxa"/>
          </w:tcPr>
          <w:p w14:paraId="40ACDCAE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70" w:lineRule="atLeast"/>
              <w:ind w:left="107"/>
              <w:rPr>
                <w:rFonts w:ascii="Arial" w:eastAsia="Arial" w:hAnsi="Arial" w:cs="Arial"/>
                <w:b/>
                <w:sz w:val="24"/>
                <w:lang w:val="en-US"/>
              </w:rPr>
            </w:pPr>
            <w:r w:rsidRPr="00E231B7">
              <w:rPr>
                <w:rFonts w:ascii="Arial" w:eastAsia="Arial" w:hAnsi="Arial" w:cs="Arial"/>
                <w:b/>
                <w:spacing w:val="-2"/>
                <w:sz w:val="24"/>
                <w:lang w:val="en-US"/>
              </w:rPr>
              <w:t>Answers</w:t>
            </w:r>
          </w:p>
        </w:tc>
      </w:tr>
      <w:tr w:rsidR="00E231B7" w:rsidRPr="00E231B7" w14:paraId="3C4FB1F1" w14:textId="77777777" w:rsidTr="00E231B7">
        <w:trPr>
          <w:trHeight w:val="530"/>
        </w:trPr>
        <w:tc>
          <w:tcPr>
            <w:tcW w:w="852" w:type="dxa"/>
          </w:tcPr>
          <w:p w14:paraId="4A4350DC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spacing w:val="-5"/>
                <w:lang w:val="en-US"/>
              </w:rPr>
              <w:t>1.</w:t>
            </w:r>
          </w:p>
        </w:tc>
        <w:tc>
          <w:tcPr>
            <w:tcW w:w="1709" w:type="dxa"/>
          </w:tcPr>
          <w:p w14:paraId="1381DDDE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>Cloud Security- 2.1.1</w:t>
            </w:r>
          </w:p>
        </w:tc>
        <w:tc>
          <w:tcPr>
            <w:tcW w:w="4246" w:type="dxa"/>
          </w:tcPr>
          <w:p w14:paraId="78294E3C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 xml:space="preserve">Is the supplier expected to design and architect security controls for the multi cloud environment in </w:t>
            </w:r>
            <w:proofErr w:type="spellStart"/>
            <w:r w:rsidRPr="00E231B7">
              <w:rPr>
                <w:rFonts w:ascii="Arial" w:eastAsia="Arial" w:hAnsi="Arial" w:cs="Arial"/>
                <w:lang w:val="en-US"/>
              </w:rPr>
              <w:t>it’s</w:t>
            </w:r>
            <w:proofErr w:type="spellEnd"/>
            <w:r w:rsidRPr="00E231B7">
              <w:rPr>
                <w:rFonts w:ascii="Arial" w:eastAsia="Arial" w:hAnsi="Arial" w:cs="Arial"/>
                <w:lang w:val="en-US"/>
              </w:rPr>
              <w:t xml:space="preserve"> future state?</w:t>
            </w:r>
          </w:p>
        </w:tc>
        <w:tc>
          <w:tcPr>
            <w:tcW w:w="2977" w:type="dxa"/>
          </w:tcPr>
          <w:p w14:paraId="63AB43AA" w14:textId="1EC77922" w:rsidR="00E231B7" w:rsidRPr="00E231B7" w:rsidRDefault="007B1610" w:rsidP="00E231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The Cloud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CCoE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will use resources from the professional services to assist with the designs.</w:t>
            </w:r>
          </w:p>
        </w:tc>
      </w:tr>
      <w:tr w:rsidR="00E231B7" w:rsidRPr="00E231B7" w14:paraId="388E9D39" w14:textId="77777777" w:rsidTr="00E231B7">
        <w:trPr>
          <w:trHeight w:val="1422"/>
        </w:trPr>
        <w:tc>
          <w:tcPr>
            <w:tcW w:w="852" w:type="dxa"/>
          </w:tcPr>
          <w:p w14:paraId="586A3494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>2</w:t>
            </w:r>
          </w:p>
        </w:tc>
        <w:tc>
          <w:tcPr>
            <w:tcW w:w="1709" w:type="dxa"/>
          </w:tcPr>
          <w:p w14:paraId="7D6FFD49" w14:textId="77777777" w:rsidR="00E231B7" w:rsidRPr="00E231B7" w:rsidRDefault="00E231B7" w:rsidP="00E231B7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52" w:lineRule="exact"/>
              <w:ind w:left="107" w:right="601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>Cloud Security- 2.1.1</w:t>
            </w:r>
          </w:p>
        </w:tc>
        <w:tc>
          <w:tcPr>
            <w:tcW w:w="4246" w:type="dxa"/>
          </w:tcPr>
          <w:p w14:paraId="4C54CC76" w14:textId="77777777" w:rsidR="00E231B7" w:rsidRPr="00E231B7" w:rsidRDefault="00E231B7" w:rsidP="00E231B7">
            <w:pPr>
              <w:widowControl w:val="0"/>
              <w:autoSpaceDE w:val="0"/>
              <w:autoSpaceDN w:val="0"/>
              <w:spacing w:before="252" w:after="0" w:line="240" w:lineRule="auto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>Our understanding is that cloud security operations will depend on the overall adoption and implementation of security controls in a multi-cloud environment. At this stage the supplier is expected to perform only the current state analysis, and the output of this assessment will be target state design and architecture.</w:t>
            </w:r>
          </w:p>
        </w:tc>
        <w:tc>
          <w:tcPr>
            <w:tcW w:w="2977" w:type="dxa"/>
          </w:tcPr>
          <w:p w14:paraId="6C3496EB" w14:textId="697625BC" w:rsidR="00E231B7" w:rsidRPr="00E231B7" w:rsidRDefault="007B1610" w:rsidP="00E231B7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The Cloud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CCoE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will use resources from the professional services to assist with the operations and designs.</w:t>
            </w:r>
          </w:p>
        </w:tc>
      </w:tr>
      <w:tr w:rsidR="007B1610" w:rsidRPr="00E231B7" w14:paraId="672DA01C" w14:textId="77777777" w:rsidTr="00E231B7">
        <w:trPr>
          <w:trHeight w:val="1872"/>
        </w:trPr>
        <w:tc>
          <w:tcPr>
            <w:tcW w:w="852" w:type="dxa"/>
          </w:tcPr>
          <w:p w14:paraId="52326441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spacing w:val="-5"/>
                <w:lang w:val="en-US"/>
              </w:rPr>
            </w:pPr>
            <w:r w:rsidRPr="00E231B7">
              <w:rPr>
                <w:rFonts w:ascii="Arial" w:eastAsia="Arial" w:hAnsi="Arial" w:cs="Arial"/>
                <w:spacing w:val="-5"/>
                <w:lang w:val="en-US"/>
              </w:rPr>
              <w:t>3</w:t>
            </w:r>
          </w:p>
        </w:tc>
        <w:tc>
          <w:tcPr>
            <w:tcW w:w="1709" w:type="dxa"/>
          </w:tcPr>
          <w:p w14:paraId="723CF591" w14:textId="77777777" w:rsidR="007B1610" w:rsidRPr="00E231B7" w:rsidRDefault="007B1610" w:rsidP="007B1610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52" w:lineRule="exact"/>
              <w:ind w:left="108" w:right="601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>Cloud Security- 2.1.1</w:t>
            </w:r>
          </w:p>
        </w:tc>
        <w:tc>
          <w:tcPr>
            <w:tcW w:w="4246" w:type="dxa"/>
          </w:tcPr>
          <w:p w14:paraId="27A5A15B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lang w:val="en-US"/>
              </w:rPr>
              <w:t xml:space="preserve">To implement DLP and data security controls in multi cloud environment, we need to do the current state assessment </w:t>
            </w:r>
            <w:proofErr w:type="spellStart"/>
            <w:r w:rsidRPr="00E231B7">
              <w:rPr>
                <w:rFonts w:ascii="Arial" w:eastAsia="Arial" w:hAnsi="Arial" w:cs="Arial"/>
                <w:lang w:val="en-US"/>
              </w:rPr>
              <w:t>wrt</w:t>
            </w:r>
            <w:proofErr w:type="spellEnd"/>
            <w:r w:rsidRPr="00E231B7">
              <w:rPr>
                <w:rFonts w:ascii="Arial" w:eastAsia="Arial" w:hAnsi="Arial" w:cs="Arial"/>
                <w:lang w:val="en-US"/>
              </w:rPr>
              <w:t xml:space="preserve"> DLP and provide best fit solutions. Pls clarify if this understanding is correct or is the supplier expected to manage, run and operate existing DLP and Data Security tools?</w:t>
            </w:r>
          </w:p>
        </w:tc>
        <w:tc>
          <w:tcPr>
            <w:tcW w:w="2977" w:type="dxa"/>
          </w:tcPr>
          <w:p w14:paraId="182BE645" w14:textId="75C87BE1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The Cloud </w:t>
            </w:r>
            <w:proofErr w:type="spellStart"/>
            <w:r>
              <w:rPr>
                <w:rFonts w:ascii="Arial" w:eastAsia="Arial" w:hAnsi="Arial" w:cs="Arial"/>
                <w:lang w:val="en-US"/>
              </w:rPr>
              <w:t>CCoE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 xml:space="preserve"> will use resources from the professional services to assist with the operations and designs.</w:t>
            </w:r>
          </w:p>
        </w:tc>
      </w:tr>
      <w:tr w:rsidR="007B1610" w:rsidRPr="00E231B7" w14:paraId="07EBD57D" w14:textId="77777777" w:rsidTr="00E231B7">
        <w:trPr>
          <w:trHeight w:val="1872"/>
        </w:trPr>
        <w:tc>
          <w:tcPr>
            <w:tcW w:w="852" w:type="dxa"/>
          </w:tcPr>
          <w:p w14:paraId="5C64311B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spacing w:val="-5"/>
                <w:lang w:val="en-US"/>
              </w:rPr>
            </w:pPr>
            <w:r w:rsidRPr="00E231B7">
              <w:rPr>
                <w:rFonts w:ascii="Arial" w:eastAsia="Arial" w:hAnsi="Arial" w:cs="Arial"/>
                <w:spacing w:val="-5"/>
                <w:lang w:val="en-US"/>
              </w:rPr>
              <w:t>4</w:t>
            </w:r>
          </w:p>
        </w:tc>
        <w:tc>
          <w:tcPr>
            <w:tcW w:w="1709" w:type="dxa"/>
          </w:tcPr>
          <w:p w14:paraId="0ABCB7F9" w14:textId="77777777" w:rsidR="007B1610" w:rsidRPr="00E231B7" w:rsidRDefault="007B1610" w:rsidP="007B1610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52" w:lineRule="exact"/>
              <w:ind w:left="108" w:right="60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231B7">
              <w:rPr>
                <w:rFonts w:ascii="Arial" w:eastAsia="Arial" w:hAnsi="Arial" w:cs="Arial"/>
                <w:sz w:val="20"/>
                <w:szCs w:val="20"/>
                <w:lang w:val="en-US"/>
              </w:rPr>
              <w:t>FN2.8 - Monitoring and observability</w:t>
            </w:r>
          </w:p>
          <w:p w14:paraId="04EA72CC" w14:textId="77777777" w:rsidR="007B1610" w:rsidRPr="00E231B7" w:rsidRDefault="007B1610" w:rsidP="007B1610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52" w:lineRule="exact"/>
              <w:ind w:left="108" w:right="601"/>
              <w:rPr>
                <w:rFonts w:ascii="Arial" w:eastAsia="Arial" w:hAnsi="Arial" w:cs="Arial"/>
                <w:i/>
                <w:iCs/>
                <w:lang w:val="en-US"/>
              </w:rPr>
            </w:pPr>
            <w:r w:rsidRPr="00E231B7">
              <w:rPr>
                <w:rFonts w:ascii="Arial" w:eastAsia="Arial" w:hAnsi="Arial" w:cs="Arial"/>
                <w:i/>
                <w:iCs/>
                <w:color w:val="0070C0"/>
                <w:sz w:val="20"/>
                <w:szCs w:val="20"/>
                <w:lang w:val="en-US"/>
              </w:rPr>
              <w:t>(Follow Up Question)</w:t>
            </w:r>
          </w:p>
        </w:tc>
        <w:tc>
          <w:tcPr>
            <w:tcW w:w="4246" w:type="dxa"/>
          </w:tcPr>
          <w:p w14:paraId="3142BD73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231B7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Original Question:</w:t>
            </w:r>
            <w:r w:rsidRPr="00E231B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Please provide a list of existing monitoring &amp; Observability tools to check compatibility with CMP.</w:t>
            </w:r>
          </w:p>
          <w:p w14:paraId="686AA73D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231B7">
              <w:rPr>
                <w:rFonts w:ascii="Arial" w:eastAsia="Arial" w:hAnsi="Arial" w:cs="Arial"/>
                <w:sz w:val="20"/>
                <w:szCs w:val="20"/>
                <w:lang w:val="en-US"/>
              </w:rPr>
              <w:t>Also please share existing tools list like backup, Patching, Backup, DR, Automation, any management tools, DevOps, Network, Security to be integrated with CMP solution.</w:t>
            </w:r>
          </w:p>
          <w:p w14:paraId="5E9EAD6B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86FCF0C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231B7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Eskom Answer:</w:t>
            </w:r>
            <w:r w:rsidRPr="00E231B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At this stage, only Azure Monitor Is used. Please clarify the relevance of this question.</w:t>
            </w:r>
          </w:p>
          <w:p w14:paraId="4466A56C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iCs/>
                <w:color w:val="0070C0"/>
                <w:sz w:val="20"/>
                <w:szCs w:val="20"/>
                <w:lang w:val="en-US"/>
              </w:rPr>
            </w:pPr>
          </w:p>
          <w:p w14:paraId="30E50491" w14:textId="77777777" w:rsidR="007B1610" w:rsidRPr="00E231B7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E231B7">
              <w:rPr>
                <w:rFonts w:ascii="Arial" w:eastAsia="Arial" w:hAnsi="Arial" w:cs="Arial"/>
                <w:i/>
                <w:iCs/>
                <w:color w:val="0070C0"/>
                <w:sz w:val="20"/>
                <w:szCs w:val="20"/>
                <w:lang w:val="en-US"/>
              </w:rPr>
              <w:t xml:space="preserve">Supplier Clarification: Need a view of the existing surrounding tools landscape to be able to select an appropriate CMP tool that is compatible with the surrounding tools like backup, patching </w:t>
            </w:r>
            <w:proofErr w:type="spellStart"/>
            <w:r w:rsidRPr="00E231B7">
              <w:rPr>
                <w:rFonts w:ascii="Arial" w:eastAsia="Arial" w:hAnsi="Arial" w:cs="Arial"/>
                <w:i/>
                <w:iCs/>
                <w:color w:val="0070C0"/>
                <w:sz w:val="20"/>
                <w:szCs w:val="20"/>
                <w:lang w:val="en-US"/>
              </w:rPr>
              <w:t>etc</w:t>
            </w:r>
            <w:proofErr w:type="spellEnd"/>
            <w:r w:rsidRPr="00E231B7">
              <w:rPr>
                <w:rFonts w:ascii="Arial" w:eastAsia="Arial" w:hAnsi="Arial" w:cs="Arial"/>
                <w:i/>
                <w:iCs/>
                <w:color w:val="0070C0"/>
                <w:sz w:val="20"/>
                <w:szCs w:val="20"/>
                <w:lang w:val="en-US"/>
              </w:rPr>
              <w:t>…</w:t>
            </w:r>
          </w:p>
        </w:tc>
        <w:tc>
          <w:tcPr>
            <w:tcW w:w="2977" w:type="dxa"/>
          </w:tcPr>
          <w:p w14:paraId="5637F942" w14:textId="77777777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>Netbackup</w:t>
            </w:r>
            <w:proofErr w:type="spellEnd"/>
          </w:p>
          <w:p w14:paraId="053181C5" w14:textId="1E71E499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B161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Patching</w:t>
            </w:r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SCCM</w:t>
            </w:r>
          </w:p>
          <w:p w14:paraId="666A0EE0" w14:textId="56F88B0D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B161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DR</w:t>
            </w:r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No DR Tool </w:t>
            </w:r>
          </w:p>
          <w:p w14:paraId="219F61AE" w14:textId="66C8E3D9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B161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Automation</w:t>
            </w:r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No provisioning process</w:t>
            </w:r>
          </w:p>
          <w:p w14:paraId="1B7044E9" w14:textId="6C8F7406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B161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DevOps</w:t>
            </w:r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Azure</w:t>
            </w:r>
          </w:p>
          <w:p w14:paraId="28B5EDBC" w14:textId="77777777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B161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Networks</w:t>
            </w:r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Multiple, to be shared with the preferred bidder.</w:t>
            </w:r>
          </w:p>
          <w:p w14:paraId="7FD8AFD3" w14:textId="3B4BE5A1" w:rsid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B161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Security</w:t>
            </w:r>
            <w:r w:rsidRPr="007B161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Multiple, to be shared with the preferred bidder.</w:t>
            </w:r>
          </w:p>
          <w:p w14:paraId="490725E3" w14:textId="77777777" w:rsid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798B9AA" w14:textId="42B17866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NB: </w:t>
            </w:r>
            <w:r w:rsidRPr="007B1610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Pls provide all out of the box integration capabilities for your tool.</w:t>
            </w:r>
          </w:p>
          <w:p w14:paraId="4D8DD861" w14:textId="77777777" w:rsidR="007B1610" w:rsidRPr="007B1610" w:rsidRDefault="007B1610" w:rsidP="007B161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CECEA78" w14:textId="684364DC" w:rsidR="007B1610" w:rsidRPr="00E231B7" w:rsidRDefault="007B1610" w:rsidP="007B1610">
            <w:pPr>
              <w:widowControl w:val="0"/>
              <w:autoSpaceDE w:val="0"/>
              <w:autoSpaceDN w:val="0"/>
              <w:spacing w:before="252"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7D69D25B" w14:textId="77777777" w:rsidR="00D1019D" w:rsidRDefault="00D1019D"/>
    <w:sectPr w:rsidR="00D10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B7"/>
    <w:rsid w:val="001847EE"/>
    <w:rsid w:val="004A7087"/>
    <w:rsid w:val="007B1610"/>
    <w:rsid w:val="0084561A"/>
    <w:rsid w:val="00933663"/>
    <w:rsid w:val="00C22031"/>
    <w:rsid w:val="00D1019D"/>
    <w:rsid w:val="00D55D74"/>
    <w:rsid w:val="00E2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41AE"/>
  <w15:chartTrackingRefBased/>
  <w15:docId w15:val="{F66EBE48-7679-4098-8AE3-07156A6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Mbulelo Mncengani</dc:creator>
  <cp:keywords/>
  <dc:description/>
  <cp:lastModifiedBy>Mbulelo Mncengani</cp:lastModifiedBy>
  <cp:revision>2</cp:revision>
  <dcterms:created xsi:type="dcterms:W3CDTF">2025-07-04T07:17:00Z</dcterms:created>
  <dcterms:modified xsi:type="dcterms:W3CDTF">2025-07-04T07:17:00Z</dcterms:modified>
</cp:coreProperties>
</file>