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/>
        <w:tblW w:w="13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218"/>
        <w:gridCol w:w="915"/>
        <w:gridCol w:w="1505"/>
        <w:gridCol w:w="850"/>
        <w:gridCol w:w="7213"/>
      </w:tblGrid>
      <w:tr w:rsidR="00A477B8" w:rsidRPr="002216B5" w14:paraId="13A5B424" w14:textId="77777777" w:rsidTr="00A477B8">
        <w:trPr>
          <w:trHeight w:val="585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367A4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BB8A5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Factor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78960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Weight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E1666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Sub-factor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DF775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72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2A62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Technical team recommendations</w:t>
            </w:r>
          </w:p>
        </w:tc>
      </w:tr>
      <w:tr w:rsidR="00A477B8" w:rsidRPr="002216B5" w14:paraId="0583FF71" w14:textId="77777777" w:rsidTr="00A477B8">
        <w:trPr>
          <w:trHeight w:val="435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4E35D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35B00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Qualifications of the Key Individual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6DE59" w14:textId="5D4F0D96" w:rsidR="00A477B8" w:rsidRPr="002216B5" w:rsidRDefault="00F5702E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30</w:t>
            </w:r>
            <w:r w:rsidR="00A477B8" w:rsidRPr="002216B5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CE3E1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National Certificate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F2FFD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10%</w:t>
            </w:r>
          </w:p>
        </w:tc>
        <w:tc>
          <w:tcPr>
            <w:tcW w:w="72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0E37D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477B8" w:rsidRPr="002216B5" w14:paraId="4C227523" w14:textId="77777777" w:rsidTr="00A477B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B3B0A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4AFD2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9E62E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032D9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National Diploma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B9B42" w14:textId="107955DE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2</w:t>
            </w:r>
            <w:r w:rsidR="002216B5">
              <w:rPr>
                <w:b/>
                <w:bCs/>
                <w:sz w:val="16"/>
                <w:szCs w:val="16"/>
              </w:rPr>
              <w:t>5</w:t>
            </w:r>
            <w:r w:rsidRPr="002216B5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2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FEDCC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477B8" w:rsidRPr="002216B5" w14:paraId="46608B91" w14:textId="77777777" w:rsidTr="00A477B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4AB3C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A0FBD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A9191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F1B3B" w14:textId="746BDAE0" w:rsidR="00A477B8" w:rsidRPr="002216B5" w:rsidRDefault="002216B5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Bachelor’s</w:t>
            </w:r>
            <w:r w:rsidR="00A477B8" w:rsidRPr="002216B5">
              <w:rPr>
                <w:b/>
                <w:bCs/>
                <w:sz w:val="16"/>
                <w:szCs w:val="16"/>
              </w:rPr>
              <w:t xml:space="preserve"> Degree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458B7" w14:textId="15BA93AF" w:rsidR="00A477B8" w:rsidRPr="002216B5" w:rsidRDefault="00F5702E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30</w:t>
            </w:r>
            <w:r w:rsidR="00A477B8" w:rsidRPr="002216B5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C1362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477B8" w:rsidRPr="002216B5" w14:paraId="4BE77B04" w14:textId="77777777" w:rsidTr="00A477B8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701FC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3DEE3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A891A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A7932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84955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21760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477B8" w:rsidRPr="002216B5" w14:paraId="69CD6304" w14:textId="77777777" w:rsidTr="00A477B8">
        <w:trPr>
          <w:trHeight w:val="345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72AB0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D5A6F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Previous Experience of the Key individual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32C83" w14:textId="7F765F5D" w:rsidR="00A477B8" w:rsidRPr="002216B5" w:rsidRDefault="00F5702E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30</w:t>
            </w:r>
            <w:r w:rsidR="00A477B8" w:rsidRPr="002216B5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F95C6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 xml:space="preserve">&gt;10 years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1B441" w14:textId="2F58AEB3" w:rsidR="00A477B8" w:rsidRPr="002216B5" w:rsidRDefault="00F5702E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30</w:t>
            </w:r>
            <w:r w:rsidR="00A477B8" w:rsidRPr="002216B5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D0DF6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477B8" w:rsidRPr="002216B5" w14:paraId="6A23DA49" w14:textId="77777777" w:rsidTr="00A477B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C89B1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AFABC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1B0F3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2C06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 xml:space="preserve">&gt;5 years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BC28A" w14:textId="0DC74801" w:rsidR="00A477B8" w:rsidRPr="002216B5" w:rsidRDefault="00F5702E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20</w:t>
            </w:r>
            <w:r w:rsidR="00A477B8" w:rsidRPr="002216B5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2F23C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477B8" w:rsidRPr="002216B5" w14:paraId="0BD9572A" w14:textId="77777777" w:rsidTr="00A477B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A1156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802E1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36EA5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881FC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 xml:space="preserve">&gt;1 years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F9CC7" w14:textId="2D37AD8A" w:rsidR="00A477B8" w:rsidRPr="002216B5" w:rsidRDefault="00F5702E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17.5</w:t>
            </w:r>
            <w:r w:rsidR="00A477B8" w:rsidRPr="002216B5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2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E5E6D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477B8" w:rsidRPr="002216B5" w14:paraId="4DD6991A" w14:textId="77777777" w:rsidTr="00A477B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19863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FD54B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69B73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678B3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13068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B0DA1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477B8" w:rsidRPr="002216B5" w14:paraId="7C756435" w14:textId="77777777" w:rsidTr="00A477B8">
        <w:trPr>
          <w:trHeight w:val="540"/>
        </w:trPr>
        <w:tc>
          <w:tcPr>
            <w:tcW w:w="7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5C74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39819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Membership of The Institute of Loss Adjusters of Southern Africa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EB546" w14:textId="2DDE03F6" w:rsidR="00A477B8" w:rsidRPr="004E1A71" w:rsidRDefault="004E1A71" w:rsidP="00A477B8">
            <w:pPr>
              <w:rPr>
                <w:b/>
                <w:bCs/>
                <w:sz w:val="16"/>
                <w:szCs w:val="16"/>
              </w:rPr>
            </w:pPr>
            <w:r w:rsidRPr="004E1A71">
              <w:rPr>
                <w:b/>
                <w:bCs/>
                <w:sz w:val="16"/>
                <w:szCs w:val="16"/>
              </w:rPr>
              <w:t>20%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D0F20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 xml:space="preserve">Registered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A3084" w14:textId="16CFEA65" w:rsidR="00A477B8" w:rsidRPr="002216B5" w:rsidRDefault="00AA31CE" w:rsidP="00A477B8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A477B8" w:rsidRPr="002216B5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41564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</w:tr>
      <w:tr w:rsidR="00A477B8" w:rsidRPr="002216B5" w14:paraId="61C1964B" w14:textId="77777777" w:rsidTr="00A477B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923F03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883660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39AC404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E7756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 xml:space="preserve">Not Registered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50CB0" w14:textId="680FE930" w:rsidR="00A477B8" w:rsidRPr="002216B5" w:rsidRDefault="00AE025A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0</w:t>
            </w:r>
            <w:r w:rsidR="00A477B8" w:rsidRPr="002216B5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48BBC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477B8" w:rsidRPr="002216B5" w14:paraId="686B95AA" w14:textId="77777777" w:rsidTr="0087052E">
        <w:trPr>
          <w:trHeight w:val="1485"/>
        </w:trPr>
        <w:tc>
          <w:tcPr>
            <w:tcW w:w="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FA3C5" w14:textId="77777777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AA552" w14:textId="5909B54B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References - Provid</w:t>
            </w:r>
            <w:r w:rsidR="002216B5" w:rsidRPr="002216B5">
              <w:rPr>
                <w:b/>
                <w:bCs/>
                <w:sz w:val="16"/>
                <w:szCs w:val="16"/>
              </w:rPr>
              <w:t>e</w:t>
            </w:r>
            <w:r w:rsidRPr="002216B5">
              <w:rPr>
                <w:b/>
                <w:bCs/>
                <w:sz w:val="16"/>
                <w:szCs w:val="16"/>
              </w:rPr>
              <w:t xml:space="preserve"> contactable references applicable to the project for the Key individual (The reference letter should be in the </w:t>
            </w:r>
            <w:r w:rsidR="0087052E" w:rsidRPr="002216B5">
              <w:rPr>
                <w:b/>
                <w:bCs/>
                <w:sz w:val="16"/>
                <w:szCs w:val="16"/>
              </w:rPr>
              <w:t>company’s</w:t>
            </w:r>
            <w:r w:rsidRPr="002216B5">
              <w:rPr>
                <w:b/>
                <w:bCs/>
                <w:sz w:val="16"/>
                <w:szCs w:val="16"/>
              </w:rPr>
              <w:t xml:space="preserve"> letter head and should have the contact person, telephone number, fax number and email address)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4EBB8" w14:textId="399C29BD" w:rsidR="00A477B8" w:rsidRPr="004E1A71" w:rsidRDefault="004E1A71" w:rsidP="00A477B8">
            <w:pPr>
              <w:rPr>
                <w:b/>
                <w:bCs/>
                <w:sz w:val="16"/>
                <w:szCs w:val="16"/>
              </w:rPr>
            </w:pPr>
            <w:r w:rsidRPr="004E1A71">
              <w:rPr>
                <w:b/>
                <w:bCs/>
                <w:sz w:val="16"/>
                <w:szCs w:val="16"/>
              </w:rPr>
              <w:t>20%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3BCC6" w14:textId="60407A24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 xml:space="preserve">3 </w:t>
            </w:r>
            <w:r w:rsidR="0087052E" w:rsidRPr="002216B5">
              <w:rPr>
                <w:b/>
                <w:bCs/>
                <w:sz w:val="16"/>
                <w:szCs w:val="16"/>
              </w:rPr>
              <w:t>references</w:t>
            </w:r>
            <w:r w:rsidRPr="002216B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DC3FC" w14:textId="3C4AC21F" w:rsidR="00A477B8" w:rsidRPr="002216B5" w:rsidRDefault="00A477B8" w:rsidP="00A477B8">
            <w:pPr>
              <w:rPr>
                <w:sz w:val="16"/>
                <w:szCs w:val="16"/>
              </w:rPr>
            </w:pPr>
            <w:r w:rsidRPr="002216B5">
              <w:rPr>
                <w:b/>
                <w:bCs/>
                <w:sz w:val="16"/>
                <w:szCs w:val="16"/>
              </w:rPr>
              <w:t>1</w:t>
            </w:r>
            <w:r w:rsidR="00A252CF">
              <w:rPr>
                <w:b/>
                <w:bCs/>
                <w:sz w:val="16"/>
                <w:szCs w:val="16"/>
              </w:rPr>
              <w:t>5</w:t>
            </w:r>
            <w:r w:rsidRPr="002216B5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2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45C09" w14:textId="77777777" w:rsidR="00A477B8" w:rsidRPr="002216B5" w:rsidRDefault="00A477B8" w:rsidP="00A477B8">
            <w:pPr>
              <w:rPr>
                <w:sz w:val="16"/>
                <w:szCs w:val="16"/>
              </w:rPr>
            </w:pPr>
          </w:p>
        </w:tc>
      </w:tr>
      <w:tr w:rsidR="0087052E" w:rsidRPr="002216B5" w14:paraId="296B07E6" w14:textId="77777777" w:rsidTr="00A252CF">
        <w:trPr>
          <w:trHeight w:val="1485"/>
        </w:trPr>
        <w:tc>
          <w:tcPr>
            <w:tcW w:w="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F385A" w14:textId="77777777" w:rsidR="0087052E" w:rsidRPr="002216B5" w:rsidRDefault="0087052E" w:rsidP="00A477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1C936" w14:textId="77777777" w:rsidR="0087052E" w:rsidRPr="002216B5" w:rsidRDefault="0087052E" w:rsidP="00A477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E17B" w14:textId="77777777" w:rsidR="0087052E" w:rsidRPr="002216B5" w:rsidRDefault="0087052E" w:rsidP="00A477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6DC64" w14:textId="5BDACA71" w:rsidR="0087052E" w:rsidRPr="002216B5" w:rsidRDefault="0087052E" w:rsidP="00A477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A252CF">
              <w:rPr>
                <w:b/>
                <w:bCs/>
                <w:sz w:val="16"/>
                <w:szCs w:val="16"/>
              </w:rPr>
              <w:t xml:space="preserve"> references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9E5B" w14:textId="52BAC19E" w:rsidR="0087052E" w:rsidRPr="002216B5" w:rsidRDefault="00A252CF" w:rsidP="00A477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091864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2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BB1C" w14:textId="77777777" w:rsidR="0087052E" w:rsidRPr="002216B5" w:rsidRDefault="0087052E" w:rsidP="00A477B8">
            <w:pPr>
              <w:rPr>
                <w:sz w:val="16"/>
                <w:szCs w:val="16"/>
              </w:rPr>
            </w:pPr>
          </w:p>
        </w:tc>
      </w:tr>
      <w:tr w:rsidR="00A252CF" w:rsidRPr="002216B5" w14:paraId="00ADE111" w14:textId="77777777" w:rsidTr="00B443F8">
        <w:trPr>
          <w:trHeight w:val="148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5DC7" w14:textId="77777777" w:rsidR="00A252CF" w:rsidRPr="002216B5" w:rsidRDefault="00A252CF" w:rsidP="00A477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665F" w14:textId="77777777" w:rsidR="00A252CF" w:rsidRPr="002216B5" w:rsidRDefault="00A252CF" w:rsidP="00A477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2481" w14:textId="77777777" w:rsidR="00A252CF" w:rsidRPr="002216B5" w:rsidRDefault="00A252CF" w:rsidP="00A477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221D" w14:textId="7C21153F" w:rsidR="00A252CF" w:rsidRDefault="00A252CF" w:rsidP="00A477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reference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5D51" w14:textId="61A29D91" w:rsidR="00A252CF" w:rsidRDefault="00091864" w:rsidP="00A477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5%</w:t>
            </w:r>
          </w:p>
        </w:tc>
        <w:tc>
          <w:tcPr>
            <w:tcW w:w="72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E1C3" w14:textId="77777777" w:rsidR="00A252CF" w:rsidRPr="002216B5" w:rsidRDefault="00A252CF" w:rsidP="00A477B8">
            <w:pPr>
              <w:rPr>
                <w:sz w:val="16"/>
                <w:szCs w:val="16"/>
              </w:rPr>
            </w:pPr>
          </w:p>
        </w:tc>
      </w:tr>
    </w:tbl>
    <w:p w14:paraId="1B43E834" w14:textId="77777777" w:rsidR="00046B87" w:rsidRDefault="00046B87">
      <w:pPr>
        <w:rPr>
          <w:sz w:val="16"/>
          <w:szCs w:val="16"/>
        </w:rPr>
      </w:pPr>
    </w:p>
    <w:p w14:paraId="294570DA" w14:textId="4EB36D18" w:rsidR="00F53CA2" w:rsidRDefault="00AC24C1">
      <w:pPr>
        <w:rPr>
          <w:sz w:val="16"/>
          <w:szCs w:val="16"/>
        </w:rPr>
      </w:pPr>
      <w:r>
        <w:rPr>
          <w:sz w:val="16"/>
          <w:szCs w:val="16"/>
        </w:rPr>
        <w:t>Pass Threshold:70%</w:t>
      </w:r>
    </w:p>
    <w:p w14:paraId="76641E7D" w14:textId="2F476AEA" w:rsidR="00AC24C1" w:rsidRDefault="00AC24C1">
      <w:pPr>
        <w:rPr>
          <w:sz w:val="16"/>
          <w:szCs w:val="16"/>
        </w:rPr>
      </w:pPr>
      <w:r>
        <w:rPr>
          <w:sz w:val="16"/>
          <w:szCs w:val="16"/>
        </w:rPr>
        <w:t>Date:27.08.2025</w:t>
      </w:r>
    </w:p>
    <w:p w14:paraId="0507A521" w14:textId="2BA33366" w:rsidR="00AC24C1" w:rsidRPr="002216B5" w:rsidRDefault="00AC24C1">
      <w:pPr>
        <w:rPr>
          <w:sz w:val="16"/>
          <w:szCs w:val="16"/>
        </w:rPr>
      </w:pPr>
      <w:r>
        <w:rPr>
          <w:sz w:val="16"/>
          <w:szCs w:val="16"/>
        </w:rPr>
        <w:t>Signature:</w:t>
      </w:r>
    </w:p>
    <w:sectPr w:rsidR="00AC24C1" w:rsidRPr="00221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B8"/>
    <w:rsid w:val="00046B87"/>
    <w:rsid w:val="00091864"/>
    <w:rsid w:val="000D4C28"/>
    <w:rsid w:val="002216B5"/>
    <w:rsid w:val="0023328E"/>
    <w:rsid w:val="004E1A71"/>
    <w:rsid w:val="0087052E"/>
    <w:rsid w:val="00A252CF"/>
    <w:rsid w:val="00A477B8"/>
    <w:rsid w:val="00AA31CE"/>
    <w:rsid w:val="00AC24C1"/>
    <w:rsid w:val="00AE025A"/>
    <w:rsid w:val="00B443F8"/>
    <w:rsid w:val="00EB3574"/>
    <w:rsid w:val="00F53CA2"/>
    <w:rsid w:val="00F5702E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D60E"/>
  <w15:chartTrackingRefBased/>
  <w15:docId w15:val="{415C7600-546B-4C9E-8F04-D93F8F8E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7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7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7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7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7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3aedbdc-cc67-4652-aa12-d250a876ae79}" enabled="0" method="" siteId="{93aedbdc-cc67-4652-aa12-d250a876ae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>Eskom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Nthabiseng Livertson</dc:creator>
  <cp:keywords/>
  <dc:description/>
  <cp:lastModifiedBy>Nthabiseng Livertson</cp:lastModifiedBy>
  <cp:revision>2</cp:revision>
  <cp:lastPrinted>2025-08-26T07:05:00Z</cp:lastPrinted>
  <dcterms:created xsi:type="dcterms:W3CDTF">2025-08-27T08:05:00Z</dcterms:created>
  <dcterms:modified xsi:type="dcterms:W3CDTF">2025-08-27T08:05:00Z</dcterms:modified>
</cp:coreProperties>
</file>