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Specifications for renovations to the new molecular laboratory</w:t>
      </w:r>
    </w:p>
    <w:p>
      <w:pPr>
        <w:pStyle w:val="Normal"/>
        <w:rPr/>
      </w:pPr>
      <w:r>
        <w:rPr/>
      </w:r>
    </w:p>
    <w:p>
      <w:pPr>
        <w:pStyle w:val="Normal"/>
        <w:numPr>
          <w:ilvl w:val="0"/>
          <w:numId w:val="1"/>
        </w:numPr>
        <w:rPr>
          <w:b/>
          <w:bCs/>
        </w:rPr>
      </w:pPr>
      <w:r>
        <w:rPr/>
        <w:t>Bench top working spaces should be melamine, be waterproof and able to withstand frequent exposure to cleaning chemicals such as bleach and alcohol-based substances.</w:t>
      </w:r>
    </w:p>
    <w:p>
      <w:pPr>
        <w:pStyle w:val="Normal"/>
        <w:numPr>
          <w:ilvl w:val="0"/>
          <w:numId w:val="1"/>
        </w:numPr>
        <w:rPr>
          <w:b/>
          <w:bCs/>
        </w:rPr>
      </w:pPr>
      <w:r>
        <w:rPr/>
        <w:t>Cupboards and shelves should be constructed of solid wood used for furniture, such as pine.</w:t>
      </w:r>
    </w:p>
    <w:p>
      <w:pPr>
        <w:pStyle w:val="Normal"/>
        <w:numPr>
          <w:ilvl w:val="0"/>
          <w:numId w:val="1"/>
        </w:numPr>
        <w:rPr>
          <w:b/>
          <w:bCs/>
        </w:rPr>
      </w:pPr>
      <w:r>
        <w:rPr/>
        <w:t>Supports for bench tops and other structures may be constructed of other suitable materials, including metal.</w:t>
      </w:r>
    </w:p>
    <w:p>
      <w:pPr>
        <w:pStyle w:val="Normal"/>
        <w:numPr>
          <w:ilvl w:val="0"/>
          <w:numId w:val="1"/>
        </w:numPr>
        <w:rPr>
          <w:b/>
          <w:bCs/>
        </w:rPr>
      </w:pPr>
      <w:r>
        <w:rPr/>
        <w:t>All exposed wood and any metal structures that may form part of the supports should be sealed and be able to endure periodic exposure to water and cleaning chemicals such as bleach and alcohol-based substances without damage or staining.</w:t>
      </w:r>
    </w:p>
    <w:p>
      <w:pPr>
        <w:pStyle w:val="Normal"/>
        <w:numPr>
          <w:ilvl w:val="0"/>
          <w:numId w:val="1"/>
        </w:numPr>
        <w:rPr>
          <w:b/>
          <w:bCs/>
        </w:rPr>
      </w:pPr>
      <w:r>
        <w:rPr/>
        <w:t>Bench top working spaces and shelves should be strong enough to support equipment or other items weighing up to 30 kg for years on end without sagging or other damage.</w:t>
      </w:r>
    </w:p>
    <w:p>
      <w:pPr>
        <w:pStyle w:val="Normal"/>
        <w:numPr>
          <w:ilvl w:val="0"/>
          <w:numId w:val="1"/>
        </w:numPr>
        <w:rPr>
          <w:b/>
          <w:bCs/>
        </w:rPr>
      </w:pPr>
      <w:r>
        <w:rPr/>
        <w:t>Bench top working spaces should be completely stable and be able to absorb high frequency shaking or vibrations from heavy equipment without any movement of the workspace itself.</w:t>
      </w:r>
    </w:p>
    <w:p>
      <w:pPr>
        <w:pStyle w:val="Normal"/>
        <w:numPr>
          <w:ilvl w:val="0"/>
          <w:numId w:val="1"/>
        </w:numPr>
        <w:rPr>
          <w:b/>
          <w:bCs/>
        </w:rPr>
      </w:pPr>
      <w:r>
        <w:rPr/>
        <w:t>Bench top working spaces and shelves should be level.</w:t>
      </w:r>
    </w:p>
    <w:p>
      <w:pPr>
        <w:pStyle w:val="Normal"/>
        <w:numPr>
          <w:ilvl w:val="0"/>
          <w:numId w:val="1"/>
        </w:numPr>
        <w:rPr/>
      </w:pPr>
      <w:r>
        <w:rPr/>
        <w:t>Bench 1:</w:t>
      </w:r>
    </w:p>
    <w:p>
      <w:pPr>
        <w:pStyle w:val="Normal"/>
        <w:numPr>
          <w:ilvl w:val="1"/>
          <w:numId w:val="1"/>
        </w:numPr>
        <w:rPr>
          <w:b/>
          <w:bCs/>
        </w:rPr>
      </w:pPr>
      <w:r>
        <w:rPr/>
        <w:t>360 x 70 x 80 cm (W x D x H)</w:t>
      </w:r>
    </w:p>
    <w:p>
      <w:pPr>
        <w:pStyle w:val="Normal"/>
        <w:numPr>
          <w:ilvl w:val="1"/>
          <w:numId w:val="1"/>
        </w:numPr>
        <w:rPr>
          <w:b/>
          <w:bCs/>
        </w:rPr>
      </w:pPr>
      <w:r>
        <w:rPr/>
        <w:t>One stainless steel wash basin, left draining, with drying/stacking area on the right, ~93 x ~55 cm (W x D) with single tap, cold connection only.</w:t>
      </w:r>
    </w:p>
    <w:p>
      <w:pPr>
        <w:pStyle w:val="Normal"/>
        <w:numPr>
          <w:ilvl w:val="1"/>
          <w:numId w:val="1"/>
        </w:numPr>
        <w:rPr>
          <w:b/>
          <w:bCs/>
        </w:rPr>
      </w:pPr>
      <w:r>
        <w:rPr/>
        <w:t>The tap should be connected to the existing water supply and the drain should be connected to existing sewerage system. All connections should be sealed in an appropriate manner to prevent leaks.</w:t>
      </w:r>
    </w:p>
    <w:p>
      <w:pPr>
        <w:pStyle w:val="Normal"/>
        <w:numPr>
          <w:ilvl w:val="1"/>
          <w:numId w:val="1"/>
        </w:numPr>
        <w:rPr>
          <w:b/>
          <w:bCs/>
        </w:rPr>
      </w:pPr>
      <w:r>
        <w:rPr/>
        <w:t>The basin should fit tightly into the bench and be sealed in an appropriate manner to prevent leaking of any spilled liquids into the space below the basin.</w:t>
      </w:r>
    </w:p>
    <w:p>
      <w:pPr>
        <w:pStyle w:val="Normal"/>
        <w:numPr>
          <w:ilvl w:val="1"/>
          <w:numId w:val="1"/>
        </w:numPr>
        <w:rPr>
          <w:b/>
          <w:bCs/>
        </w:rPr>
      </w:pPr>
      <w:r>
        <w:rPr/>
        <w:t>Two double-door cupboards, each 90–100 cm wide, with single shelves. One cupboard should be placed under the basin.</w:t>
      </w:r>
    </w:p>
    <w:p>
      <w:pPr>
        <w:pStyle w:val="Normal"/>
        <w:numPr>
          <w:ilvl w:val="1"/>
          <w:numId w:val="1"/>
        </w:numPr>
        <w:rPr>
          <w:b/>
          <w:bCs/>
        </w:rPr>
      </w:pPr>
      <w:r>
        <w:rPr/>
        <w:t>Two seating areas with unobstructed open space under the bench top, each ~80 cm wide.</w:t>
      </w:r>
    </w:p>
    <w:p>
      <w:pPr>
        <w:pStyle w:val="Normal"/>
        <w:numPr>
          <w:ilvl w:val="1"/>
          <w:numId w:val="1"/>
        </w:numPr>
        <w:rPr>
          <w:b/>
          <w:bCs/>
        </w:rPr>
      </w:pPr>
      <w:r>
        <w:rPr/>
        <w:t>Cupboards and seating areas should alternate along the length of the bench.</w:t>
      </w:r>
    </w:p>
    <w:p>
      <w:pPr>
        <w:pStyle w:val="Normal"/>
        <w:numPr>
          <w:ilvl w:val="1"/>
          <w:numId w:val="1"/>
        </w:numPr>
        <w:rPr>
          <w:b/>
          <w:bCs/>
        </w:rPr>
      </w:pPr>
      <w:r>
        <w:rPr/>
        <w:t>A water connection with a ball valve to supply water from Bench 1 to an ice machine that will be placed under Bench 3. All connections should be sealed in an appropriate manner to prevent leaks.</w:t>
      </w:r>
    </w:p>
    <w:p>
      <w:pPr>
        <w:pStyle w:val="Normal"/>
        <w:numPr>
          <w:ilvl w:val="1"/>
          <w:numId w:val="1"/>
        </w:numPr>
        <w:rPr>
          <w:b/>
          <w:bCs/>
        </w:rPr>
      </w:pPr>
      <w:r>
        <w:rPr/>
        <w:t>A connection to allow water from the ice machine (under Bench 3) to drain into the existing sewer. All connections should be sealed in an appropriate manner to prevent leaks.</w:t>
      </w:r>
    </w:p>
    <w:p>
      <w:pPr>
        <w:pStyle w:val="Normal"/>
        <w:numPr>
          <w:ilvl w:val="0"/>
          <w:numId w:val="1"/>
        </w:numPr>
        <w:rPr>
          <w:b/>
          <w:bCs/>
        </w:rPr>
      </w:pPr>
      <w:r>
        <w:rPr/>
        <w:t xml:space="preserve">Bench 2 (Floor corner unit): </w:t>
      </w:r>
    </w:p>
    <w:p>
      <w:pPr>
        <w:pStyle w:val="Normal"/>
        <w:numPr>
          <w:ilvl w:val="1"/>
          <w:numId w:val="1"/>
        </w:numPr>
        <w:rPr>
          <w:b/>
          <w:bCs/>
        </w:rPr>
      </w:pPr>
      <w:r>
        <w:rPr/>
        <w:t>160 x 55 x 80 + 155 x 55 x 80 (cm, W x D x H)</w:t>
      </w:r>
    </w:p>
    <w:p>
      <w:pPr>
        <w:pStyle w:val="Normal"/>
        <w:numPr>
          <w:ilvl w:val="1"/>
          <w:numId w:val="1"/>
        </w:numPr>
        <w:rPr>
          <w:b/>
          <w:bCs/>
        </w:rPr>
      </w:pPr>
      <w:r>
        <w:rPr/>
        <w:t>One corner unit cupboard with one shelf: 100 + 35 cm wide</w:t>
      </w:r>
    </w:p>
    <w:p>
      <w:pPr>
        <w:pStyle w:val="Normal"/>
        <w:numPr>
          <w:ilvl w:val="1"/>
          <w:numId w:val="1"/>
        </w:numPr>
        <w:rPr>
          <w:b/>
          <w:bCs/>
        </w:rPr>
      </w:pPr>
      <w:r>
        <w:rPr/>
        <w:t>Two seating areas with unobstructed open space under the bench top, placed at the edges of the bench, each ~80 cm wide.</w:t>
      </w:r>
    </w:p>
    <w:p>
      <w:pPr>
        <w:pStyle w:val="Normal"/>
        <w:numPr>
          <w:ilvl w:val="0"/>
          <w:numId w:val="1"/>
        </w:numPr>
        <w:rPr>
          <w:b/>
          <w:bCs/>
        </w:rPr>
      </w:pPr>
      <w:r>
        <w:rPr/>
        <w:t>Bench 3 (Floor corner unit):</w:t>
      </w:r>
    </w:p>
    <w:p>
      <w:pPr>
        <w:pStyle w:val="Normal"/>
        <w:numPr>
          <w:ilvl w:val="1"/>
          <w:numId w:val="1"/>
        </w:numPr>
        <w:rPr>
          <w:b/>
          <w:bCs/>
        </w:rPr>
      </w:pPr>
      <w:r>
        <w:rPr/>
        <w:t>220 x 70 x 100 + 165 x 70 x 100 (cm, W x D x H)</w:t>
      </w:r>
    </w:p>
    <w:p>
      <w:pPr>
        <w:pStyle w:val="Normal"/>
        <w:numPr>
          <w:ilvl w:val="1"/>
          <w:numId w:val="1"/>
        </w:numPr>
        <w:rPr>
          <w:b/>
          <w:bCs/>
        </w:rPr>
      </w:pPr>
      <w:r>
        <w:rPr/>
        <w:t>Two to three cupboards of which one is a corner unit, total 165 + 45 cm wide, with single shelves.</w:t>
      </w:r>
    </w:p>
    <w:p>
      <w:pPr>
        <w:pStyle w:val="Normal"/>
        <w:numPr>
          <w:ilvl w:val="1"/>
          <w:numId w:val="1"/>
        </w:numPr>
        <w:rPr>
          <w:b/>
          <w:bCs/>
        </w:rPr>
      </w:pPr>
      <w:r>
        <w:rPr/>
        <w:t>Unobstructed open storage space under the one end of the bench, ~120 cm wide. If additional support for the bench top is necessary, this space may be subdivided into two storage spaces, of which one should be at least 60 cm wide (for an ice machine).</w:t>
      </w:r>
    </w:p>
    <w:p>
      <w:pPr>
        <w:pStyle w:val="Normal"/>
        <w:numPr>
          <w:ilvl w:val="0"/>
          <w:numId w:val="1"/>
        </w:numPr>
        <w:rPr>
          <w:b/>
          <w:bCs/>
        </w:rPr>
      </w:pPr>
      <w:r>
        <w:rPr/>
        <w:t>Wall Shelves:</w:t>
      </w:r>
    </w:p>
    <w:p>
      <w:pPr>
        <w:pStyle w:val="Normal"/>
        <w:numPr>
          <w:ilvl w:val="1"/>
          <w:numId w:val="1"/>
        </w:numPr>
        <w:rPr>
          <w:b/>
          <w:bCs/>
        </w:rPr>
      </w:pPr>
      <w:r>
        <w:rPr/>
        <w:t>Open b</w:t>
      </w:r>
      <w:r>
        <w:rPr/>
        <w:t>ox shelves with single middle shelves should be fitted on the walls at a height of 1.5 m from the floor, spanning the corners above benches 2 and 3.</w:t>
      </w:r>
    </w:p>
    <w:p>
      <w:pPr>
        <w:pStyle w:val="Normal"/>
        <w:numPr>
          <w:ilvl w:val="1"/>
          <w:numId w:val="1"/>
        </w:numPr>
        <w:rPr/>
      </w:pPr>
      <w:r>
        <w:rPr/>
        <w:t>Above Bench 2: 160 x 30 x 65 + 210 x 30 x 65 cm (W x D x H)</w:t>
      </w:r>
    </w:p>
    <w:p>
      <w:pPr>
        <w:pStyle w:val="Normal"/>
        <w:numPr>
          <w:ilvl w:val="1"/>
          <w:numId w:val="1"/>
        </w:numPr>
        <w:rPr>
          <w:b/>
          <w:bCs/>
        </w:rPr>
      </w:pPr>
      <w:r>
        <w:rPr/>
        <w:t>Above Bench 3: 220 x 30 x 65 + 220 x 30 x 65 cm (W x D x H)</w:t>
      </w:r>
    </w:p>
    <w:p>
      <w:pPr>
        <w:pStyle w:val="Normal"/>
        <w:numPr>
          <w:ilvl w:val="1"/>
          <w:numId w:val="1"/>
        </w:numPr>
        <w:rPr>
          <w:b/>
          <w:bCs/>
        </w:rPr>
      </w:pPr>
      <w:r>
        <w:rPr/>
        <w:t>The height of middle shelves should be adjustable, except in corner sections where they may be fixed.</w:t>
      </w:r>
    </w:p>
    <w:p>
      <w:pPr>
        <w:pStyle w:val="Normal"/>
        <w:numPr>
          <w:ilvl w:val="1"/>
          <w:numId w:val="1"/>
        </w:numPr>
        <w:rPr>
          <w:b/>
          <w:bCs/>
        </w:rPr>
      </w:pPr>
      <w:r>
        <w:rPr/>
        <w:t>Shelves should be strong enough and adequately supported to carry heavy weight (eg. books, heavy glass bottles with liquid reagents, metal accessories for equipment) for long periods without sagging.</w:t>
      </w:r>
    </w:p>
    <w:p>
      <w:pPr>
        <w:pStyle w:val="Normal"/>
        <w:numPr>
          <w:ilvl w:val="0"/>
          <w:numId w:val="1"/>
        </w:numPr>
        <w:rPr>
          <w:b/>
          <w:bCs/>
        </w:rPr>
      </w:pPr>
      <w:r>
        <w:rPr/>
        <w:t>Electrical outlets</w:t>
      </w:r>
    </w:p>
    <w:p>
      <w:pPr>
        <w:pStyle w:val="Normal"/>
        <w:numPr>
          <w:ilvl w:val="1"/>
          <w:numId w:val="1"/>
        </w:numPr>
        <w:rPr>
          <w:b/>
          <w:bCs/>
        </w:rPr>
      </w:pPr>
      <w:r>
        <w:rPr/>
        <w:t>Nine electrical outlets to be installed at various places throughout the room</w:t>
      </w:r>
    </w:p>
    <w:p>
      <w:pPr>
        <w:pStyle w:val="Normal"/>
        <w:numPr>
          <w:ilvl w:val="1"/>
          <w:numId w:val="1"/>
        </w:numPr>
        <w:rPr>
          <w:b/>
          <w:bCs/>
        </w:rPr>
      </w:pPr>
      <w:r>
        <w:rPr/>
        <w:t>Eight wall sockets, double</w:t>
      </w:r>
    </w:p>
    <w:p>
      <w:pPr>
        <w:pStyle w:val="Normal"/>
        <w:numPr>
          <w:ilvl w:val="1"/>
          <w:numId w:val="1"/>
        </w:numPr>
        <w:rPr>
          <w:b/>
          <w:bCs/>
        </w:rPr>
      </w:pPr>
      <w:r>
        <w:rPr/>
        <w:t>One bench top socket, double</w:t>
      </w:r>
    </w:p>
    <w:p>
      <w:pPr>
        <w:pStyle w:val="Normal"/>
        <w:numPr>
          <w:ilvl w:val="1"/>
          <w:numId w:val="1"/>
        </w:numPr>
        <w:rPr>
          <w:b/>
          <w:bCs/>
        </w:rPr>
      </w:pPr>
      <w:r>
        <w:rPr/>
        <w:t xml:space="preserve">All sockets should be connected to the existing power grid </w:t>
      </w:r>
      <w:r>
        <w:rPr/>
        <w:t>and an electrical compliance certificate must be supplied.</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Segoe UI">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right"/>
      <w:pPr>
        <w:tabs>
          <w:tab w:val="num" w:pos="360"/>
        </w:tabs>
        <w:ind w:left="360" w:hanging="360"/>
      </w:pPr>
      <w:rPr>
        <w:rFonts w:ascii="Symbol" w:hAnsi="Symbol" w:cs="Symbol" w:hint="default"/>
      </w:rPr>
    </w:lvl>
    <w:lvl w:ilvl="1">
      <w:start w:val="1"/>
      <w:numFmt w:val="bullet"/>
      <w:lvlText w:val="◦"/>
      <w:lvlJc w:val="right"/>
      <w:pPr>
        <w:tabs>
          <w:tab w:val="num" w:pos="720"/>
        </w:tabs>
        <w:ind w:left="720" w:hanging="360"/>
      </w:pPr>
      <w:rPr>
        <w:rFonts w:ascii="OpenSymbol" w:hAnsi="OpenSymbol" w:cs="OpenSymbol" w:hint="default"/>
      </w:rPr>
    </w:lvl>
    <w:lvl w:ilvl="2">
      <w:start w:val="1"/>
      <w:numFmt w:val="bullet"/>
      <w:lvlText w:val="▪"/>
      <w:lvlJc w:val="right"/>
      <w:pPr>
        <w:tabs>
          <w:tab w:val="num" w:pos="1080"/>
        </w:tabs>
        <w:ind w:left="1080" w:hanging="360"/>
      </w:pPr>
      <w:rPr>
        <w:rFonts w:ascii="OpenSymbol" w:hAnsi="OpenSymbol" w:cs="OpenSymbol" w:hint="default"/>
      </w:rPr>
    </w:lvl>
    <w:lvl w:ilvl="3">
      <w:start w:val="1"/>
      <w:numFmt w:val="bullet"/>
      <w:lvlText w:val=""/>
      <w:lvlJc w:val="right"/>
      <w:pPr>
        <w:tabs>
          <w:tab w:val="num" w:pos="1440"/>
        </w:tabs>
        <w:ind w:left="1440" w:hanging="360"/>
      </w:pPr>
      <w:rPr>
        <w:rFonts w:ascii="Symbol" w:hAnsi="Symbol" w:cs="Symbol" w:hint="default"/>
      </w:rPr>
    </w:lvl>
    <w:lvl w:ilvl="4">
      <w:start w:val="1"/>
      <w:numFmt w:val="bullet"/>
      <w:lvlText w:val="◦"/>
      <w:lvlJc w:val="right"/>
      <w:pPr>
        <w:tabs>
          <w:tab w:val="num" w:pos="1800"/>
        </w:tabs>
        <w:ind w:left="1800" w:hanging="360"/>
      </w:pPr>
      <w:rPr>
        <w:rFonts w:ascii="OpenSymbol" w:hAnsi="OpenSymbol" w:cs="OpenSymbol" w:hint="default"/>
      </w:rPr>
    </w:lvl>
    <w:lvl w:ilvl="5">
      <w:start w:val="1"/>
      <w:numFmt w:val="bullet"/>
      <w:lvlText w:val="▪"/>
      <w:lvlJc w:val="right"/>
      <w:pPr>
        <w:tabs>
          <w:tab w:val="num" w:pos="2160"/>
        </w:tabs>
        <w:ind w:left="2160" w:hanging="360"/>
      </w:pPr>
      <w:rPr>
        <w:rFonts w:ascii="OpenSymbol" w:hAnsi="OpenSymbol" w:cs="OpenSymbol" w:hint="default"/>
      </w:rPr>
    </w:lvl>
    <w:lvl w:ilvl="6">
      <w:start w:val="1"/>
      <w:numFmt w:val="bullet"/>
      <w:lvlText w:val=""/>
      <w:lvlJc w:val="right"/>
      <w:pPr>
        <w:tabs>
          <w:tab w:val="num" w:pos="2520"/>
        </w:tabs>
        <w:ind w:left="2520" w:hanging="360"/>
      </w:pPr>
      <w:rPr>
        <w:rFonts w:ascii="Symbol" w:hAnsi="Symbol" w:cs="Symbol" w:hint="default"/>
      </w:rPr>
    </w:lvl>
    <w:lvl w:ilvl="7">
      <w:start w:val="1"/>
      <w:numFmt w:val="bullet"/>
      <w:lvlText w:val="◦"/>
      <w:lvlJc w:val="right"/>
      <w:pPr>
        <w:tabs>
          <w:tab w:val="num" w:pos="2880"/>
        </w:tabs>
        <w:ind w:left="2880" w:hanging="360"/>
      </w:pPr>
      <w:rPr>
        <w:rFonts w:ascii="OpenSymbol" w:hAnsi="OpenSymbol" w:cs="OpenSymbol" w:hint="default"/>
      </w:rPr>
    </w:lvl>
    <w:lvl w:ilvl="8">
      <w:start w:val="1"/>
      <w:numFmt w:val="bullet"/>
      <w:lvlText w:val="▪"/>
      <w:lvlJc w:val="right"/>
      <w:pPr>
        <w:tabs>
          <w:tab w:val="num" w:pos="3240"/>
        </w:tabs>
        <w:ind w:left="324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Z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GB"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FreeSans"/>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4b30fc"/>
    <w:rPr>
      <w:sz w:val="16"/>
      <w:szCs w:val="16"/>
    </w:rPr>
  </w:style>
  <w:style w:type="character" w:styleId="CommentTextChar" w:customStyle="1">
    <w:name w:val="Comment Text Char"/>
    <w:basedOn w:val="DefaultParagraphFont"/>
    <w:link w:val="Annotationtext"/>
    <w:uiPriority w:val="99"/>
    <w:semiHidden/>
    <w:qFormat/>
    <w:rsid w:val="004b30fc"/>
    <w:rPr>
      <w:rFonts w:cs="Mangal"/>
      <w:sz w:val="20"/>
      <w:szCs w:val="18"/>
    </w:rPr>
  </w:style>
  <w:style w:type="character" w:styleId="CommentSubjectChar" w:customStyle="1">
    <w:name w:val="Comment Subject Char"/>
    <w:basedOn w:val="CommentTextChar"/>
    <w:link w:val="Annotationsubject"/>
    <w:uiPriority w:val="99"/>
    <w:semiHidden/>
    <w:qFormat/>
    <w:rsid w:val="004b30fc"/>
    <w:rPr>
      <w:rFonts w:cs="Mangal"/>
      <w:b/>
      <w:bCs/>
      <w:sz w:val="20"/>
      <w:szCs w:val="18"/>
    </w:rPr>
  </w:style>
  <w:style w:type="character" w:styleId="BalloonTextChar" w:customStyle="1">
    <w:name w:val="Balloon Text Char"/>
    <w:basedOn w:val="DefaultParagraphFont"/>
    <w:link w:val="BalloonText"/>
    <w:uiPriority w:val="99"/>
    <w:semiHidden/>
    <w:qFormat/>
    <w:rsid w:val="004b30fc"/>
    <w:rPr>
      <w:rFonts w:ascii="Segoe UI" w:hAnsi="Segoe UI" w:cs="Mangal"/>
      <w:sz w:val="18"/>
      <w:szCs w:val="16"/>
    </w:rPr>
  </w:style>
  <w:style w:type="character" w:styleId="LineNumbering">
    <w:name w:val="Line Number"/>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Annotationtext">
    <w:name w:val="annotation text"/>
    <w:basedOn w:val="Normal"/>
    <w:link w:val="CommentTextChar"/>
    <w:uiPriority w:val="99"/>
    <w:semiHidden/>
    <w:unhideWhenUsed/>
    <w:qFormat/>
    <w:rsid w:val="004b30fc"/>
    <w:pPr/>
    <w:rPr>
      <w:rFonts w:cs="Mangal"/>
      <w:sz w:val="20"/>
      <w:szCs w:val="18"/>
    </w:rPr>
  </w:style>
  <w:style w:type="paragraph" w:styleId="Annotationsubject">
    <w:name w:val="annotation subject"/>
    <w:basedOn w:val="Annotationtext"/>
    <w:next w:val="Annotationtext"/>
    <w:link w:val="CommentSubjectChar"/>
    <w:uiPriority w:val="99"/>
    <w:semiHidden/>
    <w:unhideWhenUsed/>
    <w:qFormat/>
    <w:rsid w:val="004b30fc"/>
    <w:pPr/>
    <w:rPr>
      <w:b/>
      <w:bCs/>
    </w:rPr>
  </w:style>
  <w:style w:type="paragraph" w:styleId="BalloonText">
    <w:name w:val="Balloon Text"/>
    <w:basedOn w:val="Normal"/>
    <w:link w:val="BalloonTextChar"/>
    <w:uiPriority w:val="99"/>
    <w:semiHidden/>
    <w:unhideWhenUsed/>
    <w:qFormat/>
    <w:rsid w:val="004b30fc"/>
    <w:pPr/>
    <w:rPr>
      <w:rFonts w:ascii="Segoe UI" w:hAnsi="Segoe UI" w:cs="Mangal"/>
      <w:sz w:val="18"/>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LibreOffice/7.5.4.2$Linux_X86_64 LibreOffice_project/50$Build-2</Application>
  <AppVersion>15.0000</AppVersion>
  <Pages>2</Pages>
  <Words>719</Words>
  <Characters>3152</Characters>
  <CharactersWithSpaces>3798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2023-07-10T07:37:00Z</dcterms:created>
  <dc:creator>Thabo Phasoana</dc:creator>
  <dc:description/>
  <dc:language>en-GB</dc:language>
  <cp:lastModifiedBy/>
  <dcterms:modified xsi:type="dcterms:W3CDTF">2023-07-14T14:58:34Z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