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7553" w14:textId="3049798B" w:rsidR="002816DF" w:rsidRDefault="002816DF" w:rsidP="003B02DA">
      <w:pPr>
        <w:spacing w:after="160" w:line="259" w:lineRule="auto"/>
        <w:rPr>
          <w:rFonts w:ascii="Arial" w:eastAsia="Calibri" w:hAnsi="Arial" w:cs="Arial"/>
          <w:noProof/>
        </w:rPr>
      </w:pPr>
      <w:r>
        <w:rPr>
          <w:rFonts w:ascii="Arial" w:eastAsia="Calibri" w:hAnsi="Arial" w:cs="Arial"/>
          <w:noProof/>
        </w:rPr>
        <w:t>Each bidder must indicate with an “</w:t>
      </w:r>
      <w:r w:rsidRPr="00992D19">
        <w:rPr>
          <w:rFonts w:ascii="Arial" w:eastAsia="Calibri" w:hAnsi="Arial" w:cs="Arial"/>
          <w:b/>
          <w:noProof/>
        </w:rPr>
        <w:t>X” in Table 1</w:t>
      </w:r>
      <w:r>
        <w:rPr>
          <w:rFonts w:ascii="Arial" w:eastAsia="Calibri" w:hAnsi="Arial" w:cs="Arial"/>
          <w:noProof/>
        </w:rPr>
        <w:t xml:space="preserve"> below if it agrees with the following conditions of contract of the bid. </w:t>
      </w:r>
      <w:r w:rsidRPr="00992D19">
        <w:rPr>
          <w:rFonts w:ascii="Arial" w:eastAsia="Calibri" w:hAnsi="Arial" w:cs="Arial"/>
          <w:b/>
          <w:noProof/>
        </w:rPr>
        <w:t>Each bidder must include in its proposal a completed copy of Table 1 below</w:t>
      </w:r>
      <w:r>
        <w:rPr>
          <w:rFonts w:ascii="Arial" w:eastAsia="Calibri" w:hAnsi="Arial" w:cs="Arial"/>
          <w:noProof/>
        </w:rPr>
        <w:t xml:space="preserve">. In the event that a bidder does not or fails to indicate with an </w:t>
      </w:r>
      <w:r w:rsidRPr="00125F07">
        <w:rPr>
          <w:rFonts w:ascii="Arial" w:eastAsia="Calibri" w:hAnsi="Arial" w:cs="Arial"/>
          <w:b/>
          <w:noProof/>
        </w:rPr>
        <w:t>“X”</w:t>
      </w:r>
      <w:r>
        <w:rPr>
          <w:rFonts w:ascii="Arial" w:eastAsia="Calibri" w:hAnsi="Arial" w:cs="Arial"/>
          <w:noProof/>
        </w:rPr>
        <w:t xml:space="preserve"> whether it agrees with a particular conditon of contract set out in </w:t>
      </w:r>
      <w:r w:rsidRPr="00125F07">
        <w:rPr>
          <w:rFonts w:ascii="Arial" w:eastAsia="Calibri" w:hAnsi="Arial" w:cs="Arial"/>
          <w:b/>
          <w:noProof/>
        </w:rPr>
        <w:t>Table 1</w:t>
      </w:r>
      <w:r>
        <w:rPr>
          <w:rFonts w:ascii="Arial" w:eastAsia="Calibri" w:hAnsi="Arial" w:cs="Arial"/>
          <w:noProof/>
        </w:rPr>
        <w:t xml:space="preserve"> below, it will be assumed that the bidder does not agree to the conditions of contract and </w:t>
      </w:r>
      <w:r w:rsidR="00A81817">
        <w:rPr>
          <w:rFonts w:ascii="Arial" w:eastAsia="Calibri" w:hAnsi="Arial" w:cs="Arial"/>
          <w:noProof/>
        </w:rPr>
        <w:t>that such</w:t>
      </w:r>
      <w:r>
        <w:rPr>
          <w:rFonts w:ascii="Arial" w:eastAsia="Calibri" w:hAnsi="Arial" w:cs="Arial"/>
          <w:noProof/>
        </w:rPr>
        <w:t xml:space="preserve"> failure to submit as part of its proposal a completed copy of </w:t>
      </w:r>
      <w:r w:rsidRPr="001051DC">
        <w:rPr>
          <w:rFonts w:ascii="Arial" w:eastAsia="Calibri" w:hAnsi="Arial" w:cs="Arial"/>
          <w:b/>
          <w:noProof/>
        </w:rPr>
        <w:t>Table 1</w:t>
      </w:r>
      <w:r>
        <w:rPr>
          <w:rFonts w:ascii="Arial" w:eastAsia="Calibri" w:hAnsi="Arial" w:cs="Arial"/>
          <w:noProof/>
        </w:rPr>
        <w:t xml:space="preserve">, will lead to disqualification of that bidder’s bid.  </w:t>
      </w:r>
    </w:p>
    <w:p w14:paraId="1E9AAD79" w14:textId="77777777" w:rsidR="002816DF" w:rsidRDefault="002816DF" w:rsidP="003B02DA">
      <w:pPr>
        <w:spacing w:after="160" w:line="259" w:lineRule="auto"/>
        <w:rPr>
          <w:rFonts w:ascii="Arial" w:eastAsia="Calibri" w:hAnsi="Arial" w:cs="Arial"/>
          <w:b/>
          <w:noProof/>
        </w:rPr>
      </w:pPr>
      <w:r w:rsidRPr="00125F07">
        <w:rPr>
          <w:rFonts w:ascii="Arial" w:eastAsia="Calibri" w:hAnsi="Arial" w:cs="Arial"/>
          <w:b/>
          <w:noProof/>
        </w:rPr>
        <w:t>Table 1</w:t>
      </w:r>
    </w:p>
    <w:tbl>
      <w:tblPr>
        <w:tblStyle w:val="TableGrid"/>
        <w:tblW w:w="0" w:type="auto"/>
        <w:tblInd w:w="-5" w:type="dxa"/>
        <w:tblLook w:val="04A0" w:firstRow="1" w:lastRow="0" w:firstColumn="1" w:lastColumn="0" w:noHBand="0" w:noVBand="1"/>
      </w:tblPr>
      <w:tblGrid>
        <w:gridCol w:w="897"/>
        <w:gridCol w:w="6023"/>
        <w:gridCol w:w="986"/>
        <w:gridCol w:w="1115"/>
      </w:tblGrid>
      <w:tr w:rsidR="002816DF" w14:paraId="68FD7104" w14:textId="77777777" w:rsidTr="003B02DA">
        <w:trPr>
          <w:trHeight w:val="521"/>
        </w:trPr>
        <w:tc>
          <w:tcPr>
            <w:tcW w:w="892" w:type="dxa"/>
          </w:tcPr>
          <w:p w14:paraId="2EFDB6E7" w14:textId="77777777" w:rsidR="002816DF" w:rsidRPr="005A4405" w:rsidRDefault="002816DF" w:rsidP="00D17D25">
            <w:pPr>
              <w:spacing w:after="160" w:line="259" w:lineRule="auto"/>
              <w:rPr>
                <w:rFonts w:ascii="Arial" w:eastAsia="Calibri" w:hAnsi="Arial" w:cs="Arial"/>
                <w:b/>
                <w:noProof/>
                <w:sz w:val="18"/>
                <w:szCs w:val="18"/>
              </w:rPr>
            </w:pPr>
            <w:r w:rsidRPr="005A4405">
              <w:rPr>
                <w:rFonts w:ascii="Arial" w:eastAsia="Calibri" w:hAnsi="Arial" w:cs="Arial"/>
                <w:b/>
                <w:noProof/>
                <w:sz w:val="18"/>
                <w:szCs w:val="18"/>
              </w:rPr>
              <w:t xml:space="preserve"> Number  </w:t>
            </w:r>
          </w:p>
        </w:tc>
        <w:tc>
          <w:tcPr>
            <w:tcW w:w="6028" w:type="dxa"/>
          </w:tcPr>
          <w:p w14:paraId="565E7B62" w14:textId="77777777" w:rsidR="002816DF" w:rsidRPr="005A4405" w:rsidRDefault="002816DF" w:rsidP="00D17D25">
            <w:pPr>
              <w:spacing w:after="160" w:line="259" w:lineRule="auto"/>
              <w:rPr>
                <w:rFonts w:ascii="Arial" w:eastAsia="Calibri" w:hAnsi="Arial" w:cs="Arial"/>
                <w:b/>
                <w:noProof/>
                <w:sz w:val="18"/>
                <w:szCs w:val="18"/>
              </w:rPr>
            </w:pPr>
            <w:r w:rsidRPr="005A4405">
              <w:rPr>
                <w:rFonts w:ascii="Arial" w:eastAsia="Calibri" w:hAnsi="Arial" w:cs="Arial"/>
                <w:b/>
                <w:noProof/>
                <w:sz w:val="18"/>
                <w:szCs w:val="18"/>
              </w:rPr>
              <w:t xml:space="preserve">Conditions of Contract </w:t>
            </w:r>
          </w:p>
        </w:tc>
        <w:tc>
          <w:tcPr>
            <w:tcW w:w="986" w:type="dxa"/>
          </w:tcPr>
          <w:p w14:paraId="01B032AD" w14:textId="77777777" w:rsidR="002816DF" w:rsidRPr="005A4405" w:rsidRDefault="002816DF" w:rsidP="00D17D25">
            <w:pPr>
              <w:spacing w:after="160" w:line="259" w:lineRule="auto"/>
              <w:rPr>
                <w:rFonts w:ascii="Arial" w:eastAsia="Calibri" w:hAnsi="Arial" w:cs="Arial"/>
                <w:b/>
                <w:noProof/>
                <w:sz w:val="18"/>
                <w:szCs w:val="18"/>
              </w:rPr>
            </w:pPr>
            <w:r w:rsidRPr="005A4405">
              <w:rPr>
                <w:rFonts w:ascii="Arial" w:eastAsia="Calibri" w:hAnsi="Arial" w:cs="Arial"/>
                <w:b/>
                <w:noProof/>
                <w:sz w:val="18"/>
                <w:szCs w:val="18"/>
              </w:rPr>
              <w:t>Agree</w:t>
            </w:r>
          </w:p>
        </w:tc>
        <w:tc>
          <w:tcPr>
            <w:tcW w:w="1115" w:type="dxa"/>
          </w:tcPr>
          <w:p w14:paraId="5F94C2AE" w14:textId="77777777" w:rsidR="002816DF" w:rsidRPr="005A4405" w:rsidRDefault="002816DF" w:rsidP="00D17D25">
            <w:pPr>
              <w:spacing w:after="160" w:line="259" w:lineRule="auto"/>
              <w:rPr>
                <w:rFonts w:ascii="Arial" w:eastAsia="Calibri" w:hAnsi="Arial" w:cs="Arial"/>
                <w:b/>
                <w:noProof/>
                <w:sz w:val="18"/>
                <w:szCs w:val="18"/>
              </w:rPr>
            </w:pPr>
            <w:r w:rsidRPr="005A4405">
              <w:rPr>
                <w:rFonts w:ascii="Arial" w:eastAsia="Calibri" w:hAnsi="Arial" w:cs="Arial"/>
                <w:b/>
                <w:noProof/>
                <w:sz w:val="18"/>
                <w:szCs w:val="18"/>
              </w:rPr>
              <w:t xml:space="preserve">Do not Agree </w:t>
            </w:r>
          </w:p>
        </w:tc>
      </w:tr>
      <w:tr w:rsidR="002816DF" w:rsidRPr="00125F07" w14:paraId="0F7AF0E2" w14:textId="77777777" w:rsidTr="003B02DA">
        <w:trPr>
          <w:trHeight w:val="917"/>
        </w:trPr>
        <w:tc>
          <w:tcPr>
            <w:tcW w:w="892" w:type="dxa"/>
          </w:tcPr>
          <w:p w14:paraId="5DE59532" w14:textId="77777777" w:rsidR="002816DF" w:rsidRPr="005A4405" w:rsidRDefault="002816DF" w:rsidP="002816DF">
            <w:pPr>
              <w:pStyle w:val="ListParagraph"/>
              <w:numPr>
                <w:ilvl w:val="0"/>
                <w:numId w:val="1"/>
              </w:numPr>
              <w:spacing w:after="160" w:line="259" w:lineRule="auto"/>
              <w:rPr>
                <w:rFonts w:ascii="Arial" w:eastAsia="Calibri" w:hAnsi="Arial" w:cs="Arial"/>
                <w:noProof/>
                <w:sz w:val="18"/>
                <w:szCs w:val="18"/>
              </w:rPr>
            </w:pPr>
          </w:p>
        </w:tc>
        <w:tc>
          <w:tcPr>
            <w:tcW w:w="6028" w:type="dxa"/>
          </w:tcPr>
          <w:p w14:paraId="4B998AD6" w14:textId="77777777"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The service provider will use a compehensive approach for lifesyle audits including assembling the financial and behavioural profile as well as net-worth and bank deposit analyses methods of each individual as per the Fraud Examiners Manual of the Association of Certified Fraud Examiners. </w:t>
            </w:r>
          </w:p>
        </w:tc>
        <w:tc>
          <w:tcPr>
            <w:tcW w:w="986" w:type="dxa"/>
          </w:tcPr>
          <w:p w14:paraId="5C700E41" w14:textId="77777777" w:rsidR="002816DF" w:rsidRPr="005A4405" w:rsidRDefault="002816DF" w:rsidP="00D17D25">
            <w:pPr>
              <w:spacing w:after="160" w:line="259" w:lineRule="auto"/>
              <w:rPr>
                <w:rFonts w:ascii="Arial" w:eastAsia="Calibri" w:hAnsi="Arial" w:cs="Arial"/>
                <w:noProof/>
                <w:sz w:val="18"/>
                <w:szCs w:val="18"/>
              </w:rPr>
            </w:pPr>
          </w:p>
        </w:tc>
        <w:tc>
          <w:tcPr>
            <w:tcW w:w="1115" w:type="dxa"/>
          </w:tcPr>
          <w:p w14:paraId="51DFBDA3" w14:textId="77777777" w:rsidR="002816DF" w:rsidRPr="005A4405" w:rsidRDefault="002816DF" w:rsidP="00D17D25">
            <w:pPr>
              <w:spacing w:after="160" w:line="259" w:lineRule="auto"/>
              <w:rPr>
                <w:rFonts w:ascii="Arial" w:eastAsia="Calibri" w:hAnsi="Arial" w:cs="Arial"/>
                <w:noProof/>
                <w:sz w:val="18"/>
                <w:szCs w:val="18"/>
              </w:rPr>
            </w:pPr>
          </w:p>
        </w:tc>
      </w:tr>
      <w:tr w:rsidR="002816DF" w:rsidRPr="00125F07" w14:paraId="4E5F59F0" w14:textId="77777777" w:rsidTr="003B02DA">
        <w:tc>
          <w:tcPr>
            <w:tcW w:w="892" w:type="dxa"/>
          </w:tcPr>
          <w:p w14:paraId="7A77B955" w14:textId="77777777" w:rsidR="002816DF" w:rsidRPr="005A4405" w:rsidRDefault="002816DF" w:rsidP="002816DF">
            <w:pPr>
              <w:pStyle w:val="ListParagraph"/>
              <w:numPr>
                <w:ilvl w:val="0"/>
                <w:numId w:val="1"/>
              </w:numPr>
              <w:spacing w:after="160" w:line="259" w:lineRule="auto"/>
              <w:rPr>
                <w:rFonts w:ascii="Arial" w:eastAsia="Calibri" w:hAnsi="Arial" w:cs="Arial"/>
                <w:noProof/>
                <w:sz w:val="18"/>
                <w:szCs w:val="18"/>
              </w:rPr>
            </w:pPr>
          </w:p>
        </w:tc>
        <w:tc>
          <w:tcPr>
            <w:tcW w:w="6028" w:type="dxa"/>
          </w:tcPr>
          <w:p w14:paraId="5E0DEAA9" w14:textId="77777777"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The service provider will finalise the lifestyle audits and submit a final report per individual and a consolidated presentation for the Head of GTAC or designated official within two months after appointments to conduct an assignment. Any request for extension must be done timely and will be subjected to written prior approval and only in exceptional circumstances. Such extensions will not be approved if it is due to delays in performance of work by the project team </w:t>
            </w:r>
          </w:p>
        </w:tc>
        <w:tc>
          <w:tcPr>
            <w:tcW w:w="986" w:type="dxa"/>
          </w:tcPr>
          <w:p w14:paraId="56F04E1A" w14:textId="77777777" w:rsidR="002816DF" w:rsidRPr="005A4405" w:rsidRDefault="002816DF" w:rsidP="00D17D25">
            <w:pPr>
              <w:spacing w:after="160" w:line="259" w:lineRule="auto"/>
              <w:rPr>
                <w:rFonts w:ascii="Arial" w:eastAsia="Calibri" w:hAnsi="Arial" w:cs="Arial"/>
                <w:noProof/>
                <w:sz w:val="18"/>
                <w:szCs w:val="18"/>
              </w:rPr>
            </w:pPr>
          </w:p>
        </w:tc>
        <w:tc>
          <w:tcPr>
            <w:tcW w:w="1115" w:type="dxa"/>
          </w:tcPr>
          <w:p w14:paraId="5BF12D2F" w14:textId="77777777" w:rsidR="002816DF" w:rsidRPr="005A4405" w:rsidRDefault="002816DF" w:rsidP="00D17D25">
            <w:pPr>
              <w:spacing w:after="160" w:line="259" w:lineRule="auto"/>
              <w:rPr>
                <w:rFonts w:ascii="Arial" w:eastAsia="Calibri" w:hAnsi="Arial" w:cs="Arial"/>
                <w:noProof/>
                <w:sz w:val="18"/>
                <w:szCs w:val="18"/>
              </w:rPr>
            </w:pPr>
          </w:p>
        </w:tc>
      </w:tr>
      <w:tr w:rsidR="002816DF" w:rsidRPr="00125F07" w14:paraId="2171DDA6" w14:textId="77777777" w:rsidTr="003B02DA">
        <w:tc>
          <w:tcPr>
            <w:tcW w:w="892" w:type="dxa"/>
          </w:tcPr>
          <w:p w14:paraId="3B0A1B50" w14:textId="77777777" w:rsidR="002816DF" w:rsidRPr="005A4405" w:rsidRDefault="002816DF" w:rsidP="002816DF">
            <w:pPr>
              <w:pStyle w:val="ListParagraph"/>
              <w:numPr>
                <w:ilvl w:val="0"/>
                <w:numId w:val="1"/>
              </w:numPr>
              <w:spacing w:after="160" w:line="259" w:lineRule="auto"/>
              <w:rPr>
                <w:rFonts w:ascii="Arial" w:eastAsia="Calibri" w:hAnsi="Arial" w:cs="Arial"/>
                <w:noProof/>
                <w:sz w:val="18"/>
                <w:szCs w:val="18"/>
              </w:rPr>
            </w:pPr>
          </w:p>
        </w:tc>
        <w:tc>
          <w:tcPr>
            <w:tcW w:w="6028" w:type="dxa"/>
          </w:tcPr>
          <w:p w14:paraId="0DC69EB6" w14:textId="77777777"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The prospective service provider must accept the standard terms and conditions i.e. the bid requirements and The Government Procurement: General Conditions of Contract, 2010 </w:t>
            </w:r>
          </w:p>
        </w:tc>
        <w:tc>
          <w:tcPr>
            <w:tcW w:w="986" w:type="dxa"/>
          </w:tcPr>
          <w:p w14:paraId="17C36D02" w14:textId="77777777" w:rsidR="002816DF" w:rsidRPr="005A4405" w:rsidRDefault="002816DF" w:rsidP="00D17D25">
            <w:pPr>
              <w:spacing w:after="160" w:line="259" w:lineRule="auto"/>
              <w:rPr>
                <w:rFonts w:ascii="Arial" w:eastAsia="Calibri" w:hAnsi="Arial" w:cs="Arial"/>
                <w:noProof/>
                <w:sz w:val="18"/>
                <w:szCs w:val="18"/>
              </w:rPr>
            </w:pPr>
          </w:p>
        </w:tc>
        <w:tc>
          <w:tcPr>
            <w:tcW w:w="1115" w:type="dxa"/>
          </w:tcPr>
          <w:p w14:paraId="3F39A4BE" w14:textId="77777777" w:rsidR="002816DF" w:rsidRPr="005A4405" w:rsidRDefault="002816DF" w:rsidP="00D17D25">
            <w:pPr>
              <w:spacing w:after="160" w:line="259" w:lineRule="auto"/>
              <w:rPr>
                <w:rFonts w:ascii="Arial" w:eastAsia="Calibri" w:hAnsi="Arial" w:cs="Arial"/>
                <w:noProof/>
                <w:sz w:val="18"/>
                <w:szCs w:val="18"/>
              </w:rPr>
            </w:pPr>
          </w:p>
        </w:tc>
      </w:tr>
      <w:tr w:rsidR="002816DF" w:rsidRPr="00125F07" w14:paraId="017E3AFF" w14:textId="77777777" w:rsidTr="003B02DA">
        <w:tc>
          <w:tcPr>
            <w:tcW w:w="892" w:type="dxa"/>
          </w:tcPr>
          <w:p w14:paraId="2850EDDE" w14:textId="77777777" w:rsidR="002816DF" w:rsidRPr="005A4405" w:rsidRDefault="002816DF" w:rsidP="002816DF">
            <w:pPr>
              <w:pStyle w:val="ListParagraph"/>
              <w:numPr>
                <w:ilvl w:val="0"/>
                <w:numId w:val="1"/>
              </w:numPr>
              <w:spacing w:after="160" w:line="259" w:lineRule="auto"/>
              <w:rPr>
                <w:rFonts w:ascii="Arial" w:eastAsia="Calibri" w:hAnsi="Arial" w:cs="Arial"/>
                <w:noProof/>
                <w:sz w:val="18"/>
                <w:szCs w:val="18"/>
              </w:rPr>
            </w:pPr>
          </w:p>
        </w:tc>
        <w:tc>
          <w:tcPr>
            <w:tcW w:w="6028" w:type="dxa"/>
          </w:tcPr>
          <w:p w14:paraId="43C218D8" w14:textId="34C36BEA"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Any subsistance and travel cost will be su</w:t>
            </w:r>
            <w:r w:rsidR="003B02DA">
              <w:rPr>
                <w:rFonts w:ascii="Arial" w:eastAsia="Calibri" w:hAnsi="Arial" w:cs="Arial"/>
                <w:noProof/>
                <w:sz w:val="18"/>
                <w:szCs w:val="18"/>
              </w:rPr>
              <w:t>b</w:t>
            </w:r>
            <w:r w:rsidRPr="005A4405">
              <w:rPr>
                <w:rFonts w:ascii="Arial" w:eastAsia="Calibri" w:hAnsi="Arial" w:cs="Arial"/>
                <w:noProof/>
                <w:sz w:val="18"/>
                <w:szCs w:val="18"/>
              </w:rPr>
              <w:t>jected to an agreed upon budget (as and when required). Travel costs will be limited to a maximum of 400 kilometers per trip (return kilom</w:t>
            </w:r>
            <w:r w:rsidR="003B02DA">
              <w:rPr>
                <w:rFonts w:ascii="Arial" w:eastAsia="Calibri" w:hAnsi="Arial" w:cs="Arial"/>
                <w:noProof/>
                <w:sz w:val="18"/>
                <w:szCs w:val="18"/>
              </w:rPr>
              <w:t>e</w:t>
            </w:r>
            <w:r w:rsidRPr="005A4405">
              <w:rPr>
                <w:rFonts w:ascii="Arial" w:eastAsia="Calibri" w:hAnsi="Arial" w:cs="Arial"/>
                <w:noProof/>
                <w:sz w:val="18"/>
                <w:szCs w:val="18"/>
              </w:rPr>
              <w:t>ters included) only.</w:t>
            </w:r>
          </w:p>
          <w:p w14:paraId="083FDCFB" w14:textId="77777777"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Disbursements will be subjected to the limits as contained in the cost containment instructions. </w:t>
            </w:r>
          </w:p>
          <w:p w14:paraId="150D39BD" w14:textId="77777777"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The rate per kilomenter travelled will be based on the tariffs for the use of motor transport as determined by the National Department of Transport. </w:t>
            </w:r>
          </w:p>
        </w:tc>
        <w:tc>
          <w:tcPr>
            <w:tcW w:w="986" w:type="dxa"/>
          </w:tcPr>
          <w:p w14:paraId="376CD61C" w14:textId="77777777" w:rsidR="002816DF" w:rsidRPr="005A4405" w:rsidRDefault="002816DF" w:rsidP="00D17D25">
            <w:pPr>
              <w:spacing w:after="160" w:line="259" w:lineRule="auto"/>
              <w:rPr>
                <w:rFonts w:ascii="Arial" w:eastAsia="Calibri" w:hAnsi="Arial" w:cs="Arial"/>
                <w:noProof/>
                <w:sz w:val="18"/>
                <w:szCs w:val="18"/>
              </w:rPr>
            </w:pPr>
          </w:p>
        </w:tc>
        <w:tc>
          <w:tcPr>
            <w:tcW w:w="1115" w:type="dxa"/>
          </w:tcPr>
          <w:p w14:paraId="655ED0D4" w14:textId="77777777" w:rsidR="002816DF" w:rsidRPr="005A4405" w:rsidRDefault="002816DF" w:rsidP="00D17D25">
            <w:pPr>
              <w:spacing w:after="160" w:line="259" w:lineRule="auto"/>
              <w:rPr>
                <w:rFonts w:ascii="Arial" w:eastAsia="Calibri" w:hAnsi="Arial" w:cs="Arial"/>
                <w:noProof/>
                <w:sz w:val="18"/>
                <w:szCs w:val="18"/>
              </w:rPr>
            </w:pPr>
          </w:p>
        </w:tc>
      </w:tr>
      <w:tr w:rsidR="002816DF" w:rsidRPr="00125F07" w14:paraId="163BCA05" w14:textId="77777777" w:rsidTr="003B02DA">
        <w:tc>
          <w:tcPr>
            <w:tcW w:w="892" w:type="dxa"/>
          </w:tcPr>
          <w:p w14:paraId="62AA0447" w14:textId="77777777" w:rsidR="002816DF" w:rsidRPr="005A4405" w:rsidRDefault="002816DF" w:rsidP="002816DF">
            <w:pPr>
              <w:pStyle w:val="ListParagraph"/>
              <w:numPr>
                <w:ilvl w:val="0"/>
                <w:numId w:val="1"/>
              </w:numPr>
              <w:spacing w:after="160" w:line="259" w:lineRule="auto"/>
              <w:rPr>
                <w:rFonts w:ascii="Arial" w:eastAsia="Calibri" w:hAnsi="Arial" w:cs="Arial"/>
                <w:noProof/>
                <w:sz w:val="18"/>
                <w:szCs w:val="18"/>
              </w:rPr>
            </w:pPr>
          </w:p>
        </w:tc>
        <w:tc>
          <w:tcPr>
            <w:tcW w:w="6028" w:type="dxa"/>
          </w:tcPr>
          <w:p w14:paraId="2F73081D" w14:textId="77777777"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The service provider must sign a confidentiality and non-disclosure agreement and will ensure that its resources also adhere to the conditions thereof. </w:t>
            </w:r>
          </w:p>
        </w:tc>
        <w:tc>
          <w:tcPr>
            <w:tcW w:w="986" w:type="dxa"/>
          </w:tcPr>
          <w:p w14:paraId="6B0B0A30" w14:textId="77777777" w:rsidR="002816DF" w:rsidRPr="005A4405" w:rsidRDefault="002816DF" w:rsidP="00D17D25">
            <w:pPr>
              <w:spacing w:after="160" w:line="259" w:lineRule="auto"/>
              <w:rPr>
                <w:rFonts w:ascii="Arial" w:eastAsia="Calibri" w:hAnsi="Arial" w:cs="Arial"/>
                <w:noProof/>
                <w:sz w:val="18"/>
                <w:szCs w:val="18"/>
              </w:rPr>
            </w:pPr>
          </w:p>
        </w:tc>
        <w:tc>
          <w:tcPr>
            <w:tcW w:w="1115" w:type="dxa"/>
          </w:tcPr>
          <w:p w14:paraId="2192C27C" w14:textId="77777777" w:rsidR="002816DF" w:rsidRPr="005A4405" w:rsidRDefault="002816DF" w:rsidP="00D17D25">
            <w:pPr>
              <w:spacing w:after="160" w:line="259" w:lineRule="auto"/>
              <w:rPr>
                <w:rFonts w:ascii="Arial" w:eastAsia="Calibri" w:hAnsi="Arial" w:cs="Arial"/>
                <w:noProof/>
                <w:sz w:val="18"/>
                <w:szCs w:val="18"/>
              </w:rPr>
            </w:pPr>
          </w:p>
        </w:tc>
      </w:tr>
      <w:tr w:rsidR="002816DF" w:rsidRPr="00125F07" w14:paraId="5A8F95B4" w14:textId="77777777" w:rsidTr="003B02DA">
        <w:tc>
          <w:tcPr>
            <w:tcW w:w="892" w:type="dxa"/>
          </w:tcPr>
          <w:p w14:paraId="0EC1D36C" w14:textId="77777777" w:rsidR="002816DF" w:rsidRPr="005A4405" w:rsidRDefault="002816DF" w:rsidP="002816DF">
            <w:pPr>
              <w:pStyle w:val="ListParagraph"/>
              <w:numPr>
                <w:ilvl w:val="0"/>
                <w:numId w:val="1"/>
              </w:numPr>
              <w:spacing w:after="160" w:line="259" w:lineRule="auto"/>
              <w:rPr>
                <w:rFonts w:ascii="Arial" w:eastAsia="Calibri" w:hAnsi="Arial" w:cs="Arial"/>
                <w:noProof/>
                <w:sz w:val="18"/>
                <w:szCs w:val="18"/>
              </w:rPr>
            </w:pPr>
          </w:p>
        </w:tc>
        <w:tc>
          <w:tcPr>
            <w:tcW w:w="6028" w:type="dxa"/>
          </w:tcPr>
          <w:p w14:paraId="3CD89327" w14:textId="6CC6329D" w:rsidR="002816DF" w:rsidRPr="005A4405" w:rsidRDefault="002816DF" w:rsidP="00D17D25">
            <w:pPr>
              <w:spacing w:after="160" w:line="259" w:lineRule="auto"/>
              <w:rPr>
                <w:rFonts w:ascii="Arial" w:eastAsia="Calibri" w:hAnsi="Arial" w:cs="Arial"/>
                <w:noProof/>
                <w:sz w:val="18"/>
                <w:szCs w:val="18"/>
              </w:rPr>
            </w:pPr>
            <w:r w:rsidRPr="005A4405">
              <w:rPr>
                <w:rFonts w:ascii="Arial" w:eastAsia="Calibri" w:hAnsi="Arial" w:cs="Arial"/>
                <w:noProof/>
                <w:sz w:val="18"/>
                <w:szCs w:val="18"/>
              </w:rPr>
              <w:t xml:space="preserve">The service provider must, at all times during the terms of the contract, comply with and work within all legislation, regulations, policies and frameworks applicable to </w:t>
            </w:r>
            <w:r w:rsidR="003B02DA">
              <w:rPr>
                <w:rFonts w:ascii="Arial" w:eastAsia="Calibri" w:hAnsi="Arial" w:cs="Arial"/>
                <w:noProof/>
                <w:sz w:val="18"/>
                <w:szCs w:val="18"/>
              </w:rPr>
              <w:t xml:space="preserve">GTAC </w:t>
            </w:r>
            <w:r w:rsidRPr="005A4405">
              <w:rPr>
                <w:rFonts w:ascii="Arial" w:eastAsia="Calibri" w:hAnsi="Arial" w:cs="Arial"/>
                <w:noProof/>
                <w:sz w:val="18"/>
                <w:szCs w:val="18"/>
              </w:rPr>
              <w:t>(including, but not limited to the Protection of Personal Information Act (POPIA), and the Promotion of Access to Information Act (PAIA)</w:t>
            </w:r>
          </w:p>
        </w:tc>
        <w:tc>
          <w:tcPr>
            <w:tcW w:w="986" w:type="dxa"/>
          </w:tcPr>
          <w:p w14:paraId="5B920C7E" w14:textId="77777777" w:rsidR="002816DF" w:rsidRPr="005A4405" w:rsidRDefault="002816DF" w:rsidP="00D17D25">
            <w:pPr>
              <w:spacing w:after="160" w:line="259" w:lineRule="auto"/>
              <w:rPr>
                <w:rFonts w:ascii="Arial" w:eastAsia="Calibri" w:hAnsi="Arial" w:cs="Arial"/>
                <w:noProof/>
                <w:sz w:val="18"/>
                <w:szCs w:val="18"/>
              </w:rPr>
            </w:pPr>
          </w:p>
        </w:tc>
        <w:tc>
          <w:tcPr>
            <w:tcW w:w="1115" w:type="dxa"/>
          </w:tcPr>
          <w:p w14:paraId="0CF62900" w14:textId="77777777" w:rsidR="002816DF" w:rsidRPr="005A4405" w:rsidRDefault="002816DF" w:rsidP="00D17D25">
            <w:pPr>
              <w:spacing w:after="160" w:line="259" w:lineRule="auto"/>
              <w:rPr>
                <w:rFonts w:ascii="Arial" w:eastAsia="Calibri" w:hAnsi="Arial" w:cs="Arial"/>
                <w:noProof/>
                <w:sz w:val="18"/>
                <w:szCs w:val="18"/>
              </w:rPr>
            </w:pPr>
          </w:p>
        </w:tc>
      </w:tr>
    </w:tbl>
    <w:p w14:paraId="3C97C645" w14:textId="77777777" w:rsidR="0034727B" w:rsidRDefault="0034727B"/>
    <w:sectPr w:rsidR="003472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2559" w14:textId="77777777" w:rsidR="00AD71D0" w:rsidRDefault="00AD71D0" w:rsidP="003B02DA">
      <w:r>
        <w:separator/>
      </w:r>
    </w:p>
  </w:endnote>
  <w:endnote w:type="continuationSeparator" w:id="0">
    <w:p w14:paraId="4F3CC8B5" w14:textId="77777777" w:rsidR="00AD71D0" w:rsidRDefault="00AD71D0" w:rsidP="003B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1C830" w14:textId="77777777" w:rsidR="00AD71D0" w:rsidRDefault="00AD71D0" w:rsidP="003B02DA">
      <w:r>
        <w:separator/>
      </w:r>
    </w:p>
  </w:footnote>
  <w:footnote w:type="continuationSeparator" w:id="0">
    <w:p w14:paraId="73DE0313" w14:textId="77777777" w:rsidR="00AD71D0" w:rsidRDefault="00AD71D0" w:rsidP="003B0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1ADE" w14:textId="68010613" w:rsidR="003B02DA" w:rsidRPr="003B02DA" w:rsidRDefault="003B02DA">
    <w:pPr>
      <w:pStyle w:val="Header"/>
      <w:rPr>
        <w:b/>
        <w:bCs/>
      </w:rPr>
    </w:pPr>
    <w:r w:rsidRPr="003B02DA">
      <w:rPr>
        <w:b/>
        <w:bCs/>
      </w:rPr>
      <w:t>LIFESTYLE AUDIT</w:t>
    </w:r>
    <w:r>
      <w:rPr>
        <w:b/>
        <w:bCs/>
      </w:rPr>
      <w:t xml:space="preserve"> CONDITIONS OF CONTRACT TEMPLATE</w:t>
    </w:r>
  </w:p>
  <w:p w14:paraId="1EC6A917" w14:textId="77777777" w:rsidR="003B02DA" w:rsidRDefault="003B0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914D6"/>
    <w:multiLevelType w:val="hybridMultilevel"/>
    <w:tmpl w:val="CBC6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90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6DF"/>
    <w:rsid w:val="002816DF"/>
    <w:rsid w:val="0034727B"/>
    <w:rsid w:val="003B02DA"/>
    <w:rsid w:val="00A81817"/>
    <w:rsid w:val="00AD7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34722"/>
  <w15:chartTrackingRefBased/>
  <w15:docId w15:val="{C1706018-EDF7-4C37-A8FD-2EA33E6D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DF"/>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List Paragraph 1,Standard Paragraph"/>
    <w:basedOn w:val="Normal"/>
    <w:link w:val="ListParagraphChar"/>
    <w:uiPriority w:val="34"/>
    <w:qFormat/>
    <w:rsid w:val="002816DF"/>
    <w:pPr>
      <w:ind w:left="720"/>
      <w:contextualSpacing/>
    </w:pPr>
  </w:style>
  <w:style w:type="table" w:styleId="TableGrid">
    <w:name w:val="Table Grid"/>
    <w:basedOn w:val="TableNormal"/>
    <w:uiPriority w:val="59"/>
    <w:rsid w:val="002816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816DF"/>
    <w:rPr>
      <w:sz w:val="16"/>
      <w:szCs w:val="16"/>
    </w:rPr>
  </w:style>
  <w:style w:type="paragraph" w:styleId="CommentText">
    <w:name w:val="annotation text"/>
    <w:basedOn w:val="Normal"/>
    <w:link w:val="CommentTextChar"/>
    <w:unhideWhenUsed/>
    <w:rsid w:val="002816DF"/>
    <w:rPr>
      <w:sz w:val="20"/>
      <w:szCs w:val="20"/>
    </w:rPr>
  </w:style>
  <w:style w:type="character" w:customStyle="1" w:styleId="CommentTextChar">
    <w:name w:val="Comment Text Char"/>
    <w:basedOn w:val="DefaultParagraphFont"/>
    <w:link w:val="CommentText"/>
    <w:rsid w:val="002816DF"/>
    <w:rPr>
      <w:sz w:val="20"/>
      <w:szCs w:val="20"/>
      <w:lang w:val="en-US"/>
    </w:rPr>
  </w:style>
  <w:style w:type="character" w:customStyle="1" w:styleId="ListParagraphChar">
    <w:name w:val="List Paragraph Char"/>
    <w:aliases w:val="normal Char,List Paragraph 1 Char,Standard Paragraph Char"/>
    <w:link w:val="ListParagraph"/>
    <w:uiPriority w:val="34"/>
    <w:qFormat/>
    <w:locked/>
    <w:rsid w:val="002816DF"/>
    <w:rPr>
      <w:lang w:val="en-US"/>
    </w:rPr>
  </w:style>
  <w:style w:type="paragraph" w:styleId="Header">
    <w:name w:val="header"/>
    <w:basedOn w:val="Normal"/>
    <w:link w:val="HeaderChar"/>
    <w:uiPriority w:val="99"/>
    <w:unhideWhenUsed/>
    <w:rsid w:val="003B02DA"/>
    <w:pPr>
      <w:tabs>
        <w:tab w:val="center" w:pos="4513"/>
        <w:tab w:val="right" w:pos="9026"/>
      </w:tabs>
    </w:pPr>
  </w:style>
  <w:style w:type="character" w:customStyle="1" w:styleId="HeaderChar">
    <w:name w:val="Header Char"/>
    <w:basedOn w:val="DefaultParagraphFont"/>
    <w:link w:val="Header"/>
    <w:uiPriority w:val="99"/>
    <w:rsid w:val="003B02DA"/>
    <w:rPr>
      <w:lang w:val="en-US"/>
    </w:rPr>
  </w:style>
  <w:style w:type="paragraph" w:styleId="Footer">
    <w:name w:val="footer"/>
    <w:basedOn w:val="Normal"/>
    <w:link w:val="FooterChar"/>
    <w:uiPriority w:val="99"/>
    <w:unhideWhenUsed/>
    <w:rsid w:val="003B02DA"/>
    <w:pPr>
      <w:tabs>
        <w:tab w:val="center" w:pos="4513"/>
        <w:tab w:val="right" w:pos="9026"/>
      </w:tabs>
    </w:pPr>
  </w:style>
  <w:style w:type="character" w:customStyle="1" w:styleId="FooterChar">
    <w:name w:val="Footer Char"/>
    <w:basedOn w:val="DefaultParagraphFont"/>
    <w:link w:val="Footer"/>
    <w:uiPriority w:val="99"/>
    <w:rsid w:val="003B02D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1AE238E60C145925E570EEF4DB8CB" ma:contentTypeVersion="14" ma:contentTypeDescription="Create a new document." ma:contentTypeScope="" ma:versionID="174cd147906f98ef8f79778ddab729b4">
  <xsd:schema xmlns:xsd="http://www.w3.org/2001/XMLSchema" xmlns:xs="http://www.w3.org/2001/XMLSchema" xmlns:p="http://schemas.microsoft.com/office/2006/metadata/properties" xmlns:ns2="66631086-28a5-44ee-8e11-a49a3b773f30" xmlns:ns3="fd20b924-dc33-401c-a27e-94ebfa5949da" targetNamespace="http://schemas.microsoft.com/office/2006/metadata/properties" ma:root="true" ma:fieldsID="a4fcc40f5d23ba6404d1815d0a889aa7" ns2:_="" ns3:_="">
    <xsd:import namespace="66631086-28a5-44ee-8e11-a49a3b773f30"/>
    <xsd:import namespace="fd20b924-dc33-401c-a27e-94ebfa594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1086-28a5-44ee-8e11-a49a3b773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20b924-dc33-401c-a27e-94ebfa594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484C8-3316-4477-BB25-0A4AE25CA140}"/>
</file>

<file path=customXml/itemProps2.xml><?xml version="1.0" encoding="utf-8"?>
<ds:datastoreItem xmlns:ds="http://schemas.openxmlformats.org/officeDocument/2006/customXml" ds:itemID="{C0CC56C5-A7DE-4903-8ED0-DB5D9C530C66}"/>
</file>

<file path=docProps/app.xml><?xml version="1.0" encoding="utf-8"?>
<Properties xmlns="http://schemas.openxmlformats.org/officeDocument/2006/extended-properties" xmlns:vt="http://schemas.openxmlformats.org/officeDocument/2006/docPropsVTypes">
  <Template>Normal</Template>
  <TotalTime>8</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Davis</dc:creator>
  <cp:keywords/>
  <dc:description/>
  <cp:lastModifiedBy>Neil Davis</cp:lastModifiedBy>
  <cp:revision>3</cp:revision>
  <dcterms:created xsi:type="dcterms:W3CDTF">2022-09-15T13:35:00Z</dcterms:created>
  <dcterms:modified xsi:type="dcterms:W3CDTF">2022-09-16T09:02:00Z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2022-09-15T13:36:01Z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12131066-62c2-4f71-b522-2b9492dea5ad</vt:lpwstr>
  </property>
  <property fmtid="{D5CDD505-2E9C-101B-9397-08002B2CF9AE}" pid="8" name="MSIP_Label_93c4247e-447d-4732-af29-2e529a4288f1_ContentBits">
    <vt:lpwstr>0</vt:lpwstr>
  </property>
</Properties>
</file>