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6FF4" w14:textId="77777777" w:rsidR="004C3D9A" w:rsidRPr="00DD7250" w:rsidRDefault="004C3D9A" w:rsidP="004C3D9A">
      <w:pPr>
        <w:pStyle w:val="ListParagraph"/>
        <w:numPr>
          <w:ilvl w:val="0"/>
          <w:numId w:val="1"/>
        </w:numPr>
      </w:pPr>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14:paraId="06B0B993" w14:textId="77777777" w:rsidTr="000C1D8B">
        <w:trPr>
          <w:cantSplit/>
          <w:trHeight w:val="1318"/>
          <w:tblHeader/>
          <w:jc w:val="center"/>
        </w:trPr>
        <w:tc>
          <w:tcPr>
            <w:tcW w:w="657" w:type="dxa"/>
            <w:vMerge w:val="restart"/>
            <w:shd w:val="clear" w:color="auto" w:fill="FFFFFF"/>
            <w:vAlign w:val="center"/>
          </w:tcPr>
          <w:p w14:paraId="24F9C0EE"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C6B2369"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14:paraId="553A286B"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14:paraId="332D7055"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14:paraId="713B3016"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14:paraId="68A9E4F2" w14:textId="77777777" w:rsidTr="000C1D8B">
        <w:trPr>
          <w:cantSplit/>
          <w:trHeight w:val="219"/>
          <w:tblHeader/>
          <w:jc w:val="center"/>
        </w:trPr>
        <w:tc>
          <w:tcPr>
            <w:tcW w:w="657" w:type="dxa"/>
            <w:vMerge/>
            <w:shd w:val="clear" w:color="auto" w:fill="FFFFFF"/>
            <w:vAlign w:val="center"/>
          </w:tcPr>
          <w:p w14:paraId="44CC005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136BFF5"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C6F017C"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9989F9B"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F2FC19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14:paraId="3621C3B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485E673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14:paraId="285B5334" w14:textId="77777777" w:rsidTr="000C1D8B">
        <w:trPr>
          <w:trHeight w:val="20"/>
          <w:jc w:val="center"/>
        </w:trPr>
        <w:tc>
          <w:tcPr>
            <w:tcW w:w="657" w:type="dxa"/>
          </w:tcPr>
          <w:p w14:paraId="58C0F473" w14:textId="77777777"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D6EC620" w14:textId="77777777"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14:paraId="1DB3BE7A" w14:textId="77777777" w:rsidR="00572CEB" w:rsidRPr="00DD7250" w:rsidRDefault="00572CEB" w:rsidP="000C1D8B">
            <w:pPr>
              <w:contextualSpacing/>
              <w:rPr>
                <w:rFonts w:ascii="Arial" w:eastAsia="Times New Roman" w:hAnsi="Arial" w:cs="Arial"/>
              </w:rPr>
            </w:pPr>
          </w:p>
        </w:tc>
        <w:tc>
          <w:tcPr>
            <w:tcW w:w="992" w:type="dxa"/>
          </w:tcPr>
          <w:p w14:paraId="139F03BF"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65F7D6B"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26027C97" w14:textId="77777777" w:rsidTr="000C1D8B">
        <w:trPr>
          <w:trHeight w:val="20"/>
          <w:jc w:val="center"/>
        </w:trPr>
        <w:tc>
          <w:tcPr>
            <w:tcW w:w="657" w:type="dxa"/>
          </w:tcPr>
          <w:p w14:paraId="5293C9DB"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AB3B9D8"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14:paraId="2BED3A6F" w14:textId="77777777"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14:paraId="46E7792F" w14:textId="77777777" w:rsidR="004C3D9A" w:rsidRPr="002662E0"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14:paraId="3920D724" w14:textId="77777777"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14:paraId="3BEA5C77" w14:textId="77777777" w:rsidR="004C3D9A" w:rsidRPr="000A72CC"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14:paraId="28EA19A6" w14:textId="77777777" w:rsidR="004C3D9A" w:rsidRPr="00FC1B72"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14:paraId="37E6B5AB"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14:paraId="28D43C16"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14:paraId="7111DF19"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14:paraId="55A8AA62"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14:paraId="429D4572"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14:paraId="267E0A12"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14:paraId="4C551E58"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14:paraId="7879EC95" w14:textId="77777777" w:rsidR="004C3D9A" w:rsidRPr="001B568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14:paraId="78760F6E" w14:textId="77777777" w:rsidR="004C3D9A" w:rsidRPr="00DD7250" w:rsidRDefault="004C3D9A" w:rsidP="000C1D8B">
            <w:pPr>
              <w:contextualSpacing/>
              <w:rPr>
                <w:rFonts w:ascii="Arial" w:eastAsia="Times New Roman" w:hAnsi="Arial" w:cs="Arial"/>
              </w:rPr>
            </w:pPr>
          </w:p>
        </w:tc>
        <w:tc>
          <w:tcPr>
            <w:tcW w:w="992" w:type="dxa"/>
          </w:tcPr>
          <w:p w14:paraId="643AE02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1B709D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7177393C" w14:textId="77777777" w:rsidTr="000C1D8B">
        <w:trPr>
          <w:trHeight w:val="20"/>
          <w:jc w:val="center"/>
        </w:trPr>
        <w:tc>
          <w:tcPr>
            <w:tcW w:w="657" w:type="dxa"/>
          </w:tcPr>
          <w:p w14:paraId="487278C2" w14:textId="77777777" w:rsidR="004C3D9A"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A8F8463" w14:textId="77777777" w:rsidR="004C3D9A" w:rsidRPr="002662E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14:paraId="1ED6C8F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14:paraId="30E8A75D" w14:textId="77777777"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68696962" w14:textId="77777777"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proofErr w:type="gramStart"/>
            <w:r>
              <w:rPr>
                <w:rFonts w:ascii="Arial" w:eastAsia="Times New Roman" w:hAnsi="Arial" w:cs="Arial"/>
              </w:rPr>
              <w:t xml:space="preserve">will </w:t>
            </w:r>
            <w:r w:rsidRPr="00DD7250">
              <w:rPr>
                <w:rFonts w:ascii="Arial" w:eastAsia="Times New Roman" w:hAnsi="Arial" w:cs="Arial"/>
              </w:rPr>
              <w:t xml:space="preserve"> may</w:t>
            </w:r>
            <w:proofErr w:type="gramEnd"/>
            <w:r w:rsidRPr="00DD7250">
              <w:rPr>
                <w:rFonts w:ascii="Arial" w:eastAsia="Times New Roman" w:hAnsi="Arial" w:cs="Arial"/>
              </w:rPr>
              <w:t xml:space="preserve"> serve as a guideline.</w:t>
            </w:r>
          </w:p>
          <w:p w14:paraId="2EFCC332"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1D932E7" w14:textId="77777777" w:rsidR="004C3D9A" w:rsidRPr="00DD7250" w:rsidRDefault="004C3D9A" w:rsidP="000C1D8B">
            <w:pPr>
              <w:ind w:left="360"/>
              <w:contextualSpacing/>
              <w:rPr>
                <w:rFonts w:ascii="Arial" w:eastAsia="Calibri" w:hAnsi="Arial" w:cs="Arial"/>
                <w:lang w:val="en-US"/>
              </w:rPr>
            </w:pPr>
          </w:p>
        </w:tc>
        <w:tc>
          <w:tcPr>
            <w:tcW w:w="992" w:type="dxa"/>
          </w:tcPr>
          <w:p w14:paraId="7482844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E1AB3F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497C0BCA" w14:textId="77777777" w:rsidTr="000C1D8B">
        <w:trPr>
          <w:trHeight w:val="20"/>
          <w:jc w:val="center"/>
        </w:trPr>
        <w:tc>
          <w:tcPr>
            <w:tcW w:w="657" w:type="dxa"/>
          </w:tcPr>
          <w:p w14:paraId="05DBB494"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8AB35F4"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 xml:space="preserve">Baseline Risk </w:t>
            </w:r>
            <w:proofErr w:type="gramStart"/>
            <w:r w:rsidRPr="002662E0">
              <w:rPr>
                <w:rFonts w:ascii="Arial" w:eastAsia="Calibri" w:hAnsi="Arial" w:cs="Arial"/>
                <w:b/>
                <w:lang w:val="en-US"/>
              </w:rPr>
              <w:t>Assessment</w:t>
            </w:r>
            <w:r>
              <w:rPr>
                <w:rFonts w:ascii="Arial" w:eastAsia="Calibri" w:hAnsi="Arial" w:cs="Arial"/>
                <w:lang w:val="en-US"/>
              </w:rPr>
              <w:t xml:space="preserve">  </w:t>
            </w:r>
            <w:r w:rsidRPr="00FC1B72">
              <w:rPr>
                <w:rFonts w:ascii="Arial" w:eastAsia="Calibri" w:hAnsi="Arial" w:cs="Arial"/>
                <w:b/>
                <w:lang w:val="en-US"/>
              </w:rPr>
              <w:t>(</w:t>
            </w:r>
            <w:proofErr w:type="gramEnd"/>
            <w:r w:rsidRPr="00FC1B72">
              <w:rPr>
                <w:rFonts w:ascii="Arial" w:eastAsia="Calibri" w:hAnsi="Arial" w:cs="Arial"/>
                <w:b/>
                <w:lang w:val="en-US"/>
              </w:rPr>
              <w:t>BRA)</w:t>
            </w:r>
          </w:p>
          <w:p w14:paraId="3B41C794"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14:paraId="65924EDB" w14:textId="77777777"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38E81C73" w14:textId="77777777" w:rsidR="004C3D9A" w:rsidRPr="00DD7250" w:rsidRDefault="004C3D9A" w:rsidP="000C1D8B">
            <w:pPr>
              <w:ind w:left="360"/>
              <w:contextualSpacing/>
              <w:rPr>
                <w:rFonts w:ascii="Arial" w:eastAsia="Calibri" w:hAnsi="Arial" w:cs="Arial"/>
                <w:lang w:val="en-US"/>
              </w:rPr>
            </w:pPr>
          </w:p>
        </w:tc>
        <w:tc>
          <w:tcPr>
            <w:tcW w:w="992" w:type="dxa"/>
          </w:tcPr>
          <w:p w14:paraId="3B98290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576B467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1B10EB1B" w14:textId="77777777" w:rsidTr="000C1D8B">
        <w:trPr>
          <w:trHeight w:val="20"/>
          <w:jc w:val="center"/>
        </w:trPr>
        <w:tc>
          <w:tcPr>
            <w:tcW w:w="657" w:type="dxa"/>
          </w:tcPr>
          <w:p w14:paraId="36DD312E"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EB481A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DDF02F7" w14:textId="77777777" w:rsidR="004C3D9A" w:rsidRPr="00DD7250" w:rsidRDefault="004C3D9A" w:rsidP="000C1D8B">
            <w:pPr>
              <w:contextualSpacing/>
              <w:rPr>
                <w:rFonts w:ascii="Arial" w:eastAsia="Calibri" w:hAnsi="Arial" w:cs="Arial"/>
                <w:lang w:val="en-US"/>
              </w:rPr>
            </w:pPr>
          </w:p>
        </w:tc>
        <w:tc>
          <w:tcPr>
            <w:tcW w:w="992" w:type="dxa"/>
          </w:tcPr>
          <w:p w14:paraId="7F819E0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A97C29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458F58B" w14:textId="77777777" w:rsidTr="000C1D8B">
        <w:trPr>
          <w:trHeight w:val="20"/>
          <w:jc w:val="center"/>
        </w:trPr>
        <w:tc>
          <w:tcPr>
            <w:tcW w:w="657" w:type="dxa"/>
          </w:tcPr>
          <w:p w14:paraId="731832E3"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14:paraId="026524A1"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14:paraId="7D3AF932" w14:textId="77777777"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or OSHAS 18001</w:t>
            </w:r>
          </w:p>
        </w:tc>
        <w:tc>
          <w:tcPr>
            <w:tcW w:w="1525" w:type="dxa"/>
          </w:tcPr>
          <w:p w14:paraId="5A76E2A9" w14:textId="77777777" w:rsidR="004C3D9A" w:rsidRPr="00DD7250" w:rsidRDefault="004C3D9A" w:rsidP="000C1D8B">
            <w:pPr>
              <w:contextualSpacing/>
              <w:rPr>
                <w:rFonts w:ascii="Arial" w:eastAsia="Calibri" w:hAnsi="Arial" w:cs="Arial"/>
                <w:lang w:val="en-US"/>
              </w:rPr>
            </w:pPr>
          </w:p>
        </w:tc>
        <w:tc>
          <w:tcPr>
            <w:tcW w:w="992" w:type="dxa"/>
          </w:tcPr>
          <w:p w14:paraId="1DE242B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C27223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ED1DE76" w14:textId="77777777" w:rsidTr="000C1D8B">
        <w:trPr>
          <w:trHeight w:val="20"/>
          <w:jc w:val="center"/>
        </w:trPr>
        <w:tc>
          <w:tcPr>
            <w:tcW w:w="657" w:type="dxa"/>
          </w:tcPr>
          <w:p w14:paraId="73D0B39A"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887208B"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 xml:space="preserve">(Consider scope of work, risks, SHE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e.g.</w:t>
            </w:r>
          </w:p>
          <w:p w14:paraId="62F8493D" w14:textId="77777777" w:rsidR="004C3D9A" w:rsidRPr="007869D4"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14:paraId="6A1E93B5"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p>
          <w:p w14:paraId="32156BD5"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14:paraId="7AD6A57D"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14:paraId="1797A7D2" w14:textId="77777777" w:rsidR="004C3D9A" w:rsidRPr="005B53E3"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14:paraId="300DDD0F" w14:textId="77777777" w:rsidR="004C3D9A" w:rsidRPr="00DD7250" w:rsidRDefault="004C3D9A" w:rsidP="000C1D8B">
            <w:pPr>
              <w:contextualSpacing/>
              <w:rPr>
                <w:rFonts w:ascii="Arial" w:eastAsia="Calibri" w:hAnsi="Arial" w:cs="Arial"/>
                <w:lang w:val="en-US"/>
              </w:rPr>
            </w:pPr>
          </w:p>
        </w:tc>
        <w:tc>
          <w:tcPr>
            <w:tcW w:w="992" w:type="dxa"/>
          </w:tcPr>
          <w:p w14:paraId="1EE66404"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7979F95"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156222C3" w14:textId="77777777" w:rsidTr="000C1D8B">
        <w:trPr>
          <w:trHeight w:val="20"/>
          <w:jc w:val="center"/>
        </w:trPr>
        <w:tc>
          <w:tcPr>
            <w:tcW w:w="657" w:type="dxa"/>
          </w:tcPr>
          <w:p w14:paraId="34502BB6"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02A9AC9A"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14:paraId="424F4E5C" w14:textId="77777777" w:rsidR="004C3D9A" w:rsidRPr="00DD7250" w:rsidRDefault="004C3D9A" w:rsidP="000C1D8B">
            <w:pPr>
              <w:contextualSpacing/>
              <w:rPr>
                <w:rFonts w:ascii="Arial" w:eastAsia="Calibri" w:hAnsi="Arial" w:cs="Arial"/>
                <w:lang w:val="en-US"/>
              </w:rPr>
            </w:pPr>
          </w:p>
        </w:tc>
        <w:tc>
          <w:tcPr>
            <w:tcW w:w="992" w:type="dxa"/>
          </w:tcPr>
          <w:p w14:paraId="777E050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893B3B6" w14:textId="77777777"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14:paraId="70DC5DE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10BDA5C"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4EC4DB1B"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711672E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0543B8F4"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1B2DCD" w14:textId="77777777"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37B8DE0D" w14:textId="77777777" w:rsidR="004C3D9A" w:rsidRDefault="004C3D9A" w:rsidP="004C3D9A">
      <w:pPr>
        <w:pStyle w:val="Reference"/>
        <w:numPr>
          <w:ilvl w:val="0"/>
          <w:numId w:val="0"/>
        </w:numPr>
        <w:rPr>
          <w:rStyle w:val="Instruction"/>
          <w:b/>
          <w:szCs w:val="18"/>
        </w:rPr>
      </w:pPr>
    </w:p>
    <w:p w14:paraId="4A2B64A0" w14:textId="77777777"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14:paraId="122F02CA" w14:textId="77777777" w:rsidTr="000C1D8B">
        <w:trPr>
          <w:cantSplit/>
          <w:trHeight w:val="1318"/>
          <w:tblHeader/>
          <w:jc w:val="center"/>
        </w:trPr>
        <w:tc>
          <w:tcPr>
            <w:tcW w:w="657" w:type="dxa"/>
            <w:vMerge w:val="restart"/>
            <w:shd w:val="clear" w:color="auto" w:fill="FFFFFF"/>
            <w:vAlign w:val="center"/>
          </w:tcPr>
          <w:p w14:paraId="7DC0280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FCCE04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01C4B2C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14:paraId="720B2B7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14:paraId="3190919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14:paraId="364AE20E" w14:textId="77777777" w:rsidTr="000C1D8B">
        <w:trPr>
          <w:cantSplit/>
          <w:trHeight w:val="1338"/>
          <w:tblHeader/>
          <w:jc w:val="center"/>
        </w:trPr>
        <w:tc>
          <w:tcPr>
            <w:tcW w:w="657" w:type="dxa"/>
            <w:vMerge/>
            <w:shd w:val="clear" w:color="auto" w:fill="FFFFFF"/>
            <w:vAlign w:val="center"/>
          </w:tcPr>
          <w:p w14:paraId="308AAF30"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36F99E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B7122F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3E573FF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14:paraId="343D9F4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B152C2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14:paraId="465191F4" w14:textId="77777777" w:rsidTr="000C1D8B">
        <w:trPr>
          <w:trHeight w:val="20"/>
          <w:jc w:val="center"/>
        </w:trPr>
        <w:tc>
          <w:tcPr>
            <w:tcW w:w="657" w:type="dxa"/>
          </w:tcPr>
          <w:p w14:paraId="71CEF46C"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B83BC10" w14:textId="77777777"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77D269C8" w14:textId="77777777" w:rsidR="004C3D9A" w:rsidRPr="00DD7250" w:rsidRDefault="004C3D9A" w:rsidP="000C1D8B">
            <w:pPr>
              <w:contextualSpacing/>
              <w:rPr>
                <w:rFonts w:ascii="Arial" w:eastAsia="Times New Roman" w:hAnsi="Arial" w:cs="Arial"/>
              </w:rPr>
            </w:pPr>
          </w:p>
        </w:tc>
        <w:tc>
          <w:tcPr>
            <w:tcW w:w="992" w:type="dxa"/>
          </w:tcPr>
          <w:p w14:paraId="5E3111C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B84879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3956A12" w14:textId="77777777" w:rsidTr="000C1D8B">
        <w:trPr>
          <w:trHeight w:val="20"/>
          <w:jc w:val="center"/>
        </w:trPr>
        <w:tc>
          <w:tcPr>
            <w:tcW w:w="657" w:type="dxa"/>
          </w:tcPr>
          <w:p w14:paraId="4259140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E62614D" w14:textId="77777777"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4F3BC47A" w14:textId="77777777" w:rsidR="004C3D9A" w:rsidRPr="00DD7250" w:rsidRDefault="004C3D9A" w:rsidP="000C1D8B">
            <w:pPr>
              <w:ind w:left="360"/>
              <w:contextualSpacing/>
              <w:rPr>
                <w:rFonts w:ascii="Arial" w:eastAsia="Calibri" w:hAnsi="Arial" w:cs="Arial"/>
                <w:lang w:val="en-US"/>
              </w:rPr>
            </w:pPr>
          </w:p>
        </w:tc>
        <w:tc>
          <w:tcPr>
            <w:tcW w:w="992" w:type="dxa"/>
          </w:tcPr>
          <w:p w14:paraId="42ED5FC0"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77F2404"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FB47254" w14:textId="77777777" w:rsidTr="000C1D8B">
        <w:trPr>
          <w:trHeight w:val="20"/>
          <w:jc w:val="center"/>
        </w:trPr>
        <w:tc>
          <w:tcPr>
            <w:tcW w:w="657" w:type="dxa"/>
          </w:tcPr>
          <w:p w14:paraId="26130C5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3CDD46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5A48FC" w14:textId="77777777" w:rsidR="004C3D9A" w:rsidRPr="00DD7250" w:rsidRDefault="004C3D9A" w:rsidP="000C1D8B">
            <w:pPr>
              <w:ind w:left="360"/>
              <w:contextualSpacing/>
              <w:rPr>
                <w:rFonts w:ascii="Arial" w:eastAsia="Calibri" w:hAnsi="Arial" w:cs="Arial"/>
                <w:lang w:val="en-US"/>
              </w:rPr>
            </w:pPr>
          </w:p>
        </w:tc>
        <w:tc>
          <w:tcPr>
            <w:tcW w:w="992" w:type="dxa"/>
          </w:tcPr>
          <w:p w14:paraId="04AED60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2555BE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137AB6CF" w14:textId="77777777" w:rsidTr="000C1D8B">
        <w:trPr>
          <w:trHeight w:val="20"/>
          <w:jc w:val="center"/>
        </w:trPr>
        <w:tc>
          <w:tcPr>
            <w:tcW w:w="657" w:type="dxa"/>
          </w:tcPr>
          <w:p w14:paraId="2892FB8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9C90D7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1156AE4" w14:textId="77777777" w:rsidR="004C3D9A" w:rsidRPr="00DD7250" w:rsidRDefault="004C3D9A" w:rsidP="000C1D8B">
            <w:pPr>
              <w:contextualSpacing/>
              <w:rPr>
                <w:rFonts w:ascii="Arial" w:eastAsia="Calibri" w:hAnsi="Arial" w:cs="Arial"/>
                <w:lang w:val="en-US"/>
              </w:rPr>
            </w:pPr>
          </w:p>
        </w:tc>
        <w:tc>
          <w:tcPr>
            <w:tcW w:w="992" w:type="dxa"/>
          </w:tcPr>
          <w:p w14:paraId="4DB26134"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F47E075"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DF6CAEC" w14:textId="77777777" w:rsidTr="000C1D8B">
        <w:trPr>
          <w:trHeight w:val="333"/>
          <w:jc w:val="center"/>
        </w:trPr>
        <w:tc>
          <w:tcPr>
            <w:tcW w:w="657" w:type="dxa"/>
          </w:tcPr>
          <w:p w14:paraId="65C3CF8E" w14:textId="77777777"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14:paraId="23FE68CF" w14:textId="77777777"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14:paraId="72078817" w14:textId="77777777" w:rsidR="004C3D9A" w:rsidRPr="00DD7250" w:rsidRDefault="004C3D9A" w:rsidP="000C1D8B">
            <w:pPr>
              <w:contextualSpacing/>
              <w:rPr>
                <w:rFonts w:ascii="Arial" w:eastAsia="Calibri" w:hAnsi="Arial" w:cs="Arial"/>
                <w:lang w:val="en-US"/>
              </w:rPr>
            </w:pPr>
          </w:p>
        </w:tc>
        <w:tc>
          <w:tcPr>
            <w:tcW w:w="992" w:type="dxa"/>
          </w:tcPr>
          <w:p w14:paraId="25FCD1B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F0640F4" w14:textId="77777777"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FD3AA5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63B511B"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CA34FCD"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603940E4"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14:paraId="0F7B475E" w14:textId="77777777"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076DA124"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8E6E" w14:textId="77777777" w:rsidR="00DA3C46" w:rsidRDefault="00DA3C46" w:rsidP="0028391D">
      <w:pPr>
        <w:spacing w:after="0" w:line="240" w:lineRule="auto"/>
      </w:pPr>
      <w:r>
        <w:separator/>
      </w:r>
    </w:p>
  </w:endnote>
  <w:endnote w:type="continuationSeparator" w:id="0">
    <w:p w14:paraId="5ED2D57C" w14:textId="77777777" w:rsidR="00DA3C46" w:rsidRDefault="00DA3C4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DC2821F" w14:textId="77777777" w:rsidTr="00ED3A94">
      <w:tc>
        <w:tcPr>
          <w:tcW w:w="15168" w:type="dxa"/>
          <w:gridSpan w:val="2"/>
          <w:tcBorders>
            <w:top w:val="nil"/>
            <w:left w:val="nil"/>
            <w:bottom w:val="nil"/>
            <w:right w:val="nil"/>
          </w:tcBorders>
          <w:vAlign w:val="center"/>
        </w:tcPr>
        <w:p w14:paraId="1C4CEA3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FCBE22E" w14:textId="77777777" w:rsidTr="00ED3A94">
      <w:trPr>
        <w:trHeight w:val="910"/>
      </w:trPr>
      <w:tc>
        <w:tcPr>
          <w:tcW w:w="15168" w:type="dxa"/>
          <w:gridSpan w:val="2"/>
          <w:tcBorders>
            <w:top w:val="nil"/>
            <w:left w:val="nil"/>
            <w:bottom w:val="nil"/>
            <w:right w:val="nil"/>
          </w:tcBorders>
        </w:tcPr>
        <w:p w14:paraId="3A06AAF1"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F60FFAA" wp14:editId="373CF6E6">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1D56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2748E15"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0FFAA"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0451D56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2748E15"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CD8A490" w14:textId="77777777" w:rsidR="00ED3A94" w:rsidRDefault="00ED3A94" w:rsidP="00CF7037">
          <w:pPr>
            <w:rPr>
              <w:rFonts w:ascii="Arial" w:hAnsi="Arial" w:cs="Arial"/>
              <w:sz w:val="20"/>
              <w:szCs w:val="20"/>
              <w:lang w:val="en-GB"/>
            </w:rPr>
          </w:pPr>
        </w:p>
        <w:p w14:paraId="0E2DE6F5" w14:textId="77777777" w:rsidR="00ED3A94" w:rsidRDefault="00ED3A94" w:rsidP="00CF7037">
          <w:pPr>
            <w:rPr>
              <w:rFonts w:ascii="Arial" w:hAnsi="Arial" w:cs="Arial"/>
              <w:sz w:val="20"/>
              <w:szCs w:val="20"/>
              <w:lang w:val="en-GB"/>
            </w:rPr>
          </w:pPr>
        </w:p>
        <w:p w14:paraId="1201F2CA" w14:textId="77777777" w:rsidR="00ED3A94" w:rsidRDefault="00ED3A94" w:rsidP="00CF7037">
          <w:pPr>
            <w:rPr>
              <w:rFonts w:ascii="Arial" w:hAnsi="Arial" w:cs="Arial"/>
              <w:sz w:val="20"/>
              <w:szCs w:val="20"/>
              <w:lang w:val="en-GB"/>
            </w:rPr>
          </w:pPr>
        </w:p>
      </w:tc>
    </w:tr>
    <w:tr w:rsidR="00ED3A94" w14:paraId="7C0C9804" w14:textId="77777777" w:rsidTr="00ED3A94">
      <w:tc>
        <w:tcPr>
          <w:tcW w:w="10773" w:type="dxa"/>
          <w:tcBorders>
            <w:top w:val="nil"/>
            <w:left w:val="nil"/>
            <w:bottom w:val="nil"/>
            <w:right w:val="nil"/>
          </w:tcBorders>
          <w:vAlign w:val="center"/>
        </w:tcPr>
        <w:p w14:paraId="7BB104C1"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1105EA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F55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F550A">
            <w:rPr>
              <w:rFonts w:ascii="Arial" w:hAnsi="Arial" w:cs="Arial"/>
              <w:noProof/>
              <w:sz w:val="18"/>
              <w:szCs w:val="18"/>
            </w:rPr>
            <w:t>4</w:t>
          </w:r>
          <w:r w:rsidRPr="0047798B">
            <w:rPr>
              <w:rFonts w:ascii="Arial" w:hAnsi="Arial" w:cs="Arial"/>
              <w:sz w:val="18"/>
              <w:szCs w:val="18"/>
            </w:rPr>
            <w:fldChar w:fldCharType="end"/>
          </w:r>
        </w:p>
      </w:tc>
    </w:tr>
  </w:tbl>
  <w:p w14:paraId="0A30BFC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0CBD" w14:textId="77777777" w:rsidR="00DA3C46" w:rsidRDefault="00DA3C46" w:rsidP="0028391D">
      <w:pPr>
        <w:spacing w:after="0" w:line="240" w:lineRule="auto"/>
      </w:pPr>
      <w:r>
        <w:separator/>
      </w:r>
    </w:p>
  </w:footnote>
  <w:footnote w:type="continuationSeparator" w:id="0">
    <w:p w14:paraId="06C148E9" w14:textId="77777777" w:rsidR="00DA3C46" w:rsidRDefault="00DA3C4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CD851A" w14:textId="77777777" w:rsidTr="002C5969">
      <w:trPr>
        <w:cantSplit/>
        <w:trHeight w:val="263"/>
      </w:trPr>
      <w:tc>
        <w:tcPr>
          <w:tcW w:w="2410" w:type="dxa"/>
          <w:vMerge w:val="restart"/>
          <w:vAlign w:val="bottom"/>
        </w:tcPr>
        <w:p w14:paraId="416D9A66"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625B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7460591" r:id="rId2"/>
            </w:object>
          </w:r>
        </w:p>
      </w:tc>
      <w:tc>
        <w:tcPr>
          <w:tcW w:w="7938" w:type="dxa"/>
          <w:vMerge w:val="restart"/>
          <w:vAlign w:val="center"/>
        </w:tcPr>
        <w:p w14:paraId="24C90802" w14:textId="77777777"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4F44FD1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AEE07C"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3E6A932"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2F5CD31"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4CD3E42" w14:textId="77777777" w:rsidTr="002C5969">
      <w:trPr>
        <w:cantSplit/>
        <w:trHeight w:val="261"/>
      </w:trPr>
      <w:tc>
        <w:tcPr>
          <w:tcW w:w="2410" w:type="dxa"/>
          <w:vMerge/>
          <w:vAlign w:val="bottom"/>
        </w:tcPr>
        <w:p w14:paraId="4978080B" w14:textId="77777777" w:rsidR="002C5969" w:rsidRPr="003914DE" w:rsidRDefault="002C5969" w:rsidP="00CF7037">
          <w:pPr>
            <w:spacing w:before="840"/>
            <w:rPr>
              <w:rFonts w:ascii="Arial" w:hAnsi="Arial"/>
              <w:b/>
              <w:lang w:val="en-GB"/>
            </w:rPr>
          </w:pPr>
        </w:p>
      </w:tc>
      <w:tc>
        <w:tcPr>
          <w:tcW w:w="7938" w:type="dxa"/>
          <w:vMerge/>
          <w:vAlign w:val="center"/>
        </w:tcPr>
        <w:p w14:paraId="1CD9606B"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A54BB37"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F9F1EB8"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166A6EB5"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C25E4F5" w14:textId="77777777"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5F380BCF" w14:textId="77777777" w:rsidTr="002C5969">
      <w:trPr>
        <w:cantSplit/>
        <w:trHeight w:val="261"/>
      </w:trPr>
      <w:tc>
        <w:tcPr>
          <w:tcW w:w="2410" w:type="dxa"/>
          <w:vMerge/>
          <w:vAlign w:val="bottom"/>
        </w:tcPr>
        <w:p w14:paraId="70DA26BE" w14:textId="77777777" w:rsidR="0028391D" w:rsidRPr="003914DE" w:rsidRDefault="0028391D" w:rsidP="00CF7037">
          <w:pPr>
            <w:spacing w:before="840"/>
            <w:rPr>
              <w:rFonts w:ascii="Arial" w:hAnsi="Arial"/>
              <w:b/>
              <w:lang w:val="en-GB"/>
            </w:rPr>
          </w:pPr>
        </w:p>
      </w:tc>
      <w:tc>
        <w:tcPr>
          <w:tcW w:w="7938" w:type="dxa"/>
          <w:vMerge/>
          <w:vAlign w:val="center"/>
        </w:tcPr>
        <w:p w14:paraId="7C0D2CC6"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07B9B8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10B07D3" w14:textId="77777777" w:rsidR="0028391D" w:rsidRPr="00B34624" w:rsidRDefault="00A41ABE" w:rsidP="00523D87">
          <w:pPr>
            <w:spacing w:after="0"/>
            <w:rPr>
              <w:rFonts w:ascii="Arial" w:hAnsi="Arial"/>
              <w:b/>
              <w:sz w:val="20"/>
              <w:lang w:val="en-GB"/>
            </w:rPr>
          </w:pPr>
          <w:r>
            <w:rPr>
              <w:rFonts w:ascii="Arial" w:hAnsi="Arial"/>
              <w:b/>
              <w:sz w:val="20"/>
              <w:lang w:val="en-GB"/>
            </w:rPr>
            <w:t>November</w:t>
          </w:r>
          <w:r w:rsidR="003B75C3">
            <w:rPr>
              <w:rFonts w:ascii="Arial" w:hAnsi="Arial"/>
              <w:b/>
              <w:sz w:val="20"/>
              <w:lang w:val="en-GB"/>
            </w:rPr>
            <w:t xml:space="preserve"> 2016</w:t>
          </w:r>
        </w:p>
      </w:tc>
    </w:tr>
    <w:tr w:rsidR="0028391D" w:rsidRPr="003914DE" w14:paraId="68C2BB44" w14:textId="77777777" w:rsidTr="002C5969">
      <w:trPr>
        <w:cantSplit/>
        <w:trHeight w:hRule="exact" w:val="261"/>
      </w:trPr>
      <w:tc>
        <w:tcPr>
          <w:tcW w:w="2410" w:type="dxa"/>
          <w:vMerge/>
          <w:vAlign w:val="bottom"/>
        </w:tcPr>
        <w:p w14:paraId="0429DC18" w14:textId="77777777" w:rsidR="0028391D" w:rsidRPr="003914DE" w:rsidRDefault="0028391D" w:rsidP="00CF7037">
          <w:pPr>
            <w:spacing w:before="840"/>
            <w:rPr>
              <w:rFonts w:ascii="Arial" w:hAnsi="Arial"/>
              <w:b/>
              <w:lang w:val="en-GB"/>
            </w:rPr>
          </w:pPr>
        </w:p>
      </w:tc>
      <w:tc>
        <w:tcPr>
          <w:tcW w:w="7938" w:type="dxa"/>
          <w:vMerge/>
          <w:vAlign w:val="center"/>
        </w:tcPr>
        <w:p w14:paraId="54ED3AA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BF08392"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4F43C86" w14:textId="77777777"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3B75C3">
            <w:rPr>
              <w:rFonts w:ascii="Arial" w:hAnsi="Arial"/>
              <w:b/>
              <w:sz w:val="20"/>
              <w:lang w:val="en-GB"/>
            </w:rPr>
            <w:t xml:space="preserve"> 2021</w:t>
          </w:r>
        </w:p>
      </w:tc>
    </w:tr>
  </w:tbl>
  <w:p w14:paraId="119710B3"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6317578">
    <w:abstractNumId w:val="4"/>
  </w:num>
  <w:num w:numId="2" w16cid:durableId="1752120632">
    <w:abstractNumId w:val="1"/>
  </w:num>
  <w:num w:numId="3" w16cid:durableId="1602949412">
    <w:abstractNumId w:val="5"/>
  </w:num>
  <w:num w:numId="4" w16cid:durableId="1854804821">
    <w:abstractNumId w:val="0"/>
  </w:num>
  <w:num w:numId="5" w16cid:durableId="190148061">
    <w:abstractNumId w:val="2"/>
  </w:num>
  <w:num w:numId="6" w16cid:durableId="466558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A3E0E"/>
    <w:rsid w:val="001941FD"/>
    <w:rsid w:val="00196CC6"/>
    <w:rsid w:val="001D5F97"/>
    <w:rsid w:val="00246000"/>
    <w:rsid w:val="0028391D"/>
    <w:rsid w:val="00286EC4"/>
    <w:rsid w:val="002C5969"/>
    <w:rsid w:val="002F550A"/>
    <w:rsid w:val="003043D9"/>
    <w:rsid w:val="003B75C3"/>
    <w:rsid w:val="003E4D3F"/>
    <w:rsid w:val="004734F0"/>
    <w:rsid w:val="004C3D9A"/>
    <w:rsid w:val="00506F5B"/>
    <w:rsid w:val="00522641"/>
    <w:rsid w:val="00523D87"/>
    <w:rsid w:val="00572CEB"/>
    <w:rsid w:val="006737C8"/>
    <w:rsid w:val="006B5CBA"/>
    <w:rsid w:val="0072002E"/>
    <w:rsid w:val="00784567"/>
    <w:rsid w:val="007D2711"/>
    <w:rsid w:val="0083797C"/>
    <w:rsid w:val="00890A6A"/>
    <w:rsid w:val="008A54EF"/>
    <w:rsid w:val="008F3B12"/>
    <w:rsid w:val="00915C6C"/>
    <w:rsid w:val="009246A8"/>
    <w:rsid w:val="00931908"/>
    <w:rsid w:val="009F20F2"/>
    <w:rsid w:val="00A41ABE"/>
    <w:rsid w:val="00A70BE2"/>
    <w:rsid w:val="00B34624"/>
    <w:rsid w:val="00BA3D87"/>
    <w:rsid w:val="00BF13E6"/>
    <w:rsid w:val="00C908F0"/>
    <w:rsid w:val="00CD7A04"/>
    <w:rsid w:val="00D2058A"/>
    <w:rsid w:val="00DA3C46"/>
    <w:rsid w:val="00E13AED"/>
    <w:rsid w:val="00ED3A94"/>
    <w:rsid w:val="00EF231D"/>
    <w:rsid w:val="00EF4E8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FC74A"/>
  <w15:docId w15:val="{21CEC35D-F303-497A-84B5-79125990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522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Bonisiwe Sibiya</cp:lastModifiedBy>
  <cp:revision>2</cp:revision>
  <cp:lastPrinted>2023-08-03T07:14:00Z</cp:lastPrinted>
  <dcterms:created xsi:type="dcterms:W3CDTF">2024-01-22T18:30:00Z</dcterms:created>
  <dcterms:modified xsi:type="dcterms:W3CDTF">2024-01-22T18:30:00Z</dcterms:modified>
</cp:coreProperties>
</file>