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04"/>
        <w:gridCol w:w="5306"/>
        <w:gridCol w:w="3006"/>
      </w:tblGrid>
      <w:tr w:rsidR="005B619D" w14:paraId="56FE74B8" w14:textId="77777777" w:rsidTr="005B619D">
        <w:tc>
          <w:tcPr>
            <w:tcW w:w="704" w:type="dxa"/>
            <w:shd w:val="clear" w:color="auto" w:fill="BFBFBF" w:themeFill="background1" w:themeFillShade="BF"/>
          </w:tcPr>
          <w:p w14:paraId="6D9A77F9" w14:textId="08EA4D7F" w:rsidR="005B619D" w:rsidRPr="005B619D" w:rsidRDefault="005B619D">
            <w:pPr>
              <w:rPr>
                <w:b/>
                <w:bCs/>
              </w:rPr>
            </w:pPr>
            <w:r w:rsidRPr="005B619D">
              <w:rPr>
                <w:b/>
                <w:bCs/>
              </w:rPr>
              <w:t>#</w:t>
            </w:r>
          </w:p>
        </w:tc>
        <w:tc>
          <w:tcPr>
            <w:tcW w:w="5306" w:type="dxa"/>
            <w:shd w:val="clear" w:color="auto" w:fill="BFBFBF" w:themeFill="background1" w:themeFillShade="BF"/>
          </w:tcPr>
          <w:p w14:paraId="59F97781" w14:textId="1DB57636" w:rsidR="005B619D" w:rsidRPr="005B619D" w:rsidRDefault="005B619D">
            <w:pPr>
              <w:rPr>
                <w:b/>
                <w:bCs/>
              </w:rPr>
            </w:pPr>
            <w:r w:rsidRPr="005B619D">
              <w:rPr>
                <w:b/>
                <w:bCs/>
              </w:rPr>
              <w:t>Question</w:t>
            </w:r>
          </w:p>
        </w:tc>
        <w:tc>
          <w:tcPr>
            <w:tcW w:w="3006" w:type="dxa"/>
            <w:shd w:val="clear" w:color="auto" w:fill="BFBFBF" w:themeFill="background1" w:themeFillShade="BF"/>
          </w:tcPr>
          <w:p w14:paraId="526A6701" w14:textId="5B88D9C5" w:rsidR="005B619D" w:rsidRPr="005B619D" w:rsidRDefault="005B619D">
            <w:pPr>
              <w:rPr>
                <w:b/>
                <w:bCs/>
              </w:rPr>
            </w:pPr>
            <w:r w:rsidRPr="005B619D">
              <w:rPr>
                <w:b/>
                <w:bCs/>
              </w:rPr>
              <w:t>Answer</w:t>
            </w:r>
          </w:p>
        </w:tc>
      </w:tr>
      <w:tr w:rsidR="005B619D" w14:paraId="2D769804" w14:textId="77777777" w:rsidTr="005B619D">
        <w:tc>
          <w:tcPr>
            <w:tcW w:w="704" w:type="dxa"/>
          </w:tcPr>
          <w:p w14:paraId="7AD08B23" w14:textId="53732071" w:rsidR="005B619D" w:rsidRDefault="005B619D" w:rsidP="005B619D">
            <w:r>
              <w:t>1.</w:t>
            </w:r>
          </w:p>
        </w:tc>
        <w:tc>
          <w:tcPr>
            <w:tcW w:w="5306" w:type="dxa"/>
          </w:tcPr>
          <w:p w14:paraId="2D76A4D1" w14:textId="74C5D581" w:rsidR="005B619D" w:rsidRDefault="006473C9" w:rsidP="005B619D">
            <w:pPr>
              <w:jc w:val="both"/>
            </w:pPr>
            <w:r w:rsidRPr="006473C9">
              <w:rPr>
                <w:rFonts w:eastAsia="Times New Roman"/>
                <w:sz w:val="24"/>
                <w:szCs w:val="24"/>
                <w:lang w:val="en-US"/>
              </w:rPr>
              <w:t>Could you please confirm the duration and expectation of professionally managed services to be provided by the supplier for the CTEM solution</w:t>
            </w:r>
          </w:p>
        </w:tc>
        <w:tc>
          <w:tcPr>
            <w:tcW w:w="3006" w:type="dxa"/>
          </w:tcPr>
          <w:p w14:paraId="03C3AFCC" w14:textId="7A64692D" w:rsidR="00EE206C" w:rsidRDefault="00EE206C" w:rsidP="00EE206C">
            <w:r>
              <w:t>1.The provision of continuous threat exposure management (CTEM) professional</w:t>
            </w:r>
          </w:p>
          <w:p w14:paraId="3B9DBD5E" w14:textId="053BCFE6" w:rsidR="005B619D" w:rsidRDefault="00EE206C" w:rsidP="00EE206C">
            <w:r>
              <w:t>managed services for a period of five (5) years.</w:t>
            </w:r>
          </w:p>
        </w:tc>
      </w:tr>
      <w:tr w:rsidR="005B619D" w14:paraId="75AA1073" w14:textId="77777777" w:rsidTr="005B619D">
        <w:tc>
          <w:tcPr>
            <w:tcW w:w="704" w:type="dxa"/>
          </w:tcPr>
          <w:p w14:paraId="39B29544" w14:textId="1DF4A2BF" w:rsidR="005B619D" w:rsidRDefault="005B619D" w:rsidP="005B619D">
            <w:r>
              <w:t>2.</w:t>
            </w:r>
          </w:p>
        </w:tc>
        <w:tc>
          <w:tcPr>
            <w:tcW w:w="5306" w:type="dxa"/>
          </w:tcPr>
          <w:p w14:paraId="131513F1" w14:textId="46F8D46A" w:rsidR="005B619D" w:rsidRDefault="006473C9" w:rsidP="005B619D">
            <w:pPr>
              <w:jc w:val="both"/>
            </w:pPr>
            <w:r w:rsidRPr="006473C9">
              <w:rPr>
                <w:rFonts w:eastAsia="Times New Roman"/>
                <w:sz w:val="24"/>
                <w:szCs w:val="24"/>
                <w:lang w:val="en-US"/>
              </w:rPr>
              <w:t>Training/Transfer of Skills – What is the expected timeframe for completing the knowledge transfer? Once this is done, Eskom security resources will take over the maintenance and management of the CTEM platform</w:t>
            </w:r>
          </w:p>
        </w:tc>
        <w:tc>
          <w:tcPr>
            <w:tcW w:w="3006" w:type="dxa"/>
          </w:tcPr>
          <w:p w14:paraId="1E6594F9" w14:textId="6EEC206A" w:rsidR="00EE206C" w:rsidRDefault="00EE206C" w:rsidP="005B619D">
            <w:r>
              <w:t>2.</w:t>
            </w:r>
            <w:r w:rsidRPr="00EE206C">
              <w:t>The knowledge transfer timeline remains flexible and will be finalized in agreement with the service provider.</w:t>
            </w:r>
          </w:p>
          <w:p w14:paraId="6BAF34AF" w14:textId="77777777" w:rsidR="00EE206C" w:rsidRDefault="00EE206C" w:rsidP="005B619D"/>
          <w:p w14:paraId="2AAACDE8" w14:textId="31D5A1DC" w:rsidR="005B619D" w:rsidRDefault="00EE206C" w:rsidP="005B619D">
            <w:r w:rsidRPr="00EE206C">
              <w:t>Eskom security resources will not assume responsibility for the maintenance or overall management of the CTEM platform. Instead, their role will be limited to executing defined operational tasks, which will be mutually agreed upon with the selected service provider in advance.</w:t>
            </w:r>
          </w:p>
        </w:tc>
      </w:tr>
    </w:tbl>
    <w:p w14:paraId="0124F200" w14:textId="77777777" w:rsidR="00980A46" w:rsidRDefault="00980A46"/>
    <w:sectPr w:rsidR="00980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9D"/>
    <w:rsid w:val="001847EE"/>
    <w:rsid w:val="00277ADB"/>
    <w:rsid w:val="00392459"/>
    <w:rsid w:val="00445BC9"/>
    <w:rsid w:val="005023EB"/>
    <w:rsid w:val="005B619D"/>
    <w:rsid w:val="006473C9"/>
    <w:rsid w:val="00850FA8"/>
    <w:rsid w:val="00860F29"/>
    <w:rsid w:val="00980A46"/>
    <w:rsid w:val="00AF4916"/>
    <w:rsid w:val="00C07ADA"/>
    <w:rsid w:val="00D11161"/>
    <w:rsid w:val="00D55D74"/>
    <w:rsid w:val="00E56715"/>
    <w:rsid w:val="00EE20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511DA"/>
  <w15:chartTrackingRefBased/>
  <w15:docId w15:val="{C05DC76A-A981-457B-9306-3E2FDA43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6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6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6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6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6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6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6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6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19D"/>
    <w:rPr>
      <w:rFonts w:eastAsiaTheme="majorEastAsia" w:cstheme="majorBidi"/>
      <w:color w:val="272727" w:themeColor="text1" w:themeTint="D8"/>
    </w:rPr>
  </w:style>
  <w:style w:type="paragraph" w:styleId="Title">
    <w:name w:val="Title"/>
    <w:basedOn w:val="Normal"/>
    <w:next w:val="Normal"/>
    <w:link w:val="TitleChar"/>
    <w:uiPriority w:val="10"/>
    <w:qFormat/>
    <w:rsid w:val="005B6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19D"/>
    <w:pPr>
      <w:spacing w:before="160"/>
      <w:jc w:val="center"/>
    </w:pPr>
    <w:rPr>
      <w:i/>
      <w:iCs/>
      <w:color w:val="404040" w:themeColor="text1" w:themeTint="BF"/>
    </w:rPr>
  </w:style>
  <w:style w:type="character" w:customStyle="1" w:styleId="QuoteChar">
    <w:name w:val="Quote Char"/>
    <w:basedOn w:val="DefaultParagraphFont"/>
    <w:link w:val="Quote"/>
    <w:uiPriority w:val="29"/>
    <w:rsid w:val="005B619D"/>
    <w:rPr>
      <w:i/>
      <w:iCs/>
      <w:color w:val="404040" w:themeColor="text1" w:themeTint="BF"/>
    </w:rPr>
  </w:style>
  <w:style w:type="paragraph" w:styleId="ListParagraph">
    <w:name w:val="List Paragraph"/>
    <w:basedOn w:val="Normal"/>
    <w:uiPriority w:val="34"/>
    <w:qFormat/>
    <w:rsid w:val="005B619D"/>
    <w:pPr>
      <w:ind w:left="720"/>
      <w:contextualSpacing/>
    </w:pPr>
  </w:style>
  <w:style w:type="character" w:styleId="IntenseEmphasis">
    <w:name w:val="Intense Emphasis"/>
    <w:basedOn w:val="DefaultParagraphFont"/>
    <w:uiPriority w:val="21"/>
    <w:qFormat/>
    <w:rsid w:val="005B619D"/>
    <w:rPr>
      <w:i/>
      <w:iCs/>
      <w:color w:val="2F5496" w:themeColor="accent1" w:themeShade="BF"/>
    </w:rPr>
  </w:style>
  <w:style w:type="paragraph" w:styleId="IntenseQuote">
    <w:name w:val="Intense Quote"/>
    <w:basedOn w:val="Normal"/>
    <w:next w:val="Normal"/>
    <w:link w:val="IntenseQuoteChar"/>
    <w:uiPriority w:val="30"/>
    <w:qFormat/>
    <w:rsid w:val="005B6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619D"/>
    <w:rPr>
      <w:i/>
      <w:iCs/>
      <w:color w:val="2F5496" w:themeColor="accent1" w:themeShade="BF"/>
    </w:rPr>
  </w:style>
  <w:style w:type="character" w:styleId="IntenseReference">
    <w:name w:val="Intense Reference"/>
    <w:basedOn w:val="DefaultParagraphFont"/>
    <w:uiPriority w:val="32"/>
    <w:qFormat/>
    <w:rsid w:val="005B619D"/>
    <w:rPr>
      <w:b/>
      <w:bCs/>
      <w:smallCaps/>
      <w:color w:val="2F5496" w:themeColor="accent1" w:themeShade="BF"/>
      <w:spacing w:val="5"/>
    </w:rPr>
  </w:style>
  <w:style w:type="table" w:styleId="TableGrid">
    <w:name w:val="Table Grid"/>
    <w:basedOn w:val="TableNormal"/>
    <w:uiPriority w:val="39"/>
    <w:rsid w:val="005B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765</Characters>
  <Application>Microsoft Office Word</Application>
  <DocSecurity>0</DocSecurity>
  <Lines>6</Lines>
  <Paragraphs>1</Paragraphs>
  <ScaleCrop>false</ScaleCrop>
  <Company>Eskom</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2</cp:revision>
  <dcterms:created xsi:type="dcterms:W3CDTF">2025-10-02T09:55:00Z</dcterms:created>
  <dcterms:modified xsi:type="dcterms:W3CDTF">2025-10-02T09:55:00Z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31f486-f8b5-456b-a19a-dbe0d296c5fd_Enabled">
    <vt:lpwstr>true</vt:lpwstr>
  </property>
  <property fmtid="{D5CDD505-2E9C-101B-9397-08002B2CF9AE}" pid="3" name="MSIP_Label_7331f486-f8b5-456b-a19a-dbe0d296c5fd_SetDate">
    <vt:lpwstr>2025-10-01T11:24:33Z</vt:lpwstr>
  </property>
  <property fmtid="{D5CDD505-2E9C-101B-9397-08002B2CF9AE}" pid="4" name="MSIP_Label_7331f486-f8b5-456b-a19a-dbe0d296c5fd_Method">
    <vt:lpwstr>Privileged</vt:lpwstr>
  </property>
  <property fmtid="{D5CDD505-2E9C-101B-9397-08002B2CF9AE}" pid="5" name="MSIP_Label_7331f486-f8b5-456b-a19a-dbe0d296c5fd_Name">
    <vt:lpwstr>Company Confidential Internal Use</vt:lpwstr>
  </property>
  <property fmtid="{D5CDD505-2E9C-101B-9397-08002B2CF9AE}" pid="6" name="MSIP_Label_7331f486-f8b5-456b-a19a-dbe0d296c5fd_SiteId">
    <vt:lpwstr>edf442f5-b994-4c86-a131-b42b03a16c95</vt:lpwstr>
  </property>
  <property fmtid="{D5CDD505-2E9C-101B-9397-08002B2CF9AE}" pid="7" name="MSIP_Label_7331f486-f8b5-456b-a19a-dbe0d296c5fd_ActionId">
    <vt:lpwstr>7159b9a0-3bae-47bc-8343-8b262393c91c</vt:lpwstr>
  </property>
  <property fmtid="{D5CDD505-2E9C-101B-9397-08002B2CF9AE}" pid="8" name="MSIP_Label_7331f486-f8b5-456b-a19a-dbe0d296c5fd_ContentBits">
    <vt:lpwstr>0</vt:lpwstr>
  </property>
  <property fmtid="{D5CDD505-2E9C-101B-9397-08002B2CF9AE}" pid="9" name="MSIP_Label_7331f486-f8b5-456b-a19a-dbe0d296c5fd_Tag">
    <vt:lpwstr>10, 0, 1, 1</vt:lpwstr>
  </property>
</Properties>
</file>