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48778679" w:rsidR="00CD1845" w:rsidRPr="00933C32" w:rsidRDefault="008C40A7" w:rsidP="00CD1845">
            <w:pPr>
              <w:rPr>
                <w:lang w:val="en-ZA" w:eastAsia="en-US"/>
              </w:rPr>
            </w:pPr>
            <w:r w:rsidRPr="00933C32">
              <w:rPr>
                <w:lang w:val="en-ZA" w:eastAsia="en-US"/>
              </w:rPr>
              <w:t>FIN-SCM-TEN-0</w:t>
            </w:r>
            <w:r w:rsidR="00F1054D">
              <w:rPr>
                <w:lang w:val="en-ZA" w:eastAsia="en-US"/>
              </w:rPr>
              <w:t>168</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62DF44CF" w:rsidR="00CD1845" w:rsidRPr="00933C32" w:rsidRDefault="0011578B" w:rsidP="007358C1">
            <w:r w:rsidRPr="00933C32">
              <w:t xml:space="preserve">Bid for Contract manufacturing of a sterile, cold kit (lyophilized or freeze dried) pharmaceutical product compliant to GMP </w:t>
            </w:r>
            <w:r w:rsidR="00EE408D" w:rsidRPr="00933C32">
              <w:t>requirements.</w:t>
            </w:r>
          </w:p>
        </w:tc>
      </w:tr>
      <w:tr w:rsidR="00CD1845" w14:paraId="04E21D07" w14:textId="77777777" w:rsidTr="00730C33">
        <w:tc>
          <w:tcPr>
            <w:tcW w:w="1140" w:type="pct"/>
          </w:tcPr>
          <w:p w14:paraId="79701E8D" w14:textId="3037E572" w:rsidR="00CD1845" w:rsidRPr="00CD1845" w:rsidRDefault="00EB3564" w:rsidP="00CD1845">
            <w:pPr>
              <w:rPr>
                <w:b/>
                <w:lang w:val="en-ZA" w:eastAsia="en-US"/>
              </w:rPr>
            </w:pPr>
            <w:r>
              <w:rPr>
                <w:b/>
              </w:rPr>
              <w:t>COMPULSORY BRIEFING SESSION</w:t>
            </w:r>
            <w:r w:rsidR="00CD1845" w:rsidRPr="00B8305D">
              <w:rPr>
                <w:b/>
              </w:rPr>
              <w:t>:</w:t>
            </w:r>
          </w:p>
        </w:tc>
        <w:tc>
          <w:tcPr>
            <w:tcW w:w="3860" w:type="pct"/>
          </w:tcPr>
          <w:p w14:paraId="7E19D155" w14:textId="77777777" w:rsidR="00CD1845" w:rsidRPr="00933C32" w:rsidRDefault="00EB3564" w:rsidP="00EE08F2">
            <w:pPr>
              <w:rPr>
                <w:color w:val="000000" w:themeColor="text1"/>
              </w:rPr>
            </w:pPr>
            <w:r w:rsidRPr="00933C32">
              <w:rPr>
                <w:color w:val="000000" w:themeColor="text1"/>
              </w:rPr>
              <w:t>01 December 2025</w:t>
            </w:r>
          </w:p>
          <w:p w14:paraId="208E6DA8" w14:textId="291F23E7" w:rsidR="00EB3564" w:rsidRPr="00933C32" w:rsidRDefault="00EB3564" w:rsidP="00EE08F2">
            <w:pPr>
              <w:rPr>
                <w:color w:val="000000" w:themeColor="text1"/>
              </w:rPr>
            </w:pPr>
            <w:r w:rsidRPr="00933C32">
              <w:rPr>
                <w:color w:val="000000" w:themeColor="text1"/>
              </w:rPr>
              <w:t>Venue and time: Ms Teams 10:00 am</w:t>
            </w:r>
          </w:p>
          <w:p w14:paraId="5D50EEB2" w14:textId="04D3617B" w:rsidR="00EB3564" w:rsidRPr="00730C33" w:rsidRDefault="00EB3564" w:rsidP="00EE08F2">
            <w:pPr>
              <w:rPr>
                <w:lang w:val="en-ZA" w:eastAsia="en-US"/>
              </w:rPr>
            </w:pPr>
            <w:r w:rsidRPr="00933C32">
              <w:rPr>
                <w:color w:val="000000" w:themeColor="text1"/>
              </w:rPr>
              <w:t xml:space="preserve">Link : </w:t>
            </w:r>
            <w:hyperlink r:id="rId9" w:tgtFrame="_blank" w:tooltip="Meeting join link" w:history="1">
              <w:r w:rsidR="00933C32" w:rsidRPr="00933C32">
                <w:rPr>
                  <w:rStyle w:val="Hyperlink"/>
                  <w:b/>
                  <w:bCs/>
                  <w:color w:val="000000" w:themeColor="text1"/>
                </w:rPr>
                <w:t>Join the meeting now</w:t>
              </w:r>
            </w:hyperlink>
            <w:r w:rsidR="00933C32">
              <w:rPr>
                <w:color w:val="000000" w:themeColor="text1"/>
              </w:rPr>
              <w:t xml:space="preserve"> </w:t>
            </w:r>
          </w:p>
        </w:tc>
      </w:tr>
      <w:tr w:rsidR="0073508E" w14:paraId="34A6BABE" w14:textId="77777777" w:rsidTr="00C3429F">
        <w:tc>
          <w:tcPr>
            <w:tcW w:w="1140" w:type="pct"/>
          </w:tcPr>
          <w:p w14:paraId="5639D302" w14:textId="591CC209" w:rsidR="0073508E" w:rsidRPr="00933C32" w:rsidRDefault="0073508E" w:rsidP="00CD1845">
            <w:pPr>
              <w:rPr>
                <w:b/>
                <w:color w:val="000000" w:themeColor="text1"/>
              </w:rPr>
            </w:pPr>
            <w:r w:rsidRPr="00933C32">
              <w:rPr>
                <w:b/>
                <w:color w:val="000000" w:themeColor="text1"/>
              </w:rPr>
              <w:t>C</w:t>
            </w:r>
            <w:r w:rsidR="00EB3564" w:rsidRPr="00933C32">
              <w:rPr>
                <w:b/>
                <w:color w:val="000000" w:themeColor="text1"/>
              </w:rPr>
              <w:t>LOSING DATE</w:t>
            </w:r>
          </w:p>
        </w:tc>
        <w:tc>
          <w:tcPr>
            <w:tcW w:w="3860" w:type="pct"/>
          </w:tcPr>
          <w:p w14:paraId="0360D3B7" w14:textId="7668BF8F" w:rsidR="0073508E" w:rsidRPr="00933C32" w:rsidRDefault="00EB3564" w:rsidP="00CD1845">
            <w:pPr>
              <w:rPr>
                <w:color w:val="000000" w:themeColor="text1"/>
              </w:rPr>
            </w:pPr>
            <w:r w:rsidRPr="00933C32">
              <w:rPr>
                <w:color w:val="000000" w:themeColor="text1"/>
              </w:rPr>
              <w:t xml:space="preserve"> 23 January </w:t>
            </w:r>
            <w:r w:rsidR="0073508E" w:rsidRPr="00933C32">
              <w:rPr>
                <w:color w:val="000000" w:themeColor="text1"/>
              </w:rPr>
              <w:t>2025</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bookmarkStart w:id="4" w:name="_Hlk213961305"/>
      <w:r w:rsidRPr="00A5183C">
        <w:t>Scope of Work</w:t>
      </w:r>
      <w:bookmarkEnd w:id="3"/>
    </w:p>
    <w:p w14:paraId="66158348" w14:textId="0ED3BF77" w:rsidR="00EE08F2" w:rsidRPr="00EB3564" w:rsidRDefault="0011578B" w:rsidP="00F270E1">
      <w:pPr>
        <w:pStyle w:val="Index4"/>
      </w:pPr>
      <w:proofErr w:type="spellStart"/>
      <w:r w:rsidRPr="00EB3564">
        <w:t>Necsa</w:t>
      </w:r>
      <w:proofErr w:type="spellEnd"/>
      <w:r w:rsidRPr="00EB3564">
        <w:t xml:space="preserve"> has developed an IP and would like to partner with a Pharmaceutical Company for Contract Manufacturing</w:t>
      </w:r>
      <w:r w:rsidR="009D096B" w:rsidRPr="00EB3564">
        <w:t xml:space="preserve"> as per below:</w:t>
      </w:r>
    </w:p>
    <w:p w14:paraId="10B7929F" w14:textId="77777777" w:rsidR="009D096B" w:rsidRPr="00EB3564" w:rsidRDefault="009D096B" w:rsidP="009D096B">
      <w:pPr>
        <w:pStyle w:val="Index4"/>
        <w:numPr>
          <w:ilvl w:val="0"/>
          <w:numId w:val="0"/>
        </w:numPr>
        <w:ind w:left="851"/>
      </w:pPr>
    </w:p>
    <w:p w14:paraId="3D800F66" w14:textId="300B813F" w:rsidR="00EB3564" w:rsidRPr="00EB3564" w:rsidRDefault="009D096B" w:rsidP="00EB3564">
      <w:pPr>
        <w:pStyle w:val="Index5"/>
      </w:pPr>
      <w:r w:rsidRPr="00EB3564">
        <w:t>Contract Manufacturing of a sterile, cold kit (lyophilized or freeze dried) pharmaceutical product compliant to GMP requirements (batch sizes between 100 – 500 vials). Quality control using various validated methods to confirm that the product meets the acceptance criteria of the kit specification. Manufacturing method and validated quality control methods will be provided during the technology transfer phase. Three validation batches should be produced and subjected to quality control in the relevant GMP compliant facility prior to routine manufacturing of the product. Appointment of the successful bidder is contingent on conclusion of the SLA whereby</w:t>
      </w:r>
      <w:r w:rsidR="00EB3564" w:rsidRPr="00EB3564">
        <w:t xml:space="preserve"> Technology transfer,</w:t>
      </w:r>
      <w:r w:rsidRPr="00EB3564">
        <w:t xml:space="preserve"> terms and conditions are agreed upon by both parties</w:t>
      </w:r>
      <w:bookmarkEnd w:id="4"/>
      <w:r w:rsidRPr="00EB3564">
        <w:t>.</w:t>
      </w:r>
    </w:p>
    <w:p w14:paraId="493DB4EF" w14:textId="77777777" w:rsidR="009D096B" w:rsidRPr="00EB3564" w:rsidRDefault="009D096B" w:rsidP="009D096B">
      <w:pPr>
        <w:pStyle w:val="Index4"/>
        <w:numPr>
          <w:ilvl w:val="0"/>
          <w:numId w:val="0"/>
        </w:numPr>
        <w:ind w:left="851"/>
      </w:pPr>
    </w:p>
    <w:p w14:paraId="4592F7FE" w14:textId="11F3940E" w:rsidR="00EB3564" w:rsidRPr="00EB3564" w:rsidRDefault="00EB3564" w:rsidP="00EB3564">
      <w:pPr>
        <w:pStyle w:val="Index4"/>
      </w:pPr>
      <w:proofErr w:type="spellStart"/>
      <w:r w:rsidRPr="00EB3564">
        <w:t>Necsa</w:t>
      </w:r>
      <w:proofErr w:type="spellEnd"/>
      <w:r w:rsidRPr="00EB3564">
        <w:t xml:space="preserve"> seeks to appoint a panel of supplier/s for contract manufacturing of which future communications will be confined to the suppliers which would have met the minimum of 80 points in the functional/Technical evaluation. </w:t>
      </w:r>
      <w:proofErr w:type="spellStart"/>
      <w:r w:rsidRPr="00EB3564">
        <w:t>Necsa</w:t>
      </w:r>
      <w:proofErr w:type="spellEnd"/>
      <w:r w:rsidRPr="00EB3564">
        <w:t xml:space="preserve"> will have further engagements with </w:t>
      </w:r>
      <w:r w:rsidRPr="00EB3564">
        <w:lastRenderedPageBreak/>
        <w:t>the pre-qualified suppliers, and all those suppliers will be sent an RFQ of which the suppliers will then be evaluated on 80/20 as per section 5.3 and 5.4 and the supplier scoring the highest points will be awarded the contract. The suppliers are asked to provide pricing with this RFP, and the pricing is only for planning purposes at this stage.</w:t>
      </w:r>
    </w:p>
    <w:p w14:paraId="4305B0C2" w14:textId="77777777" w:rsidR="00EB3564" w:rsidRDefault="00EB3564" w:rsidP="00EB3564">
      <w:pPr>
        <w:pStyle w:val="Index4"/>
        <w:numPr>
          <w:ilvl w:val="0"/>
          <w:numId w:val="0"/>
        </w:numPr>
        <w:ind w:left="851"/>
      </w:pPr>
    </w:p>
    <w:p w14:paraId="625A3FF0" w14:textId="4CA72365" w:rsidR="00554C52" w:rsidRDefault="00554C52" w:rsidP="00F270E1">
      <w:pPr>
        <w:pStyle w:val="Index4"/>
      </w:pPr>
      <w:r w:rsidRPr="000B07DB">
        <w:t xml:space="preserve">The bidder shall, based on the overall objective of the scope of work to be performed and the </w:t>
      </w:r>
      <w:r w:rsidR="00EA524A" w:rsidRPr="000B07DB">
        <w:t>bidder’s</w:t>
      </w:r>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24ADB39D" w14:textId="4F8CD6B2" w:rsidR="00094AF5" w:rsidRDefault="00715C99" w:rsidP="003E57F9">
      <w:pPr>
        <w:pStyle w:val="Index3"/>
      </w:pPr>
      <w:bookmarkStart w:id="5" w:name="_Toc187404173"/>
      <w:r>
        <w:t>Suppliers are required to provide pricing only for planning purposes and the final price will be provided by the suppliers after receiving an RFQ following pre-qualification.</w:t>
      </w:r>
    </w:p>
    <w:p w14:paraId="14DB13AD" w14:textId="2928FE3A" w:rsidR="0002680D" w:rsidRDefault="0002680D" w:rsidP="003E57F9">
      <w:pPr>
        <w:pStyle w:val="Index3"/>
      </w:pPr>
      <w:r>
        <w:t>Project Plan and Schedule</w:t>
      </w:r>
      <w:bookmarkEnd w:id="5"/>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6" w:name="_Toc187404174"/>
      <w:r>
        <w:t xml:space="preserve">Applicable </w:t>
      </w:r>
      <w:proofErr w:type="spellStart"/>
      <w:r>
        <w:t>Necsa</w:t>
      </w:r>
      <w:proofErr w:type="spellEnd"/>
      <w:r>
        <w:t xml:space="preserve"> Policies</w:t>
      </w:r>
      <w:bookmarkEnd w:id="6"/>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7"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7"/>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187404175"/>
      <w:r w:rsidRPr="005B1AF4">
        <w:t>Applicable Necsa Procedures</w:t>
      </w:r>
      <w:bookmarkEnd w:id="8"/>
    </w:p>
    <w:p w14:paraId="6D720269" w14:textId="77777777" w:rsidR="006B719C" w:rsidRPr="00A0106E" w:rsidRDefault="006B719C" w:rsidP="003E57F9">
      <w:pPr>
        <w:pStyle w:val="Index3"/>
      </w:pPr>
      <w:bookmarkStart w:id="9" w:name="_Toc187404176"/>
      <w:r w:rsidRPr="00A0106E">
        <w:t xml:space="preserve">Requirements to Access </w:t>
      </w:r>
      <w:proofErr w:type="spellStart"/>
      <w:r w:rsidRPr="00A0106E">
        <w:t>Necsa</w:t>
      </w:r>
      <w:proofErr w:type="spellEnd"/>
      <w:r w:rsidRPr="00A0106E">
        <w:t xml:space="preserve"> Site</w:t>
      </w:r>
      <w:bookmarkEnd w:id="9"/>
    </w:p>
    <w:p w14:paraId="49D36B08" w14:textId="77777777"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lastRenderedPageBreak/>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0" w:name="_Toc187404177"/>
      <w:r w:rsidRPr="00A0106E">
        <w:t>Emergencies, Incidents, Accidents</w:t>
      </w:r>
      <w:bookmarkEnd w:id="10"/>
    </w:p>
    <w:p w14:paraId="3E95F933" w14:textId="77777777" w:rsidR="00931917" w:rsidRPr="00A0106E" w:rsidRDefault="00931917" w:rsidP="003E57F9">
      <w:pPr>
        <w:pStyle w:val="Index3"/>
      </w:pPr>
      <w:bookmarkStart w:id="11" w:name="_Toc187404178"/>
      <w:proofErr w:type="spellStart"/>
      <w:r w:rsidRPr="00A0106E">
        <w:t>Necsa</w:t>
      </w:r>
      <w:proofErr w:type="spellEnd"/>
      <w:r w:rsidRPr="00A0106E">
        <w:t xml:space="preserve"> Health, Safety and Environmental Requirements</w:t>
      </w:r>
      <w:bookmarkEnd w:id="11"/>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2" w:name="_Toc187404179"/>
      <w:proofErr w:type="spellStart"/>
      <w:r w:rsidRPr="00A0106E">
        <w:t>Necsa</w:t>
      </w:r>
      <w:proofErr w:type="spellEnd"/>
      <w:r w:rsidRPr="00A0106E">
        <w:t xml:space="preserve"> Requirements for Quality</w:t>
      </w:r>
      <w:bookmarkEnd w:id="12"/>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3" w:name="_Toc187404180"/>
      <w:proofErr w:type="spellStart"/>
      <w:r>
        <w:t>Necsa</w:t>
      </w:r>
      <w:proofErr w:type="spellEnd"/>
      <w:r>
        <w:t xml:space="preserve"> Requirements for Project SHEQ</w:t>
      </w:r>
      <w:bookmarkEnd w:id="13"/>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3E57F9">
      <w:pPr>
        <w:pStyle w:val="Index3"/>
      </w:pPr>
      <w:bookmarkStart w:id="14" w:name="_Toc187404181"/>
      <w:r>
        <w:t>Confidentiality</w:t>
      </w:r>
      <w:bookmarkEnd w:id="14"/>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1E8443B3" w14:textId="77777777" w:rsidR="00860F6B" w:rsidRDefault="00860F6B" w:rsidP="00F270E1">
      <w:pPr>
        <w:pStyle w:val="Index4"/>
        <w:numPr>
          <w:ilvl w:val="0"/>
          <w:numId w:val="0"/>
        </w:numPr>
        <w:ind w:left="851"/>
      </w:pPr>
    </w:p>
    <w:p w14:paraId="5325D9E8" w14:textId="77777777" w:rsidR="00860F6B" w:rsidRDefault="00860F6B" w:rsidP="00F270E1">
      <w:pPr>
        <w:pStyle w:val="Index4"/>
        <w:numPr>
          <w:ilvl w:val="0"/>
          <w:numId w:val="0"/>
        </w:numPr>
        <w:ind w:left="851"/>
      </w:pPr>
    </w:p>
    <w:p w14:paraId="6E2575BE" w14:textId="77777777" w:rsidR="00860F6B" w:rsidRDefault="00860F6B" w:rsidP="00F270E1">
      <w:pPr>
        <w:pStyle w:val="Index4"/>
        <w:numPr>
          <w:ilvl w:val="0"/>
          <w:numId w:val="0"/>
        </w:numPr>
        <w:ind w:left="851"/>
      </w:pPr>
    </w:p>
    <w:p w14:paraId="2E22D969" w14:textId="77777777" w:rsidR="00860F6B" w:rsidRDefault="00860F6B" w:rsidP="00F270E1">
      <w:pPr>
        <w:pStyle w:val="Index4"/>
        <w:numPr>
          <w:ilvl w:val="0"/>
          <w:numId w:val="0"/>
        </w:numPr>
        <w:ind w:left="851"/>
      </w:pPr>
    </w:p>
    <w:p w14:paraId="09FB4D77" w14:textId="77777777" w:rsidR="00860F6B" w:rsidRDefault="00860F6B" w:rsidP="00F270E1">
      <w:pPr>
        <w:pStyle w:val="Index4"/>
        <w:numPr>
          <w:ilvl w:val="0"/>
          <w:numId w:val="0"/>
        </w:numPr>
        <w:ind w:left="851"/>
      </w:pPr>
    </w:p>
    <w:p w14:paraId="08D78A2D" w14:textId="77777777" w:rsidR="00860F6B" w:rsidRDefault="00860F6B" w:rsidP="00F270E1">
      <w:pPr>
        <w:pStyle w:val="Index4"/>
        <w:numPr>
          <w:ilvl w:val="0"/>
          <w:numId w:val="0"/>
        </w:numPr>
        <w:ind w:left="851"/>
      </w:pPr>
    </w:p>
    <w:p w14:paraId="16F27E6A" w14:textId="77777777" w:rsidR="00687DB8" w:rsidRDefault="00687DB8" w:rsidP="00EE408D">
      <w:pPr>
        <w:pStyle w:val="Index4"/>
        <w:numPr>
          <w:ilvl w:val="0"/>
          <w:numId w:val="0"/>
        </w:numPr>
        <w:tabs>
          <w:tab w:val="left" w:pos="3587"/>
        </w:tabs>
      </w:pPr>
    </w:p>
    <w:p w14:paraId="6FE863C6" w14:textId="77777777" w:rsidR="009171F1" w:rsidRDefault="009171F1" w:rsidP="00D6488C">
      <w:pPr>
        <w:pStyle w:val="Index1"/>
      </w:pPr>
      <w:bookmarkStart w:id="15" w:name="_Toc187404182"/>
      <w:bookmarkEnd w:id="15"/>
    </w:p>
    <w:p w14:paraId="414896C5" w14:textId="77777777" w:rsidR="00D6488C" w:rsidRPr="005E71C3" w:rsidRDefault="00D6488C" w:rsidP="005E71C3">
      <w:pPr>
        <w:pStyle w:val="Index2"/>
        <w:numPr>
          <w:ilvl w:val="1"/>
          <w:numId w:val="12"/>
        </w:numPr>
        <w:rPr>
          <w:lang w:val="en-ZA"/>
        </w:rPr>
      </w:pPr>
      <w:bookmarkStart w:id="16" w:name="_Toc187404183"/>
      <w:r w:rsidRPr="005E71C3">
        <w:rPr>
          <w:lang w:val="en-ZA"/>
        </w:rPr>
        <w:t>Instruction to Bidders</w:t>
      </w:r>
      <w:bookmarkEnd w:id="16"/>
    </w:p>
    <w:p w14:paraId="18CCD684" w14:textId="77777777" w:rsidR="00A42E16" w:rsidRPr="00A42E16" w:rsidRDefault="00A42E16" w:rsidP="003E57F9">
      <w:pPr>
        <w:pStyle w:val="Index3"/>
      </w:pPr>
      <w:bookmarkStart w:id="17" w:name="_Toc187404184"/>
      <w:r w:rsidRPr="00A42E16">
        <w:t>General</w:t>
      </w:r>
      <w:bookmarkEnd w:id="17"/>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8" w:name="_Toc187404185"/>
      <w:r>
        <w:t>Bidder Information</w:t>
      </w:r>
      <w:bookmarkEnd w:id="18"/>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3E57F9">
      <w:pPr>
        <w:pStyle w:val="Index3"/>
      </w:pPr>
      <w:bookmarkStart w:id="19" w:name="_Toc187404186"/>
      <w:r>
        <w:t>Consortium</w:t>
      </w:r>
      <w:bookmarkEnd w:id="19"/>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5B3A4CCE" w14:textId="77777777" w:rsidR="00DA39DC" w:rsidRPr="004D17C6" w:rsidRDefault="00DA39DC" w:rsidP="00DA39DC">
      <w:pPr>
        <w:pStyle w:val="Index5"/>
      </w:pPr>
      <w:r>
        <w:lastRenderedPageBreak/>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20" w:name="_Toc187404187"/>
      <w:r>
        <w:t>Sub-contracting</w:t>
      </w:r>
      <w:bookmarkEnd w:id="20"/>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Default="00F80D24" w:rsidP="003E57F9">
      <w:pPr>
        <w:pStyle w:val="Index3"/>
      </w:pPr>
      <w:bookmarkStart w:id="21" w:name="_Toc187404188"/>
      <w:proofErr w:type="spellStart"/>
      <w:r>
        <w:t>Necsa’s</w:t>
      </w:r>
      <w:proofErr w:type="spellEnd"/>
      <w:r>
        <w:t xml:space="preserve"> Bidding </w:t>
      </w:r>
      <w:r w:rsidR="003B5673">
        <w:t>Rights</w:t>
      </w:r>
      <w:bookmarkEnd w:id="21"/>
    </w:p>
    <w:p w14:paraId="1C8270F9" w14:textId="77777777" w:rsidR="00BF4F02" w:rsidRPr="00BF4F02" w:rsidRDefault="00BF4F02" w:rsidP="00BF4F02">
      <w:pPr>
        <w:pStyle w:val="1Paragraph"/>
      </w:pPr>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w:t>
      </w:r>
      <w:r>
        <w:lastRenderedPageBreak/>
        <w:t>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proofErr w:type="spellStart"/>
      <w:r>
        <w:t>Necsa</w:t>
      </w:r>
      <w:proofErr w:type="spellEnd"/>
      <w:r>
        <w:t xml:space="preserve"> will not necessarily accept the lowest or any tender, and it reserves the right to accept a tender as a whole or in part.</w:t>
      </w:r>
    </w:p>
    <w:p w14:paraId="299559CB" w14:textId="77777777"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spellStart"/>
      <w:proofErr w:type="gramStart"/>
      <w:r>
        <w:rPr>
          <w:lang w:val="en-ZA"/>
        </w:rPr>
        <w:t>Necsa</w:t>
      </w:r>
      <w:proofErr w:type="spellEnd"/>
      <w:r>
        <w:rPr>
          <w:lang w:val="en-ZA"/>
        </w:rPr>
        <w:t xml:space="preserve">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3E57F9">
      <w:pPr>
        <w:pStyle w:val="Index3"/>
      </w:pPr>
      <w:bookmarkStart w:id="22" w:name="_Toc187404189"/>
      <w:r>
        <w:t>Bidding Process</w:t>
      </w:r>
      <w:bookmarkEnd w:id="22"/>
    </w:p>
    <w:p w14:paraId="46FEE3DB" w14:textId="77777777"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3" w:name="_Toc187404190"/>
      <w:r>
        <w:lastRenderedPageBreak/>
        <w:t>Bid Submission Requirements</w:t>
      </w:r>
      <w:bookmarkEnd w:id="23"/>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42DF3DC6" w:rsidR="00860F6B" w:rsidRDefault="00B341B9" w:rsidP="00B341B9">
      <w:pPr>
        <w:pStyle w:val="Index4"/>
        <w:numPr>
          <w:ilvl w:val="0"/>
          <w:numId w:val="0"/>
        </w:numPr>
      </w:pPr>
      <w:r>
        <w:t xml:space="preserve">Only international Suppliers </w:t>
      </w:r>
      <w:r w:rsidR="00143AE7">
        <w:t xml:space="preserve">shall be </w:t>
      </w:r>
      <w:r w:rsidR="00EE408D">
        <w:t>permitted to</w:t>
      </w:r>
      <w:r>
        <w:t xml:space="preserve">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4" w:name="_Toc187404191"/>
      <w:r w:rsidRPr="00656238">
        <w:t>Eligibility Requirements</w:t>
      </w:r>
      <w:bookmarkEnd w:id="24"/>
    </w:p>
    <w:p w14:paraId="2C0944A9" w14:textId="77777777" w:rsidR="0047600F" w:rsidRDefault="0047600F" w:rsidP="00777F53">
      <w:pPr>
        <w:pStyle w:val="Index3"/>
        <w:numPr>
          <w:ilvl w:val="2"/>
          <w:numId w:val="17"/>
        </w:numPr>
        <w:spacing w:line="240" w:lineRule="auto"/>
        <w:jc w:val="left"/>
      </w:pPr>
      <w:bookmarkStart w:id="25" w:name="_Toc187404192"/>
      <w:r>
        <w:t>Pre-qualification Criteria</w:t>
      </w:r>
      <w:bookmarkEnd w:id="25"/>
    </w:p>
    <w:p w14:paraId="293E7A22" w14:textId="292BC321" w:rsidR="00942E3C" w:rsidRDefault="006E040B" w:rsidP="0047600F">
      <w:pPr>
        <w:pStyle w:val="1Paragraph"/>
      </w:pPr>
      <w:r w:rsidRPr="006E040B">
        <w:t>Non-compliance to the following pre-qualification criteria will result in automatic disqualification:</w:t>
      </w:r>
    </w:p>
    <w:p w14:paraId="54D21EDD" w14:textId="77777777" w:rsidR="00EE408D" w:rsidRDefault="00EE408D" w:rsidP="00813A84">
      <w:pPr>
        <w:pStyle w:val="aDSPara"/>
        <w:spacing w:before="60" w:after="60"/>
        <w:ind w:left="0"/>
        <w:jc w:val="left"/>
        <w:rPr>
          <w:b/>
          <w:sz w:val="20"/>
          <w:szCs w:val="20"/>
        </w:rPr>
        <w:sectPr w:rsidR="00EE408D" w:rsidSect="0055344F">
          <w:footerReference w:type="default" r:id="rId12"/>
          <w:pgSz w:w="11906" w:h="16838" w:code="9"/>
          <w:pgMar w:top="851" w:right="851" w:bottom="851" w:left="1560" w:header="567" w:footer="0" w:gutter="0"/>
          <w:cols w:space="708"/>
          <w:docGrid w:linePitch="360"/>
        </w:sectPr>
      </w:pPr>
      <w:bookmarkStart w:id="26" w:name="_Hlk213961352"/>
    </w:p>
    <w:tbl>
      <w:tblPr>
        <w:tblStyle w:val="TableGrid"/>
        <w:tblW w:w="4875" w:type="pct"/>
        <w:tblLook w:val="04A0" w:firstRow="1" w:lastRow="0" w:firstColumn="1" w:lastColumn="0" w:noHBand="0" w:noVBand="1"/>
      </w:tblPr>
      <w:tblGrid>
        <w:gridCol w:w="1003"/>
        <w:gridCol w:w="12211"/>
        <w:gridCol w:w="1534"/>
      </w:tblGrid>
      <w:tr w:rsidR="006E040B" w:rsidRPr="00A8791F" w14:paraId="5CFF4CA8" w14:textId="77777777" w:rsidTr="00942E3C">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lastRenderedPageBreak/>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942E3C">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A8791F" w:rsidRDefault="006E6BE0" w:rsidP="00880DCF">
            <w:pPr>
              <w:pStyle w:val="aDSPara"/>
              <w:spacing w:before="60" w:after="60"/>
              <w:ind w:left="0"/>
              <w:jc w:val="left"/>
              <w:rPr>
                <w:rFonts w:cs="Arial"/>
                <w:color w:val="000000"/>
                <w:sz w:val="20"/>
                <w:szCs w:val="20"/>
              </w:rPr>
            </w:pPr>
            <w:r>
              <w:rPr>
                <w:rFonts w:cs="Arial"/>
                <w:color w:val="000000"/>
                <w:sz w:val="20"/>
                <w:szCs w:val="20"/>
              </w:rPr>
              <w:t xml:space="preserve">Bidder to complete and submit </w:t>
            </w:r>
            <w:r w:rsidR="007622D8"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007622D8" w:rsidRPr="00A8791F">
              <w:rPr>
                <w:rFonts w:cs="Arial"/>
                <w:color w:val="000000"/>
                <w:sz w:val="20"/>
                <w:szCs w:val="20"/>
              </w:rPr>
              <w:t>)</w:t>
            </w:r>
          </w:p>
        </w:tc>
        <w:tc>
          <w:tcPr>
            <w:tcW w:w="520" w:type="pct"/>
          </w:tcPr>
          <w:p w14:paraId="427CC9ED" w14:textId="77777777" w:rsidR="007622D8" w:rsidRPr="00A8791F" w:rsidRDefault="007622D8" w:rsidP="00813A84">
            <w:pPr>
              <w:pStyle w:val="aDSPara"/>
              <w:spacing w:before="60" w:after="60"/>
              <w:ind w:left="0"/>
              <w:jc w:val="left"/>
              <w:rPr>
                <w:sz w:val="20"/>
                <w:szCs w:val="20"/>
              </w:rPr>
            </w:pPr>
          </w:p>
        </w:tc>
      </w:tr>
      <w:tr w:rsidR="00860F6B" w:rsidRPr="00526ADF" w14:paraId="697DA58B" w14:textId="77777777" w:rsidTr="00942E3C">
        <w:trPr>
          <w:trHeight w:val="291"/>
        </w:trPr>
        <w:tc>
          <w:tcPr>
            <w:tcW w:w="340" w:type="pct"/>
          </w:tcPr>
          <w:p w14:paraId="76733422" w14:textId="6293F9CF" w:rsidR="00860F6B" w:rsidRDefault="009D4900" w:rsidP="00434728">
            <w:pPr>
              <w:pStyle w:val="aDSPara"/>
              <w:spacing w:before="60" w:after="60"/>
              <w:ind w:left="0"/>
              <w:jc w:val="center"/>
              <w:rPr>
                <w:sz w:val="20"/>
                <w:szCs w:val="20"/>
              </w:rPr>
            </w:pPr>
            <w:r>
              <w:rPr>
                <w:sz w:val="20"/>
                <w:szCs w:val="20"/>
              </w:rPr>
              <w:t>2</w:t>
            </w:r>
          </w:p>
        </w:tc>
        <w:tc>
          <w:tcPr>
            <w:tcW w:w="4140" w:type="pct"/>
          </w:tcPr>
          <w:p w14:paraId="3CA3F210" w14:textId="1463D290" w:rsidR="00860F6B" w:rsidRPr="009D096B" w:rsidRDefault="009D4900" w:rsidP="009D4900">
            <w:pPr>
              <w:widowControl/>
              <w:spacing w:before="0" w:after="160" w:line="278" w:lineRule="auto"/>
              <w:outlineLvl w:val="9"/>
            </w:pPr>
            <w:r>
              <w:t xml:space="preserve">Bidder to </w:t>
            </w:r>
            <w:r w:rsidR="007D4EE5">
              <w:t>submit certificate</w:t>
            </w:r>
            <w:r>
              <w:t xml:space="preserve"> from </w:t>
            </w:r>
            <w:proofErr w:type="gramStart"/>
            <w:r w:rsidR="00916ECF">
              <w:t xml:space="preserve">SAHPRA </w:t>
            </w:r>
            <w:r>
              <w:t xml:space="preserve"> to</w:t>
            </w:r>
            <w:proofErr w:type="gramEnd"/>
            <w:r>
              <w:t xml:space="preserve"> confirm that the bidder has </w:t>
            </w:r>
            <w:r w:rsidR="009D096B">
              <w:t>GMP compliant (Pharmaceutical Industry) facility</w:t>
            </w:r>
            <w:r>
              <w:t xml:space="preserve"> with Quality Assurance system </w:t>
            </w:r>
            <w:r w:rsidR="00B07224">
              <w:t>and GMP</w:t>
            </w:r>
            <w:r>
              <w:t xml:space="preserve"> compliant </w:t>
            </w:r>
            <w:r w:rsidR="006E1079">
              <w:t>documentation</w:t>
            </w:r>
            <w:r w:rsidR="006978A2">
              <w:t xml:space="preserve"> to produce GMP compliant products</w:t>
            </w:r>
            <w:r w:rsidR="006E1079">
              <w:t>.</w:t>
            </w:r>
          </w:p>
        </w:tc>
        <w:tc>
          <w:tcPr>
            <w:tcW w:w="520" w:type="pct"/>
          </w:tcPr>
          <w:p w14:paraId="788A376F" w14:textId="77777777" w:rsidR="00860F6B" w:rsidRDefault="00860F6B" w:rsidP="00813A84">
            <w:pPr>
              <w:pStyle w:val="aDSPara"/>
              <w:spacing w:before="60" w:after="60"/>
              <w:ind w:left="0"/>
              <w:jc w:val="left"/>
              <w:rPr>
                <w:sz w:val="20"/>
                <w:szCs w:val="20"/>
              </w:rPr>
            </w:pPr>
          </w:p>
        </w:tc>
      </w:tr>
      <w:tr w:rsidR="006E6BE0" w:rsidRPr="00526ADF" w14:paraId="6EAF3989" w14:textId="77777777" w:rsidTr="00942E3C">
        <w:trPr>
          <w:trHeight w:val="291"/>
        </w:trPr>
        <w:tc>
          <w:tcPr>
            <w:tcW w:w="340" w:type="pct"/>
          </w:tcPr>
          <w:p w14:paraId="33FCB792" w14:textId="6BC7F686" w:rsidR="006E6BE0" w:rsidRDefault="009D4900" w:rsidP="00434728">
            <w:pPr>
              <w:pStyle w:val="aDSPara"/>
              <w:spacing w:before="60" w:after="60"/>
              <w:ind w:left="0"/>
              <w:jc w:val="center"/>
              <w:rPr>
                <w:sz w:val="20"/>
                <w:szCs w:val="20"/>
              </w:rPr>
            </w:pPr>
            <w:r>
              <w:rPr>
                <w:sz w:val="20"/>
                <w:szCs w:val="20"/>
              </w:rPr>
              <w:t>3</w:t>
            </w:r>
          </w:p>
        </w:tc>
        <w:tc>
          <w:tcPr>
            <w:tcW w:w="4140" w:type="pct"/>
          </w:tcPr>
          <w:p w14:paraId="011B2B05" w14:textId="330069C8" w:rsidR="006E6BE0" w:rsidRPr="00916ECF" w:rsidRDefault="006E6BE0" w:rsidP="00860F6B">
            <w:pPr>
              <w:pStyle w:val="aDSPara"/>
              <w:spacing w:before="60" w:after="60"/>
              <w:ind w:left="0"/>
              <w:rPr>
                <w:rFonts w:cs="Arial"/>
                <w:color w:val="000000"/>
                <w:szCs w:val="22"/>
              </w:rPr>
            </w:pPr>
            <w:r w:rsidRPr="00916ECF">
              <w:rPr>
                <w:rFonts w:cs="Arial"/>
                <w:color w:val="000000"/>
                <w:szCs w:val="22"/>
              </w:rPr>
              <w:t xml:space="preserve">Bidder to complete </w:t>
            </w:r>
            <w:r w:rsidRPr="00916ECF">
              <w:rPr>
                <w:szCs w:val="22"/>
              </w:rPr>
              <w:t>and sign the supplied pro forma document named POPIA document number FIN-SCM-AGR-0002</w:t>
            </w:r>
          </w:p>
        </w:tc>
        <w:tc>
          <w:tcPr>
            <w:tcW w:w="520" w:type="pct"/>
          </w:tcPr>
          <w:p w14:paraId="0A4E08AB" w14:textId="77777777" w:rsidR="006E6BE0" w:rsidRDefault="006E6BE0" w:rsidP="00813A84">
            <w:pPr>
              <w:pStyle w:val="aDSPara"/>
              <w:spacing w:before="60" w:after="60"/>
              <w:ind w:left="0"/>
              <w:jc w:val="left"/>
              <w:rPr>
                <w:sz w:val="20"/>
                <w:szCs w:val="20"/>
              </w:rPr>
            </w:pPr>
          </w:p>
        </w:tc>
      </w:tr>
      <w:tr w:rsidR="006E1079" w:rsidRPr="00526ADF" w14:paraId="175BA810" w14:textId="77777777" w:rsidTr="00EE408D">
        <w:trPr>
          <w:trHeight w:val="3396"/>
        </w:trPr>
        <w:tc>
          <w:tcPr>
            <w:tcW w:w="340" w:type="pct"/>
          </w:tcPr>
          <w:p w14:paraId="026B65BF" w14:textId="26764021" w:rsidR="006E1079" w:rsidRDefault="006E1079" w:rsidP="00434728">
            <w:pPr>
              <w:pStyle w:val="aDSPara"/>
              <w:spacing w:before="60" w:after="60"/>
              <w:ind w:left="0"/>
              <w:jc w:val="center"/>
              <w:rPr>
                <w:sz w:val="20"/>
                <w:szCs w:val="20"/>
              </w:rPr>
            </w:pPr>
            <w:r>
              <w:rPr>
                <w:sz w:val="20"/>
                <w:szCs w:val="20"/>
              </w:rPr>
              <w:t>4</w:t>
            </w:r>
          </w:p>
        </w:tc>
        <w:tc>
          <w:tcPr>
            <w:tcW w:w="4140" w:type="pct"/>
          </w:tcPr>
          <w:p w14:paraId="0CF8AE8A" w14:textId="004C0B02" w:rsidR="00F93C2B" w:rsidRDefault="00F93C2B" w:rsidP="009D096B">
            <w:pPr>
              <w:widowControl/>
              <w:spacing w:before="0" w:after="160" w:line="278" w:lineRule="auto"/>
              <w:outlineLvl w:val="9"/>
            </w:pPr>
            <w:r>
              <w:t>Bidder to submit proof of ownership</w:t>
            </w:r>
            <w:r w:rsidR="00916ECF">
              <w:t xml:space="preserve"> </w:t>
            </w:r>
            <w:r w:rsidR="007D4EE5">
              <w:t>(lease</w:t>
            </w:r>
            <w:r w:rsidR="00916ECF">
              <w:t xml:space="preserve"> </w:t>
            </w:r>
            <w:proofErr w:type="gramStart"/>
            <w:r w:rsidR="00916ECF">
              <w:t>agreement )</w:t>
            </w:r>
            <w:proofErr w:type="gramEnd"/>
            <w:r>
              <w:t xml:space="preserve"> of freeze</w:t>
            </w:r>
            <w:r w:rsidR="00C81C04">
              <w:t xml:space="preserve">-dryer </w:t>
            </w:r>
            <w:r w:rsidR="009E338A">
              <w:t xml:space="preserve">suitable for requirements (a) to (d) </w:t>
            </w:r>
            <w:r w:rsidR="00C81C04">
              <w:t xml:space="preserve">accompanied </w:t>
            </w:r>
            <w:r w:rsidR="00B07224">
              <w:t>by</w:t>
            </w:r>
            <w:r w:rsidR="00C81C04">
              <w:t xml:space="preserve"> instrument technical specification, service and maintenance track </w:t>
            </w:r>
            <w:r w:rsidR="009E338A">
              <w:t>record.</w:t>
            </w:r>
          </w:p>
          <w:p w14:paraId="4709C6AB" w14:textId="095FD1DD" w:rsidR="006E1079" w:rsidRPr="00BA5A2B" w:rsidRDefault="006E1079" w:rsidP="00BA5A2B">
            <w:pPr>
              <w:pStyle w:val="ListParagraph"/>
              <w:widowControl/>
              <w:numPr>
                <w:ilvl w:val="0"/>
                <w:numId w:val="48"/>
              </w:numPr>
              <w:spacing w:before="0" w:after="160" w:line="278" w:lineRule="auto"/>
              <w:outlineLvl w:val="9"/>
              <w:rPr>
                <w:color w:val="000000"/>
                <w:sz w:val="20"/>
                <w:szCs w:val="20"/>
              </w:rPr>
            </w:pPr>
            <w:r>
              <w:t xml:space="preserve">Lyophilisation (Freeze Drying) capabilities for solutions that </w:t>
            </w:r>
            <w:r w:rsidR="00200845">
              <w:t xml:space="preserve">has low </w:t>
            </w:r>
            <w:r w:rsidR="00B07224">
              <w:t>eutectic temperatures</w:t>
            </w:r>
            <w:r>
              <w:t xml:space="preserve"> (</w:t>
            </w:r>
            <w:r w:rsidR="00200845">
              <w:t xml:space="preserve">between </w:t>
            </w:r>
            <w:r>
              <w:t xml:space="preserve">-40 </w:t>
            </w:r>
            <w:r w:rsidR="00554F13">
              <w:t>⁰</w:t>
            </w:r>
            <w:r>
              <w:t>C</w:t>
            </w:r>
            <w:r w:rsidR="00200845">
              <w:t xml:space="preserve"> and -50 </w:t>
            </w:r>
            <w:r w:rsidR="00554F13">
              <w:t>⁰</w:t>
            </w:r>
            <w:r w:rsidR="00200845">
              <w:t>C</w:t>
            </w:r>
            <w:r>
              <w:t>)</w:t>
            </w:r>
            <w:r w:rsidR="00BA5A2B">
              <w:t>.</w:t>
            </w:r>
            <w:r>
              <w:t xml:space="preserve"> </w:t>
            </w:r>
          </w:p>
          <w:p w14:paraId="5D175F1E" w14:textId="242E0163" w:rsidR="006E1079" w:rsidRPr="00942E3C" w:rsidRDefault="006E1079" w:rsidP="00942E3C">
            <w:pPr>
              <w:pStyle w:val="ListParagraph"/>
              <w:widowControl/>
              <w:numPr>
                <w:ilvl w:val="0"/>
                <w:numId w:val="48"/>
              </w:numPr>
              <w:spacing w:before="0" w:after="160" w:line="278" w:lineRule="auto"/>
              <w:outlineLvl w:val="9"/>
              <w:rPr>
                <w:color w:val="000000"/>
                <w:sz w:val="20"/>
                <w:szCs w:val="20"/>
              </w:rPr>
            </w:pPr>
            <w:r>
              <w:t>Freeze Dryer with product chamber and shelves that are temperature controlled (with pre-cooling function) to a minimum temperature of -40⁰C and below</w:t>
            </w:r>
            <w:r w:rsidR="00BA5A2B">
              <w:t xml:space="preserve"> and condenser </w:t>
            </w:r>
            <w:r w:rsidR="00554F13">
              <w:t>reaching</w:t>
            </w:r>
            <w:r w:rsidR="00BA5A2B">
              <w:t xml:space="preserve"> temperatures from -60</w:t>
            </w:r>
            <w:r w:rsidR="00554F13">
              <w:t>⁰C</w:t>
            </w:r>
            <w:r w:rsidR="00BA5A2B">
              <w:t xml:space="preserve"> to -85 </w:t>
            </w:r>
            <w:r w:rsidR="00554F13">
              <w:t>⁰</w:t>
            </w:r>
            <w:r w:rsidR="00BA5A2B">
              <w:t>C</w:t>
            </w:r>
            <w:r>
              <w:t>.</w:t>
            </w:r>
          </w:p>
          <w:p w14:paraId="64A8E94C" w14:textId="356E0ED0" w:rsidR="006E1079" w:rsidRPr="009D096B" w:rsidRDefault="006E1079" w:rsidP="00942E3C">
            <w:pPr>
              <w:pStyle w:val="ListParagraph"/>
              <w:widowControl/>
              <w:numPr>
                <w:ilvl w:val="0"/>
                <w:numId w:val="48"/>
              </w:numPr>
              <w:spacing w:before="0" w:after="160" w:line="278" w:lineRule="auto"/>
              <w:outlineLvl w:val="9"/>
            </w:pPr>
            <w:r>
              <w:t>Batch size: 100 - 500 vials per batch</w:t>
            </w:r>
          </w:p>
          <w:p w14:paraId="3F0AFBED" w14:textId="2B171F04" w:rsidR="006E1079" w:rsidRPr="00942E3C" w:rsidRDefault="006E1079" w:rsidP="00942E3C">
            <w:pPr>
              <w:pStyle w:val="ListParagraph"/>
              <w:widowControl/>
              <w:numPr>
                <w:ilvl w:val="0"/>
                <w:numId w:val="48"/>
              </w:numPr>
              <w:spacing w:before="0" w:after="160" w:line="278" w:lineRule="auto"/>
              <w:outlineLvl w:val="9"/>
              <w:rPr>
                <w:color w:val="000000"/>
                <w:sz w:val="20"/>
                <w:szCs w:val="20"/>
              </w:rPr>
            </w:pPr>
            <w:r>
              <w:t xml:space="preserve">Vial specification (Primary packaging) - </w:t>
            </w:r>
            <w:r w:rsidRPr="00090B9E">
              <w:t>10 mL clear borosilicate glass vial with a 20</w:t>
            </w:r>
            <w:r>
              <w:t> </w:t>
            </w:r>
            <w:r w:rsidRPr="00090B9E">
              <w:t>mm grey butyl rubber septum and a 20 mm gold aluminium crimp seal</w:t>
            </w:r>
            <w:r>
              <w:t>)</w:t>
            </w:r>
          </w:p>
          <w:p w14:paraId="6D2AF5B3" w14:textId="79F42ECF" w:rsidR="006E1079" w:rsidRPr="00942E3C" w:rsidRDefault="006E1079" w:rsidP="00B07224">
            <w:pPr>
              <w:pStyle w:val="ListParagraph"/>
              <w:spacing w:before="0" w:after="160" w:line="278" w:lineRule="auto"/>
              <w:rPr>
                <w:color w:val="000000"/>
                <w:sz w:val="20"/>
                <w:szCs w:val="20"/>
              </w:rPr>
            </w:pPr>
          </w:p>
        </w:tc>
        <w:tc>
          <w:tcPr>
            <w:tcW w:w="520" w:type="pct"/>
          </w:tcPr>
          <w:p w14:paraId="2420BF67" w14:textId="77777777" w:rsidR="006E1079" w:rsidRDefault="006E1079" w:rsidP="00813A84">
            <w:pPr>
              <w:pStyle w:val="aDSPara"/>
              <w:spacing w:before="60" w:after="60"/>
              <w:ind w:left="0"/>
              <w:jc w:val="left"/>
              <w:rPr>
                <w:sz w:val="20"/>
                <w:szCs w:val="20"/>
              </w:rPr>
            </w:pPr>
          </w:p>
        </w:tc>
      </w:tr>
      <w:tr w:rsidR="00942E3C" w:rsidRPr="00526ADF" w14:paraId="62B07AA5" w14:textId="77777777" w:rsidTr="00942E3C">
        <w:trPr>
          <w:trHeight w:val="291"/>
        </w:trPr>
        <w:tc>
          <w:tcPr>
            <w:tcW w:w="340" w:type="pct"/>
          </w:tcPr>
          <w:p w14:paraId="0EE7BF62" w14:textId="7651A0CC" w:rsidR="00942E3C" w:rsidRDefault="006E1079" w:rsidP="00434728">
            <w:pPr>
              <w:pStyle w:val="aDSPara"/>
              <w:spacing w:before="60" w:after="60"/>
              <w:ind w:left="0"/>
              <w:jc w:val="center"/>
              <w:rPr>
                <w:sz w:val="20"/>
                <w:szCs w:val="20"/>
              </w:rPr>
            </w:pPr>
            <w:r>
              <w:rPr>
                <w:sz w:val="20"/>
                <w:szCs w:val="20"/>
              </w:rPr>
              <w:t>5</w:t>
            </w:r>
          </w:p>
        </w:tc>
        <w:tc>
          <w:tcPr>
            <w:tcW w:w="4140" w:type="pct"/>
          </w:tcPr>
          <w:p w14:paraId="4E973410" w14:textId="7D1D5465" w:rsidR="00942E3C" w:rsidRDefault="004A66B9" w:rsidP="009D096B">
            <w:pPr>
              <w:widowControl/>
              <w:spacing w:before="0" w:after="160" w:line="278" w:lineRule="auto"/>
              <w:outlineLvl w:val="9"/>
            </w:pPr>
            <w:r>
              <w:t xml:space="preserve">Bidder to submit proof of </w:t>
            </w:r>
            <w:r w:rsidR="00744BB8">
              <w:t xml:space="preserve">capability to perform </w:t>
            </w:r>
            <w:r w:rsidR="00916ECF">
              <w:t>Q</w:t>
            </w:r>
            <w:r w:rsidR="00744BB8">
              <w:t>C tests on produced kits according to GMP requirements</w:t>
            </w:r>
          </w:p>
          <w:p w14:paraId="1985F890" w14:textId="16DC72C7" w:rsidR="00744BB8" w:rsidRDefault="00744BB8" w:rsidP="009D096B">
            <w:pPr>
              <w:widowControl/>
              <w:spacing w:before="0" w:after="160" w:line="278" w:lineRule="auto"/>
              <w:outlineLvl w:val="9"/>
            </w:pPr>
            <w:r>
              <w:t xml:space="preserve"> a) ownership of Analytical instrumentation necessary for QC tests (HPLC, Visual inspection box, pH meter, laboratory oven, 5 decimal point analytical balance) </w:t>
            </w:r>
            <w:r w:rsidR="00F93C2B">
              <w:t>with services and maintenance track records</w:t>
            </w:r>
          </w:p>
          <w:p w14:paraId="5DD4B008" w14:textId="518DB926" w:rsidR="00744BB8" w:rsidRDefault="00F93C2B" w:rsidP="009D096B">
            <w:pPr>
              <w:widowControl/>
              <w:spacing w:before="0" w:after="160" w:line="278" w:lineRule="auto"/>
              <w:outlineLvl w:val="9"/>
            </w:pPr>
            <w:r>
              <w:t>b) adequately trained analyst</w:t>
            </w:r>
            <w:r w:rsidR="00E25472">
              <w:t>/</w:t>
            </w:r>
            <w:r>
              <w:t>s (proof of training</w:t>
            </w:r>
            <w:r w:rsidR="006978A2">
              <w:t xml:space="preserve"> </w:t>
            </w:r>
            <w:r w:rsidR="00E25472">
              <w:t>or diploma/</w:t>
            </w:r>
            <w:r w:rsidR="006978A2">
              <w:t>degree</w:t>
            </w:r>
            <w:r w:rsidR="00E25472">
              <w:t xml:space="preserve"> in analytical Chemistry, pharmacy etc</w:t>
            </w:r>
            <w:r>
              <w:t>)</w:t>
            </w:r>
          </w:p>
          <w:p w14:paraId="6BA5DD61" w14:textId="15DA1372" w:rsidR="00F93C2B" w:rsidRDefault="00F93C2B" w:rsidP="009D096B">
            <w:pPr>
              <w:widowControl/>
              <w:spacing w:before="0" w:after="160" w:line="278" w:lineRule="auto"/>
              <w:outlineLvl w:val="9"/>
            </w:pPr>
            <w:r>
              <w:t xml:space="preserve">* </w:t>
            </w:r>
            <w:proofErr w:type="gramStart"/>
            <w:r>
              <w:t>in</w:t>
            </w:r>
            <w:proofErr w:type="gramEnd"/>
            <w:r>
              <w:t xml:space="preserve"> case of bidder subcontracting QC laboratory for </w:t>
            </w:r>
            <w:r w:rsidR="00554F13">
              <w:t xml:space="preserve">required </w:t>
            </w:r>
            <w:r>
              <w:t>analyses</w:t>
            </w:r>
            <w:r w:rsidR="00554F13">
              <w:t>,</w:t>
            </w:r>
            <w:r>
              <w:t xml:space="preserve"> </w:t>
            </w:r>
            <w:r w:rsidR="00BA5A2B">
              <w:t xml:space="preserve">requirements </w:t>
            </w:r>
            <w:r>
              <w:t>a) and b) are applicable</w:t>
            </w:r>
            <w:r w:rsidR="0041243F">
              <w:t xml:space="preserve"> to contracted QC laboratory</w:t>
            </w:r>
            <w:r>
              <w:t xml:space="preserve"> </w:t>
            </w:r>
          </w:p>
        </w:tc>
        <w:tc>
          <w:tcPr>
            <w:tcW w:w="520" w:type="pct"/>
          </w:tcPr>
          <w:p w14:paraId="552AB6B7" w14:textId="77777777" w:rsidR="00942E3C" w:rsidRDefault="00942E3C" w:rsidP="00813A84">
            <w:pPr>
              <w:pStyle w:val="aDSPara"/>
              <w:spacing w:before="60" w:after="60"/>
              <w:ind w:left="0"/>
              <w:jc w:val="left"/>
              <w:rPr>
                <w:sz w:val="20"/>
                <w:szCs w:val="20"/>
              </w:rPr>
            </w:pPr>
          </w:p>
        </w:tc>
      </w:tr>
    </w:tbl>
    <w:p w14:paraId="1444A808" w14:textId="74E841AC" w:rsidR="006E040B" w:rsidRDefault="006E040B" w:rsidP="00777F53">
      <w:pPr>
        <w:pStyle w:val="Index3"/>
        <w:numPr>
          <w:ilvl w:val="2"/>
          <w:numId w:val="17"/>
        </w:numPr>
        <w:spacing w:line="240" w:lineRule="auto"/>
        <w:jc w:val="left"/>
      </w:pPr>
      <w:bookmarkStart w:id="27" w:name="_Toc187404193"/>
      <w:bookmarkEnd w:id="26"/>
      <w:r w:rsidRPr="00A00833">
        <w:t>Technical / Functional Evaluation Criteria</w:t>
      </w:r>
      <w:bookmarkEnd w:id="27"/>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757"/>
        <w:gridCol w:w="1408"/>
        <w:gridCol w:w="1319"/>
        <w:gridCol w:w="5173"/>
      </w:tblGrid>
      <w:tr w:rsidR="00492E44" w:rsidRPr="005E71C3" w14:paraId="7D1189B5" w14:textId="77777777" w:rsidTr="000F5AC2">
        <w:trPr>
          <w:cantSplit/>
          <w:trHeight w:val="380"/>
          <w:tblHeader/>
        </w:trPr>
        <w:tc>
          <w:tcPr>
            <w:tcW w:w="372"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lastRenderedPageBreak/>
              <w:t>Item</w:t>
            </w:r>
          </w:p>
        </w:tc>
        <w:tc>
          <w:tcPr>
            <w:tcW w:w="1951"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7"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47"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753"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F62295" w:rsidRPr="005E71C3" w14:paraId="64D0C924" w14:textId="77777777" w:rsidTr="000F5AC2">
        <w:trPr>
          <w:cantSplit/>
          <w:trHeight w:val="704"/>
        </w:trPr>
        <w:tc>
          <w:tcPr>
            <w:tcW w:w="372" w:type="pct"/>
            <w:vMerge w:val="restart"/>
          </w:tcPr>
          <w:p w14:paraId="24DCE45C" w14:textId="77777777" w:rsidR="00F62295" w:rsidRPr="005E71C3" w:rsidRDefault="00F62295" w:rsidP="0098279B">
            <w:pPr>
              <w:pStyle w:val="aDSPara"/>
              <w:spacing w:before="60" w:after="60"/>
              <w:ind w:left="0"/>
              <w:jc w:val="center"/>
              <w:rPr>
                <w:rFonts w:eastAsia="MS Mincho" w:cs="Arial"/>
                <w:sz w:val="20"/>
                <w:szCs w:val="20"/>
                <w:highlight w:val="yellow"/>
              </w:rPr>
            </w:pPr>
            <w:r w:rsidRPr="005E71C3">
              <w:rPr>
                <w:rFonts w:cs="Arial"/>
                <w:sz w:val="20"/>
                <w:szCs w:val="20"/>
              </w:rPr>
              <w:t>1</w:t>
            </w:r>
          </w:p>
        </w:tc>
        <w:tc>
          <w:tcPr>
            <w:tcW w:w="1951" w:type="pct"/>
            <w:vMerge w:val="restart"/>
          </w:tcPr>
          <w:p w14:paraId="52BEA1B6" w14:textId="2A2A94E7" w:rsidR="00F62295" w:rsidRPr="00776D86" w:rsidRDefault="00F62295" w:rsidP="00646A6D">
            <w:pPr>
              <w:spacing w:before="240"/>
              <w:jc w:val="both"/>
              <w:rPr>
                <w:rFonts w:eastAsia="MS Mincho"/>
                <w:b/>
                <w:bCs/>
                <w:sz w:val="20"/>
                <w:szCs w:val="20"/>
              </w:rPr>
            </w:pPr>
            <w:r w:rsidRPr="00776D86">
              <w:rPr>
                <w:rFonts w:eastAsia="MS Mincho"/>
                <w:b/>
                <w:bCs/>
                <w:sz w:val="20"/>
                <w:szCs w:val="20"/>
              </w:rPr>
              <w:t xml:space="preserve">Technical Capability: </w:t>
            </w:r>
          </w:p>
          <w:p w14:paraId="79E0A3DC" w14:textId="77777777" w:rsidR="00F62295" w:rsidRDefault="00F62295" w:rsidP="00646A6D">
            <w:pPr>
              <w:spacing w:before="240"/>
              <w:jc w:val="both"/>
              <w:rPr>
                <w:rFonts w:eastAsia="MS Mincho"/>
                <w:sz w:val="20"/>
                <w:szCs w:val="20"/>
              </w:rPr>
            </w:pPr>
            <w:r w:rsidRPr="00776D86">
              <w:rPr>
                <w:rFonts w:eastAsia="MS Mincho"/>
                <w:sz w:val="20"/>
                <w:szCs w:val="20"/>
              </w:rPr>
              <w:t>Demonstrated ability to manufacture sterile, lyophilized pharmaceutical products; GMP compliance; facility readiness; freeze-drying infrastructure.</w:t>
            </w:r>
          </w:p>
          <w:p w14:paraId="05E7C2FD" w14:textId="63CF6980" w:rsidR="006F03BA" w:rsidRPr="00EF1790" w:rsidRDefault="006F03BA" w:rsidP="00646A6D">
            <w:pPr>
              <w:spacing w:before="240"/>
              <w:jc w:val="both"/>
              <w:rPr>
                <w:rFonts w:eastAsia="MS Mincho"/>
                <w:sz w:val="20"/>
                <w:szCs w:val="20"/>
              </w:rPr>
            </w:pPr>
            <w:r>
              <w:rPr>
                <w:rFonts w:eastAsia="MS Mincho"/>
                <w:sz w:val="20"/>
                <w:szCs w:val="20"/>
              </w:rPr>
              <w:t>(Bidder to submit all the documents listed under Criteria to score points</w:t>
            </w:r>
          </w:p>
        </w:tc>
        <w:tc>
          <w:tcPr>
            <w:tcW w:w="477" w:type="pct"/>
            <w:vMerge w:val="restart"/>
            <w:vAlign w:val="center"/>
          </w:tcPr>
          <w:p w14:paraId="273004A8" w14:textId="33AAF5E2" w:rsidR="00F62295" w:rsidRPr="00EF1790" w:rsidRDefault="00D67438" w:rsidP="0098279B">
            <w:pPr>
              <w:pStyle w:val="aDSPara"/>
              <w:spacing w:before="60" w:after="60"/>
              <w:ind w:left="0"/>
              <w:jc w:val="center"/>
              <w:rPr>
                <w:rFonts w:eastAsia="MS Mincho" w:cs="Arial"/>
                <w:sz w:val="20"/>
                <w:szCs w:val="20"/>
              </w:rPr>
            </w:pPr>
            <w:r>
              <w:rPr>
                <w:rFonts w:eastAsia="MS Mincho" w:cs="Arial"/>
                <w:sz w:val="20"/>
                <w:szCs w:val="20"/>
              </w:rPr>
              <w:t>40</w:t>
            </w:r>
          </w:p>
          <w:p w14:paraId="782F62F7" w14:textId="77777777" w:rsidR="00F62295" w:rsidRPr="00EF1790" w:rsidRDefault="00F62295" w:rsidP="0098279B">
            <w:pPr>
              <w:pStyle w:val="aDSPara"/>
              <w:spacing w:before="60" w:after="60"/>
              <w:ind w:left="0"/>
              <w:jc w:val="center"/>
              <w:rPr>
                <w:rFonts w:eastAsia="MS Mincho" w:cs="Arial"/>
                <w:sz w:val="20"/>
                <w:szCs w:val="20"/>
              </w:rPr>
            </w:pPr>
          </w:p>
        </w:tc>
        <w:tc>
          <w:tcPr>
            <w:tcW w:w="447" w:type="pct"/>
            <w:vAlign w:val="center"/>
          </w:tcPr>
          <w:p w14:paraId="4CF497F0" w14:textId="443F7774" w:rsidR="00F62295" w:rsidRPr="00EF1790" w:rsidRDefault="00D67438" w:rsidP="0098279B">
            <w:pPr>
              <w:pStyle w:val="aDSPara"/>
              <w:spacing w:before="60" w:after="60"/>
              <w:ind w:left="0"/>
              <w:jc w:val="center"/>
              <w:rPr>
                <w:rFonts w:eastAsia="MS Mincho" w:cs="Arial"/>
                <w:sz w:val="20"/>
                <w:szCs w:val="20"/>
              </w:rPr>
            </w:pPr>
            <w:r>
              <w:rPr>
                <w:rFonts w:eastAsia="MS Mincho" w:cs="Arial"/>
                <w:sz w:val="20"/>
                <w:szCs w:val="20"/>
              </w:rPr>
              <w:t>5</w:t>
            </w:r>
          </w:p>
        </w:tc>
        <w:tc>
          <w:tcPr>
            <w:tcW w:w="1753" w:type="pct"/>
          </w:tcPr>
          <w:p w14:paraId="53303176" w14:textId="77777777" w:rsidR="00F62295" w:rsidRPr="00776D86" w:rsidRDefault="00F62295" w:rsidP="006F03BA">
            <w:pPr>
              <w:pStyle w:val="aDSPara"/>
              <w:spacing w:before="60" w:after="60"/>
              <w:ind w:left="0"/>
              <w:rPr>
                <w:rFonts w:eastAsia="MS Mincho"/>
                <w:sz w:val="20"/>
                <w:szCs w:val="20"/>
                <w:lang w:val="en-ZA"/>
              </w:rPr>
            </w:pPr>
            <w:r w:rsidRPr="00776D86">
              <w:rPr>
                <w:rFonts w:eastAsia="MS Mincho"/>
                <w:b/>
                <w:bCs/>
                <w:sz w:val="20"/>
                <w:szCs w:val="20"/>
                <w:lang w:val="en-ZA"/>
              </w:rPr>
              <w:t>Company Profile</w:t>
            </w:r>
            <w:r w:rsidRPr="00776D86">
              <w:rPr>
                <w:rFonts w:eastAsia="MS Mincho"/>
                <w:sz w:val="20"/>
                <w:szCs w:val="20"/>
                <w:lang w:val="en-ZA"/>
              </w:rPr>
              <w:t xml:space="preserve"> highlighting sterile pharmaceutical manufacturing operations.</w:t>
            </w:r>
          </w:p>
          <w:p w14:paraId="5E75B5EA" w14:textId="502500E7" w:rsidR="00F62295" w:rsidRPr="00EF1790" w:rsidRDefault="00F62295" w:rsidP="006F03BA">
            <w:pPr>
              <w:pStyle w:val="aDSPara"/>
              <w:spacing w:before="60" w:after="60"/>
              <w:ind w:left="720"/>
              <w:rPr>
                <w:rFonts w:eastAsia="MS Mincho" w:cs="Arial"/>
                <w:sz w:val="20"/>
                <w:szCs w:val="20"/>
              </w:rPr>
            </w:pPr>
            <w:r w:rsidRPr="00776D86">
              <w:rPr>
                <w:rFonts w:eastAsia="MS Mincho"/>
                <w:sz w:val="20"/>
                <w:szCs w:val="20"/>
                <w:lang w:val="en-ZA"/>
              </w:rPr>
              <w:t>.</w:t>
            </w:r>
          </w:p>
        </w:tc>
      </w:tr>
      <w:tr w:rsidR="000F5AC2" w:rsidRPr="005E71C3" w14:paraId="48C6788F" w14:textId="77777777" w:rsidTr="000F5AC2">
        <w:trPr>
          <w:cantSplit/>
          <w:trHeight w:val="905"/>
        </w:trPr>
        <w:tc>
          <w:tcPr>
            <w:tcW w:w="372" w:type="pct"/>
            <w:vMerge/>
          </w:tcPr>
          <w:p w14:paraId="58EE26A6"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434D8AEB"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10D72055"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280010E2" w14:textId="5A046A9C" w:rsidR="000F5AC2" w:rsidRDefault="00D67438" w:rsidP="0098279B">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259463D4" w14:textId="4E70D3E7" w:rsidR="000F5AC2" w:rsidRPr="00776D86" w:rsidRDefault="000F5AC2" w:rsidP="006F03BA">
            <w:pPr>
              <w:pStyle w:val="aDSPara"/>
              <w:spacing w:before="60" w:after="60"/>
              <w:ind w:left="0"/>
              <w:rPr>
                <w:rFonts w:eastAsia="MS Mincho"/>
                <w:b/>
                <w:bCs/>
                <w:sz w:val="20"/>
                <w:szCs w:val="20"/>
                <w:lang w:val="en-ZA"/>
              </w:rPr>
            </w:pPr>
            <w:r w:rsidRPr="00776D86">
              <w:rPr>
                <w:rFonts w:eastAsia="MS Mincho"/>
                <w:b/>
                <w:bCs/>
                <w:sz w:val="20"/>
                <w:szCs w:val="20"/>
                <w:lang w:val="en-ZA"/>
              </w:rPr>
              <w:t>Equipment List</w:t>
            </w:r>
            <w:r w:rsidRPr="00776D86">
              <w:rPr>
                <w:rFonts w:eastAsia="MS Mincho"/>
                <w:sz w:val="20"/>
                <w:szCs w:val="20"/>
                <w:lang w:val="en-ZA"/>
              </w:rPr>
              <w:t xml:space="preserve"> detailing lyophilisation (freeze-drying) units, autoclaves, laminar-flow hoods, and environmental monitoring systems.</w:t>
            </w:r>
          </w:p>
        </w:tc>
      </w:tr>
      <w:tr w:rsidR="000F5AC2" w:rsidRPr="005E71C3" w14:paraId="06855E71" w14:textId="77777777" w:rsidTr="000F5AC2">
        <w:trPr>
          <w:cantSplit/>
          <w:trHeight w:val="846"/>
        </w:trPr>
        <w:tc>
          <w:tcPr>
            <w:tcW w:w="372" w:type="pct"/>
            <w:vMerge/>
          </w:tcPr>
          <w:p w14:paraId="460C518B"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61A10AA0"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7A2180C0"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725543C7" w14:textId="56296DC4" w:rsidR="000F5AC2" w:rsidRDefault="00554F13" w:rsidP="0098279B">
            <w:pPr>
              <w:pStyle w:val="aDSPara"/>
              <w:spacing w:before="60" w:after="60"/>
              <w:ind w:left="0"/>
              <w:jc w:val="center"/>
              <w:rPr>
                <w:rFonts w:eastAsia="MS Mincho" w:cs="Arial"/>
                <w:sz w:val="20"/>
                <w:szCs w:val="20"/>
              </w:rPr>
            </w:pPr>
            <w:r>
              <w:rPr>
                <w:rFonts w:eastAsia="MS Mincho" w:cs="Arial"/>
                <w:sz w:val="20"/>
                <w:szCs w:val="20"/>
              </w:rPr>
              <w:t>5</w:t>
            </w:r>
          </w:p>
        </w:tc>
        <w:tc>
          <w:tcPr>
            <w:tcW w:w="1753" w:type="pct"/>
          </w:tcPr>
          <w:p w14:paraId="4C161736" w14:textId="463E6FFD" w:rsidR="000F5AC2" w:rsidRPr="00776D86" w:rsidRDefault="000F5AC2" w:rsidP="006F03BA">
            <w:pPr>
              <w:pStyle w:val="aDSPara"/>
              <w:spacing w:before="60" w:after="60"/>
              <w:ind w:left="0"/>
              <w:rPr>
                <w:rFonts w:eastAsia="MS Mincho"/>
                <w:b/>
                <w:bCs/>
                <w:sz w:val="20"/>
                <w:szCs w:val="20"/>
                <w:lang w:val="en-ZA"/>
              </w:rPr>
            </w:pPr>
            <w:r w:rsidRPr="00776D86">
              <w:rPr>
                <w:rFonts w:eastAsia="MS Mincho"/>
                <w:b/>
                <w:bCs/>
                <w:sz w:val="20"/>
                <w:szCs w:val="20"/>
                <w:lang w:val="en-ZA"/>
              </w:rPr>
              <w:t>Photographic Evidence</w:t>
            </w:r>
            <w:r w:rsidRPr="00776D86">
              <w:rPr>
                <w:rFonts w:eastAsia="MS Mincho"/>
                <w:sz w:val="20"/>
                <w:szCs w:val="20"/>
                <w:lang w:val="en-ZA"/>
              </w:rPr>
              <w:t xml:space="preserve"> or </w:t>
            </w:r>
            <w:r w:rsidRPr="00776D86">
              <w:rPr>
                <w:rFonts w:eastAsia="MS Mincho"/>
                <w:b/>
                <w:bCs/>
                <w:sz w:val="20"/>
                <w:szCs w:val="20"/>
                <w:lang w:val="en-ZA"/>
              </w:rPr>
              <w:t>Site Summary</w:t>
            </w:r>
            <w:r w:rsidRPr="00776D86">
              <w:rPr>
                <w:rFonts w:eastAsia="MS Mincho"/>
                <w:sz w:val="20"/>
                <w:szCs w:val="20"/>
                <w:lang w:val="en-ZA"/>
              </w:rPr>
              <w:t xml:space="preserve"> confirming existence and readiness of manufacturing and QC facilities.</w:t>
            </w:r>
          </w:p>
        </w:tc>
      </w:tr>
      <w:tr w:rsidR="000F5AC2" w:rsidRPr="005E71C3" w14:paraId="60E6AB73" w14:textId="77777777" w:rsidTr="000F5AC2">
        <w:trPr>
          <w:cantSplit/>
          <w:trHeight w:val="891"/>
        </w:trPr>
        <w:tc>
          <w:tcPr>
            <w:tcW w:w="372" w:type="pct"/>
            <w:vMerge/>
          </w:tcPr>
          <w:p w14:paraId="44293ACD"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7CC1928D"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29202163"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50AD97AC" w14:textId="6E6998E3" w:rsidR="000F5AC2" w:rsidRDefault="00D67438" w:rsidP="0098279B">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2EA090FB" w14:textId="15CB1D00" w:rsidR="000F5AC2" w:rsidRPr="00776D86" w:rsidRDefault="000F5AC2" w:rsidP="006F03BA">
            <w:pPr>
              <w:pStyle w:val="aDSPara"/>
              <w:spacing w:before="60" w:after="60"/>
              <w:ind w:left="0"/>
              <w:rPr>
                <w:rFonts w:eastAsia="MS Mincho"/>
                <w:b/>
                <w:bCs/>
                <w:sz w:val="20"/>
                <w:szCs w:val="20"/>
                <w:lang w:val="en-ZA"/>
              </w:rPr>
            </w:pPr>
            <w:r w:rsidRPr="00776D86">
              <w:rPr>
                <w:rFonts w:eastAsia="MS Mincho"/>
                <w:b/>
                <w:bCs/>
                <w:sz w:val="20"/>
                <w:szCs w:val="20"/>
                <w:lang w:val="en-ZA"/>
              </w:rPr>
              <w:t>Two Client Reference Letters</w:t>
            </w:r>
            <w:r w:rsidRPr="00776D86">
              <w:rPr>
                <w:rFonts w:eastAsia="MS Mincho"/>
                <w:sz w:val="20"/>
                <w:szCs w:val="20"/>
                <w:lang w:val="en-ZA"/>
              </w:rPr>
              <w:t xml:space="preserve"> (or contracts / completion certificates) confirming previous </w:t>
            </w:r>
            <w:proofErr w:type="gramStart"/>
            <w:r w:rsidRPr="00776D86">
              <w:rPr>
                <w:rFonts w:eastAsia="MS Mincho"/>
                <w:sz w:val="20"/>
                <w:szCs w:val="20"/>
                <w:lang w:val="en-ZA"/>
              </w:rPr>
              <w:t>sterile  lyophilised</w:t>
            </w:r>
            <w:proofErr w:type="gramEnd"/>
            <w:r w:rsidRPr="00776D86">
              <w:rPr>
                <w:rFonts w:eastAsia="MS Mincho"/>
                <w:sz w:val="20"/>
                <w:szCs w:val="20"/>
                <w:lang w:val="en-ZA"/>
              </w:rPr>
              <w:t xml:space="preserve"> product manufacturing.</w:t>
            </w:r>
          </w:p>
        </w:tc>
      </w:tr>
      <w:tr w:rsidR="000F5AC2" w:rsidRPr="005E71C3" w14:paraId="675DFF5D" w14:textId="77777777" w:rsidTr="000F5AC2">
        <w:trPr>
          <w:cantSplit/>
          <w:trHeight w:val="1306"/>
        </w:trPr>
        <w:tc>
          <w:tcPr>
            <w:tcW w:w="372" w:type="pct"/>
            <w:vMerge/>
          </w:tcPr>
          <w:p w14:paraId="0C6BA5C5" w14:textId="77777777" w:rsidR="000F5AC2" w:rsidRPr="005E71C3" w:rsidRDefault="000F5AC2" w:rsidP="0098279B">
            <w:pPr>
              <w:pStyle w:val="aDSPara"/>
              <w:spacing w:before="60" w:after="60"/>
              <w:ind w:left="0"/>
              <w:jc w:val="center"/>
              <w:rPr>
                <w:rFonts w:cs="Arial"/>
                <w:sz w:val="20"/>
                <w:szCs w:val="20"/>
              </w:rPr>
            </w:pPr>
          </w:p>
        </w:tc>
        <w:tc>
          <w:tcPr>
            <w:tcW w:w="1951" w:type="pct"/>
            <w:vMerge/>
          </w:tcPr>
          <w:p w14:paraId="18C3392E" w14:textId="77777777" w:rsidR="000F5AC2" w:rsidRPr="00776D86" w:rsidRDefault="000F5AC2" w:rsidP="00646A6D">
            <w:pPr>
              <w:spacing w:before="240"/>
              <w:jc w:val="both"/>
              <w:rPr>
                <w:rFonts w:eastAsia="MS Mincho"/>
                <w:b/>
                <w:bCs/>
                <w:sz w:val="20"/>
                <w:szCs w:val="20"/>
              </w:rPr>
            </w:pPr>
          </w:p>
        </w:tc>
        <w:tc>
          <w:tcPr>
            <w:tcW w:w="477" w:type="pct"/>
            <w:vMerge/>
            <w:vAlign w:val="center"/>
          </w:tcPr>
          <w:p w14:paraId="14755F8C" w14:textId="77777777" w:rsidR="000F5AC2" w:rsidRDefault="000F5AC2" w:rsidP="0098279B">
            <w:pPr>
              <w:pStyle w:val="aDSPara"/>
              <w:spacing w:before="60" w:after="60"/>
              <w:ind w:left="0"/>
              <w:jc w:val="center"/>
              <w:rPr>
                <w:rFonts w:eastAsia="MS Mincho" w:cs="Arial"/>
                <w:sz w:val="20"/>
                <w:szCs w:val="20"/>
              </w:rPr>
            </w:pPr>
          </w:p>
        </w:tc>
        <w:tc>
          <w:tcPr>
            <w:tcW w:w="447" w:type="pct"/>
            <w:vAlign w:val="center"/>
          </w:tcPr>
          <w:p w14:paraId="75DF3C6C" w14:textId="09D53067" w:rsidR="000F5AC2" w:rsidRDefault="00D67438" w:rsidP="0098279B">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2563182F" w14:textId="77777777" w:rsidR="000F5AC2" w:rsidRPr="00776D86" w:rsidRDefault="000F5AC2" w:rsidP="006F03BA">
            <w:pPr>
              <w:pStyle w:val="aDSPara"/>
              <w:spacing w:before="60" w:after="60"/>
              <w:ind w:left="0"/>
              <w:rPr>
                <w:rFonts w:eastAsia="MS Mincho"/>
                <w:sz w:val="20"/>
                <w:szCs w:val="20"/>
                <w:lang w:val="en-ZA"/>
              </w:rPr>
            </w:pPr>
            <w:r w:rsidRPr="00776D86">
              <w:rPr>
                <w:rFonts w:eastAsia="MS Mincho"/>
                <w:b/>
                <w:bCs/>
                <w:sz w:val="20"/>
                <w:szCs w:val="20"/>
                <w:lang w:val="en-ZA"/>
              </w:rPr>
              <w:t>Validation Master Plan or summary of process validation protocols</w:t>
            </w:r>
            <w:r w:rsidRPr="00776D86">
              <w:rPr>
                <w:rFonts w:eastAsia="MS Mincho"/>
                <w:sz w:val="20"/>
                <w:szCs w:val="20"/>
                <w:lang w:val="en-ZA"/>
              </w:rPr>
              <w:t xml:space="preserve"> (non-confidential overview acceptable).</w:t>
            </w:r>
          </w:p>
          <w:p w14:paraId="101DEEC7" w14:textId="77777777" w:rsidR="000F5AC2" w:rsidRPr="00776D86" w:rsidRDefault="000F5AC2" w:rsidP="00646A6D">
            <w:pPr>
              <w:pStyle w:val="aDSPara"/>
              <w:spacing w:before="60" w:after="60"/>
              <w:ind w:left="0"/>
              <w:rPr>
                <w:rFonts w:eastAsia="MS Mincho"/>
                <w:b/>
                <w:bCs/>
                <w:sz w:val="20"/>
                <w:szCs w:val="20"/>
                <w:lang w:val="en-ZA"/>
              </w:rPr>
            </w:pPr>
          </w:p>
        </w:tc>
      </w:tr>
      <w:tr w:rsidR="00F62295" w:rsidRPr="005E71C3" w14:paraId="2E8906B9" w14:textId="77777777" w:rsidTr="000F5AC2">
        <w:trPr>
          <w:cantSplit/>
          <w:trHeight w:val="179"/>
        </w:trPr>
        <w:tc>
          <w:tcPr>
            <w:tcW w:w="372" w:type="pct"/>
            <w:vMerge/>
          </w:tcPr>
          <w:p w14:paraId="38C162F0" w14:textId="77777777" w:rsidR="00F62295" w:rsidRPr="005E71C3" w:rsidRDefault="00F62295" w:rsidP="0098279B">
            <w:pPr>
              <w:pStyle w:val="aDSPara"/>
              <w:spacing w:before="60" w:after="60"/>
              <w:ind w:left="0"/>
              <w:jc w:val="center"/>
              <w:rPr>
                <w:rFonts w:eastAsia="MS Mincho" w:cs="Arial"/>
                <w:sz w:val="20"/>
                <w:szCs w:val="20"/>
                <w:highlight w:val="yellow"/>
              </w:rPr>
            </w:pPr>
          </w:p>
        </w:tc>
        <w:tc>
          <w:tcPr>
            <w:tcW w:w="1951" w:type="pct"/>
            <w:vMerge/>
          </w:tcPr>
          <w:p w14:paraId="6DFD6A80" w14:textId="77777777" w:rsidR="00F62295" w:rsidRPr="00EF1790" w:rsidRDefault="00F62295" w:rsidP="0098279B">
            <w:pPr>
              <w:pStyle w:val="aDSPara"/>
              <w:spacing w:before="60" w:after="60"/>
              <w:ind w:left="0"/>
              <w:jc w:val="left"/>
              <w:rPr>
                <w:rFonts w:eastAsia="MS Mincho" w:cs="Arial"/>
                <w:sz w:val="20"/>
                <w:szCs w:val="20"/>
              </w:rPr>
            </w:pPr>
          </w:p>
        </w:tc>
        <w:tc>
          <w:tcPr>
            <w:tcW w:w="477" w:type="pct"/>
            <w:vMerge/>
            <w:vAlign w:val="center"/>
          </w:tcPr>
          <w:p w14:paraId="2DEB9E1F" w14:textId="77777777" w:rsidR="00F62295" w:rsidRPr="00EF1790" w:rsidRDefault="00F62295" w:rsidP="0098279B">
            <w:pPr>
              <w:pStyle w:val="aDSPara"/>
              <w:spacing w:before="60" w:after="60"/>
              <w:ind w:left="0"/>
              <w:jc w:val="center"/>
              <w:rPr>
                <w:rFonts w:eastAsia="MS Mincho" w:cs="Arial"/>
                <w:sz w:val="20"/>
                <w:szCs w:val="20"/>
              </w:rPr>
            </w:pPr>
          </w:p>
        </w:tc>
        <w:tc>
          <w:tcPr>
            <w:tcW w:w="447" w:type="pct"/>
            <w:vAlign w:val="center"/>
          </w:tcPr>
          <w:p w14:paraId="431DDB36" w14:textId="6A3B1B7F" w:rsidR="00F62295" w:rsidRPr="00EF1790" w:rsidRDefault="006F03BA" w:rsidP="0098279B">
            <w:pPr>
              <w:pStyle w:val="aDSPara"/>
              <w:spacing w:before="60" w:after="60"/>
              <w:ind w:left="0"/>
              <w:jc w:val="center"/>
              <w:rPr>
                <w:rFonts w:eastAsia="MS Mincho" w:cs="Arial"/>
                <w:sz w:val="20"/>
                <w:szCs w:val="20"/>
              </w:rPr>
            </w:pPr>
            <w:r>
              <w:rPr>
                <w:rFonts w:eastAsia="MS Mincho" w:cs="Arial"/>
                <w:sz w:val="20"/>
                <w:szCs w:val="20"/>
              </w:rPr>
              <w:t>0</w:t>
            </w:r>
          </w:p>
        </w:tc>
        <w:tc>
          <w:tcPr>
            <w:tcW w:w="1753" w:type="pct"/>
          </w:tcPr>
          <w:p w14:paraId="6B6F7930" w14:textId="23530581" w:rsidR="00F62295" w:rsidRPr="00EF1790" w:rsidRDefault="006F03BA" w:rsidP="0098279B">
            <w:pPr>
              <w:pStyle w:val="aDSPara"/>
              <w:spacing w:before="60" w:after="60"/>
              <w:ind w:left="0"/>
              <w:jc w:val="left"/>
              <w:rPr>
                <w:rFonts w:eastAsia="MS Mincho" w:cs="Arial"/>
                <w:sz w:val="20"/>
                <w:szCs w:val="20"/>
              </w:rPr>
            </w:pPr>
            <w:r>
              <w:rPr>
                <w:rFonts w:eastAsia="MS Mincho" w:cs="Arial"/>
                <w:sz w:val="20"/>
                <w:szCs w:val="20"/>
              </w:rPr>
              <w:t>Non submission of the above documents or submission of incomplete documents.</w:t>
            </w:r>
          </w:p>
        </w:tc>
      </w:tr>
      <w:tr w:rsidR="00F62295" w:rsidRPr="005E71C3" w14:paraId="271BF3C6" w14:textId="77777777" w:rsidTr="000F5AC2">
        <w:trPr>
          <w:cantSplit/>
          <w:trHeight w:val="760"/>
        </w:trPr>
        <w:tc>
          <w:tcPr>
            <w:tcW w:w="372" w:type="pct"/>
            <w:vMerge w:val="restart"/>
          </w:tcPr>
          <w:p w14:paraId="59D3AA6B" w14:textId="77777777" w:rsidR="00F62295" w:rsidRPr="005E71C3" w:rsidRDefault="00F62295" w:rsidP="00646A6D">
            <w:pPr>
              <w:pStyle w:val="aDSPara"/>
              <w:spacing w:before="60" w:after="60"/>
              <w:ind w:left="0"/>
              <w:jc w:val="center"/>
              <w:rPr>
                <w:rFonts w:eastAsia="MS Mincho" w:cs="Arial"/>
                <w:sz w:val="20"/>
                <w:szCs w:val="20"/>
              </w:rPr>
            </w:pPr>
            <w:r>
              <w:rPr>
                <w:rFonts w:eastAsia="MS Mincho" w:cs="Arial"/>
                <w:sz w:val="20"/>
                <w:szCs w:val="20"/>
              </w:rPr>
              <w:t>2</w:t>
            </w:r>
          </w:p>
        </w:tc>
        <w:tc>
          <w:tcPr>
            <w:tcW w:w="1951" w:type="pct"/>
            <w:vMerge w:val="restart"/>
          </w:tcPr>
          <w:p w14:paraId="1E370EFD" w14:textId="77777777" w:rsidR="00F62295" w:rsidRDefault="00F62295" w:rsidP="00646A6D">
            <w:pPr>
              <w:spacing w:before="240"/>
              <w:jc w:val="both"/>
              <w:rPr>
                <w:b/>
                <w:bCs/>
                <w:sz w:val="20"/>
                <w:szCs w:val="20"/>
              </w:rPr>
            </w:pPr>
            <w:r w:rsidRPr="00776D86">
              <w:rPr>
                <w:b/>
                <w:bCs/>
                <w:sz w:val="20"/>
                <w:szCs w:val="20"/>
              </w:rPr>
              <w:t>Quality Assurance and Regulatory Readiness</w:t>
            </w:r>
          </w:p>
          <w:p w14:paraId="2F7B3054" w14:textId="77777777" w:rsidR="00F62295" w:rsidRDefault="00F62295" w:rsidP="00646A6D">
            <w:pPr>
              <w:spacing w:before="240"/>
              <w:jc w:val="both"/>
              <w:rPr>
                <w:bCs/>
                <w:sz w:val="20"/>
                <w:szCs w:val="20"/>
              </w:rPr>
            </w:pPr>
            <w:r w:rsidRPr="00776D86">
              <w:rPr>
                <w:bCs/>
                <w:sz w:val="20"/>
                <w:szCs w:val="20"/>
              </w:rPr>
              <w:t>Demonstrated implementation of a Quality Management System (QMS) and readiness for GMP and SAHPRA compliance.</w:t>
            </w:r>
          </w:p>
          <w:p w14:paraId="40833E60" w14:textId="77777777" w:rsidR="00F62295" w:rsidRDefault="00F62295" w:rsidP="00646A6D">
            <w:pPr>
              <w:spacing w:before="240"/>
              <w:jc w:val="both"/>
              <w:rPr>
                <w:bCs/>
                <w:sz w:val="20"/>
                <w:szCs w:val="20"/>
              </w:rPr>
            </w:pPr>
          </w:p>
          <w:p w14:paraId="5F801050" w14:textId="0A3BA65A" w:rsidR="00F62295" w:rsidRPr="00776D86" w:rsidRDefault="00F62295" w:rsidP="00646A6D">
            <w:pPr>
              <w:spacing w:before="240"/>
              <w:jc w:val="both"/>
              <w:rPr>
                <w:bCs/>
                <w:sz w:val="20"/>
                <w:szCs w:val="20"/>
              </w:rPr>
            </w:pPr>
            <w:r>
              <w:rPr>
                <w:bCs/>
                <w:sz w:val="20"/>
                <w:szCs w:val="20"/>
              </w:rPr>
              <w:t>(</w:t>
            </w:r>
            <w:r w:rsidRPr="00F62295">
              <w:rPr>
                <w:b/>
                <w:sz w:val="20"/>
                <w:szCs w:val="20"/>
              </w:rPr>
              <w:t>Bidder to submit documents listed under Criteria to score points)</w:t>
            </w:r>
          </w:p>
        </w:tc>
        <w:tc>
          <w:tcPr>
            <w:tcW w:w="477" w:type="pct"/>
            <w:vMerge w:val="restart"/>
            <w:vAlign w:val="center"/>
          </w:tcPr>
          <w:p w14:paraId="4EFEC399" w14:textId="6800CF9E" w:rsidR="00F62295" w:rsidRPr="005E71C3" w:rsidRDefault="00D67438"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lastRenderedPageBreak/>
              <w:t>30</w:t>
            </w:r>
          </w:p>
        </w:tc>
        <w:tc>
          <w:tcPr>
            <w:tcW w:w="447" w:type="pct"/>
            <w:vAlign w:val="center"/>
          </w:tcPr>
          <w:p w14:paraId="1EA2AC0F" w14:textId="6280E1B6" w:rsidR="00F62295" w:rsidRPr="005E71C3" w:rsidRDefault="00D67438" w:rsidP="00646A6D">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61AF8F5E" w14:textId="36377F82" w:rsidR="00F62295" w:rsidRPr="006A4548" w:rsidRDefault="00F62295" w:rsidP="00646A6D">
            <w:pPr>
              <w:pStyle w:val="aDSPara"/>
              <w:spacing w:before="60" w:after="60"/>
              <w:ind w:left="0"/>
              <w:jc w:val="left"/>
              <w:rPr>
                <w:rFonts w:cs="Arial"/>
                <w:b/>
                <w:sz w:val="20"/>
                <w:szCs w:val="20"/>
              </w:rPr>
            </w:pPr>
            <w:r w:rsidRPr="00776D86">
              <w:rPr>
                <w:bCs/>
                <w:sz w:val="20"/>
                <w:szCs w:val="20"/>
                <w:lang w:val="en-ZA"/>
              </w:rPr>
              <w:t xml:space="preserve">List of </w:t>
            </w:r>
            <w:r w:rsidR="006F03BA">
              <w:rPr>
                <w:bCs/>
                <w:sz w:val="20"/>
                <w:szCs w:val="20"/>
                <w:lang w:val="en-ZA"/>
              </w:rPr>
              <w:t xml:space="preserve">a minimum of one </w:t>
            </w:r>
            <w:r w:rsidRPr="00776D86">
              <w:rPr>
                <w:bCs/>
                <w:sz w:val="20"/>
                <w:szCs w:val="20"/>
                <w:lang w:val="en-ZA"/>
              </w:rPr>
              <w:t>Standard Operating Procedure (SOPs) relevant to sterile manufacturing and QC (index or summary list).</w:t>
            </w:r>
          </w:p>
        </w:tc>
      </w:tr>
      <w:tr w:rsidR="00F62295" w:rsidRPr="005E71C3" w14:paraId="64DF35C0" w14:textId="77777777" w:rsidTr="000F5AC2">
        <w:trPr>
          <w:cantSplit/>
          <w:trHeight w:val="1057"/>
        </w:trPr>
        <w:tc>
          <w:tcPr>
            <w:tcW w:w="372" w:type="pct"/>
            <w:vMerge/>
          </w:tcPr>
          <w:p w14:paraId="7663B89C" w14:textId="77777777" w:rsidR="00F62295" w:rsidRDefault="00F62295" w:rsidP="00646A6D">
            <w:pPr>
              <w:pStyle w:val="aDSPara"/>
              <w:spacing w:before="60" w:after="60"/>
              <w:ind w:left="0"/>
              <w:jc w:val="center"/>
              <w:rPr>
                <w:rFonts w:eastAsia="MS Mincho" w:cs="Arial"/>
                <w:sz w:val="20"/>
                <w:szCs w:val="20"/>
              </w:rPr>
            </w:pPr>
          </w:p>
        </w:tc>
        <w:tc>
          <w:tcPr>
            <w:tcW w:w="1951" w:type="pct"/>
            <w:vMerge/>
          </w:tcPr>
          <w:p w14:paraId="6AAE3606" w14:textId="77777777" w:rsidR="00F62295" w:rsidRDefault="00F62295" w:rsidP="00646A6D">
            <w:pPr>
              <w:pStyle w:val="aDSPara"/>
              <w:spacing w:before="60" w:after="60"/>
              <w:ind w:left="0"/>
              <w:rPr>
                <w:rFonts w:eastAsia="MS Mincho" w:cs="Arial"/>
                <w:b/>
                <w:color w:val="000000"/>
                <w:sz w:val="18"/>
                <w:szCs w:val="18"/>
              </w:rPr>
            </w:pPr>
          </w:p>
        </w:tc>
        <w:tc>
          <w:tcPr>
            <w:tcW w:w="477" w:type="pct"/>
            <w:vMerge/>
            <w:vAlign w:val="center"/>
          </w:tcPr>
          <w:p w14:paraId="385B8009" w14:textId="77777777" w:rsidR="00F62295" w:rsidRDefault="00F62295" w:rsidP="00646A6D">
            <w:pPr>
              <w:pStyle w:val="aDSPara"/>
              <w:spacing w:before="60" w:after="60"/>
              <w:ind w:left="0"/>
              <w:jc w:val="center"/>
              <w:rPr>
                <w:rFonts w:eastAsia="MS Mincho" w:cs="Arial"/>
                <w:sz w:val="18"/>
                <w:szCs w:val="18"/>
              </w:rPr>
            </w:pPr>
          </w:p>
        </w:tc>
        <w:tc>
          <w:tcPr>
            <w:tcW w:w="447" w:type="pct"/>
            <w:vAlign w:val="center"/>
          </w:tcPr>
          <w:p w14:paraId="294BBCC7" w14:textId="3ED73BAD" w:rsidR="00F62295" w:rsidRPr="005E71C3" w:rsidRDefault="00D67438" w:rsidP="00646A6D">
            <w:pPr>
              <w:pStyle w:val="aDSPara"/>
              <w:spacing w:before="60" w:after="60"/>
              <w:ind w:left="0"/>
              <w:jc w:val="center"/>
              <w:rPr>
                <w:rFonts w:eastAsia="MS Mincho" w:cs="Arial"/>
                <w:sz w:val="20"/>
                <w:szCs w:val="20"/>
              </w:rPr>
            </w:pPr>
            <w:r>
              <w:rPr>
                <w:rFonts w:eastAsia="MS Mincho" w:cs="Arial"/>
                <w:sz w:val="20"/>
                <w:szCs w:val="20"/>
              </w:rPr>
              <w:t>10</w:t>
            </w:r>
          </w:p>
        </w:tc>
        <w:tc>
          <w:tcPr>
            <w:tcW w:w="1753" w:type="pct"/>
          </w:tcPr>
          <w:p w14:paraId="5995DA29" w14:textId="3F93F801" w:rsidR="00F62295" w:rsidRPr="00776D86" w:rsidRDefault="00F62295" w:rsidP="00F62295">
            <w:pPr>
              <w:pStyle w:val="aDSPara"/>
              <w:spacing w:before="60" w:after="60"/>
              <w:ind w:left="0"/>
              <w:rPr>
                <w:rFonts w:cs="Arial"/>
                <w:bCs/>
                <w:sz w:val="20"/>
                <w:szCs w:val="20"/>
              </w:rPr>
            </w:pPr>
            <w:r w:rsidRPr="00776D86">
              <w:rPr>
                <w:bCs/>
                <w:sz w:val="20"/>
                <w:szCs w:val="20"/>
                <w:lang w:val="en-ZA"/>
              </w:rPr>
              <w:t>Sample Batch Record Template or example of a completed batch documentation (may redact proprietary data).</w:t>
            </w:r>
          </w:p>
        </w:tc>
      </w:tr>
      <w:tr w:rsidR="005F7AC1" w:rsidRPr="005E71C3" w14:paraId="6A6F78AD" w14:textId="77777777" w:rsidTr="000F5AC2">
        <w:trPr>
          <w:cantSplit/>
          <w:trHeight w:val="786"/>
        </w:trPr>
        <w:tc>
          <w:tcPr>
            <w:tcW w:w="372" w:type="pct"/>
            <w:vMerge/>
          </w:tcPr>
          <w:p w14:paraId="048A4E42" w14:textId="77777777" w:rsidR="005F7AC1" w:rsidRDefault="005F7AC1" w:rsidP="00646A6D">
            <w:pPr>
              <w:pStyle w:val="aDSPara"/>
              <w:spacing w:before="60" w:after="60"/>
              <w:ind w:left="0"/>
              <w:jc w:val="center"/>
              <w:rPr>
                <w:rFonts w:eastAsia="MS Mincho" w:cs="Arial"/>
                <w:sz w:val="20"/>
                <w:szCs w:val="20"/>
              </w:rPr>
            </w:pPr>
          </w:p>
        </w:tc>
        <w:tc>
          <w:tcPr>
            <w:tcW w:w="1951" w:type="pct"/>
            <w:vMerge/>
          </w:tcPr>
          <w:p w14:paraId="48E8E86F" w14:textId="77777777" w:rsidR="005F7AC1" w:rsidRDefault="005F7AC1" w:rsidP="00646A6D">
            <w:pPr>
              <w:pStyle w:val="aDSPara"/>
              <w:spacing w:before="60" w:after="60"/>
              <w:ind w:left="0"/>
              <w:rPr>
                <w:rFonts w:eastAsia="MS Mincho" w:cs="Arial"/>
                <w:b/>
                <w:color w:val="000000"/>
                <w:sz w:val="18"/>
                <w:szCs w:val="18"/>
              </w:rPr>
            </w:pPr>
          </w:p>
        </w:tc>
        <w:tc>
          <w:tcPr>
            <w:tcW w:w="477" w:type="pct"/>
            <w:vMerge/>
            <w:vAlign w:val="center"/>
          </w:tcPr>
          <w:p w14:paraId="2A29B57B" w14:textId="77777777" w:rsidR="005F7AC1" w:rsidRDefault="005F7AC1" w:rsidP="00646A6D">
            <w:pPr>
              <w:pStyle w:val="aDSPara"/>
              <w:spacing w:before="60" w:after="60"/>
              <w:ind w:left="0"/>
              <w:jc w:val="center"/>
              <w:rPr>
                <w:rFonts w:eastAsia="MS Mincho" w:cs="Arial"/>
                <w:sz w:val="18"/>
                <w:szCs w:val="18"/>
              </w:rPr>
            </w:pPr>
          </w:p>
        </w:tc>
        <w:tc>
          <w:tcPr>
            <w:tcW w:w="447" w:type="pct"/>
            <w:vAlign w:val="center"/>
          </w:tcPr>
          <w:p w14:paraId="1D23EA48" w14:textId="5592A01F" w:rsidR="005F7AC1" w:rsidRDefault="00D67438" w:rsidP="00646A6D">
            <w:pPr>
              <w:pStyle w:val="aDSPara"/>
              <w:spacing w:before="60" w:after="60"/>
              <w:ind w:left="0"/>
              <w:jc w:val="center"/>
              <w:rPr>
                <w:rFonts w:eastAsia="MS Mincho" w:cs="Arial"/>
                <w:bCs/>
                <w:color w:val="000000"/>
                <w:sz w:val="18"/>
                <w:szCs w:val="18"/>
              </w:rPr>
            </w:pPr>
            <w:r>
              <w:rPr>
                <w:rFonts w:eastAsia="MS Mincho" w:cs="Arial"/>
                <w:bCs/>
                <w:color w:val="000000"/>
                <w:sz w:val="18"/>
                <w:szCs w:val="18"/>
              </w:rPr>
              <w:t>10</w:t>
            </w:r>
          </w:p>
        </w:tc>
        <w:tc>
          <w:tcPr>
            <w:tcW w:w="1753" w:type="pct"/>
          </w:tcPr>
          <w:p w14:paraId="05DF8149" w14:textId="6F32E11A" w:rsidR="005F7AC1" w:rsidRPr="00776D86" w:rsidRDefault="005F7AC1" w:rsidP="00F62295">
            <w:pPr>
              <w:pStyle w:val="aDSPara"/>
              <w:spacing w:before="60" w:after="60"/>
              <w:ind w:left="0"/>
              <w:rPr>
                <w:bCs/>
                <w:sz w:val="20"/>
                <w:szCs w:val="20"/>
                <w:lang w:val="en-ZA"/>
              </w:rPr>
            </w:pPr>
            <w:r w:rsidRPr="00776D86">
              <w:rPr>
                <w:bCs/>
                <w:sz w:val="20"/>
                <w:szCs w:val="20"/>
                <w:lang w:val="en-ZA"/>
              </w:rPr>
              <w:t xml:space="preserve">Copy of Quality Manual / QMS Certificate </w:t>
            </w:r>
            <w:proofErr w:type="gramStart"/>
            <w:r w:rsidRPr="00776D86">
              <w:rPr>
                <w:bCs/>
                <w:sz w:val="20"/>
                <w:szCs w:val="20"/>
                <w:lang w:val="en-ZA"/>
              </w:rPr>
              <w:t>( PIC</w:t>
            </w:r>
            <w:proofErr w:type="gramEnd"/>
            <w:r w:rsidRPr="00776D86">
              <w:rPr>
                <w:bCs/>
                <w:sz w:val="20"/>
                <w:szCs w:val="20"/>
                <w:lang w:val="en-ZA"/>
              </w:rPr>
              <w:t>/S GMP, or equivalent).</w:t>
            </w:r>
          </w:p>
        </w:tc>
      </w:tr>
      <w:tr w:rsidR="0024317D" w:rsidRPr="005E71C3" w14:paraId="2D81075C" w14:textId="77777777" w:rsidTr="00B07224">
        <w:trPr>
          <w:cantSplit/>
          <w:trHeight w:val="512"/>
        </w:trPr>
        <w:tc>
          <w:tcPr>
            <w:tcW w:w="372" w:type="pct"/>
            <w:vMerge w:val="restart"/>
          </w:tcPr>
          <w:p w14:paraId="621E054D" w14:textId="77777777" w:rsidR="0024317D" w:rsidRPr="005E71C3" w:rsidRDefault="0024317D" w:rsidP="00646A6D">
            <w:pPr>
              <w:pStyle w:val="aDSPara"/>
              <w:spacing w:before="60" w:after="60"/>
              <w:ind w:left="0"/>
              <w:jc w:val="center"/>
              <w:rPr>
                <w:rFonts w:eastAsia="MS Mincho" w:cs="Arial"/>
                <w:sz w:val="20"/>
                <w:szCs w:val="20"/>
              </w:rPr>
            </w:pPr>
            <w:r>
              <w:rPr>
                <w:rFonts w:eastAsia="MS Mincho" w:cs="Arial"/>
                <w:sz w:val="20"/>
                <w:szCs w:val="20"/>
              </w:rPr>
              <w:t>3</w:t>
            </w:r>
          </w:p>
        </w:tc>
        <w:tc>
          <w:tcPr>
            <w:tcW w:w="1951" w:type="pct"/>
            <w:vMerge w:val="restart"/>
          </w:tcPr>
          <w:p w14:paraId="24E6E29F" w14:textId="77777777" w:rsidR="0024317D" w:rsidRPr="00FF226E" w:rsidRDefault="0024317D" w:rsidP="00776D86">
            <w:pPr>
              <w:widowControl/>
              <w:spacing w:before="240" w:after="200"/>
              <w:jc w:val="both"/>
              <w:outlineLvl w:val="9"/>
              <w:rPr>
                <w:b/>
                <w:bCs/>
                <w:sz w:val="20"/>
                <w:szCs w:val="20"/>
              </w:rPr>
            </w:pPr>
            <w:r w:rsidRPr="00FF226E">
              <w:rPr>
                <w:b/>
                <w:bCs/>
                <w:sz w:val="20"/>
                <w:szCs w:val="20"/>
              </w:rPr>
              <w:t>Relevant Experience and Track Record</w:t>
            </w:r>
          </w:p>
          <w:p w14:paraId="3551D4F4" w14:textId="13D6EE27" w:rsidR="0024317D" w:rsidRPr="00776D86" w:rsidRDefault="0024317D" w:rsidP="00776D86">
            <w:pPr>
              <w:widowControl/>
              <w:spacing w:before="240" w:after="200"/>
              <w:jc w:val="both"/>
              <w:outlineLvl w:val="9"/>
              <w:rPr>
                <w:sz w:val="20"/>
                <w:szCs w:val="20"/>
              </w:rPr>
            </w:pPr>
            <w:r w:rsidRPr="00776D86">
              <w:rPr>
                <w:sz w:val="20"/>
                <w:szCs w:val="20"/>
              </w:rPr>
              <w:t>Proven experience in contract manufacturing of sterile, freeze-dried products.</w:t>
            </w:r>
          </w:p>
        </w:tc>
        <w:tc>
          <w:tcPr>
            <w:tcW w:w="477" w:type="pct"/>
            <w:vMerge w:val="restart"/>
            <w:vAlign w:val="center"/>
          </w:tcPr>
          <w:p w14:paraId="1F6372AE" w14:textId="5BF5E148" w:rsidR="0024317D" w:rsidRPr="005E71C3" w:rsidRDefault="0024317D"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t>20</w:t>
            </w:r>
          </w:p>
        </w:tc>
        <w:tc>
          <w:tcPr>
            <w:tcW w:w="447" w:type="pct"/>
            <w:vAlign w:val="center"/>
          </w:tcPr>
          <w:p w14:paraId="45332F1D" w14:textId="00BFC1BB" w:rsidR="0024317D" w:rsidRPr="005E71C3" w:rsidRDefault="0024317D" w:rsidP="00B07224">
            <w:pPr>
              <w:pStyle w:val="aDSPara"/>
              <w:spacing w:before="60" w:after="60"/>
              <w:ind w:left="0"/>
              <w:jc w:val="center"/>
              <w:rPr>
                <w:rFonts w:eastAsia="MS Mincho" w:cs="Arial"/>
                <w:sz w:val="20"/>
                <w:szCs w:val="20"/>
              </w:rPr>
            </w:pPr>
            <w:r>
              <w:rPr>
                <w:rFonts w:eastAsia="MS Mincho" w:cs="Arial"/>
                <w:sz w:val="20"/>
                <w:szCs w:val="20"/>
              </w:rPr>
              <w:t>0</w:t>
            </w:r>
          </w:p>
        </w:tc>
        <w:tc>
          <w:tcPr>
            <w:tcW w:w="1753" w:type="pct"/>
          </w:tcPr>
          <w:p w14:paraId="57A34453" w14:textId="2B666BF3" w:rsidR="0024317D" w:rsidRPr="005E71C3" w:rsidRDefault="0024317D" w:rsidP="00646A6D">
            <w:pPr>
              <w:pStyle w:val="aDSPara"/>
              <w:spacing w:before="60" w:after="60"/>
              <w:ind w:left="0"/>
              <w:jc w:val="left"/>
              <w:rPr>
                <w:rFonts w:cs="Arial"/>
                <w:sz w:val="20"/>
                <w:szCs w:val="20"/>
              </w:rPr>
            </w:pPr>
            <w:r>
              <w:rPr>
                <w:rFonts w:eastAsia="MS Mincho" w:cs="Arial"/>
                <w:sz w:val="20"/>
                <w:szCs w:val="20"/>
              </w:rPr>
              <w:t>Non submission of the above documents or submission of incomplete documents.</w:t>
            </w:r>
          </w:p>
        </w:tc>
      </w:tr>
      <w:tr w:rsidR="0024317D" w:rsidRPr="005E71C3" w14:paraId="61E2096E" w14:textId="77777777" w:rsidTr="00B07224">
        <w:trPr>
          <w:cantSplit/>
          <w:trHeight w:val="1302"/>
        </w:trPr>
        <w:tc>
          <w:tcPr>
            <w:tcW w:w="372" w:type="pct"/>
            <w:vMerge/>
          </w:tcPr>
          <w:p w14:paraId="4A041AC7"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1A8433A4" w14:textId="77777777" w:rsidR="0024317D" w:rsidRPr="005E71C3" w:rsidRDefault="0024317D" w:rsidP="00646A6D">
            <w:pPr>
              <w:spacing w:before="240"/>
              <w:jc w:val="both"/>
              <w:rPr>
                <w:sz w:val="20"/>
                <w:szCs w:val="20"/>
              </w:rPr>
            </w:pPr>
          </w:p>
        </w:tc>
        <w:tc>
          <w:tcPr>
            <w:tcW w:w="477" w:type="pct"/>
            <w:vMerge/>
            <w:vAlign w:val="center"/>
          </w:tcPr>
          <w:p w14:paraId="5CBDCAE8"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vAlign w:val="center"/>
          </w:tcPr>
          <w:p w14:paraId="781E0630" w14:textId="1A92CA02" w:rsidR="0024317D" w:rsidRPr="005F7AC1" w:rsidRDefault="0024317D" w:rsidP="00B07224">
            <w:pPr>
              <w:pStyle w:val="aDSPara"/>
              <w:spacing w:before="60" w:after="60"/>
              <w:ind w:left="0"/>
              <w:jc w:val="center"/>
              <w:rPr>
                <w:rFonts w:eastAsia="MS Mincho"/>
                <w:sz w:val="20"/>
              </w:rPr>
            </w:pPr>
            <w:r>
              <w:rPr>
                <w:rFonts w:eastAsia="MS Mincho"/>
                <w:sz w:val="20"/>
              </w:rPr>
              <w:t>10</w:t>
            </w:r>
          </w:p>
        </w:tc>
        <w:tc>
          <w:tcPr>
            <w:tcW w:w="1753" w:type="pct"/>
          </w:tcPr>
          <w:p w14:paraId="5DD9218D" w14:textId="756CF693" w:rsidR="0024317D" w:rsidRPr="00B07224" w:rsidRDefault="0024317D" w:rsidP="00B07224">
            <w:pPr>
              <w:tabs>
                <w:tab w:val="left" w:pos="567"/>
              </w:tabs>
              <w:spacing w:after="60"/>
              <w:jc w:val="both"/>
              <w:rPr>
                <w:bCs/>
                <w:sz w:val="20"/>
                <w:szCs w:val="20"/>
              </w:rPr>
            </w:pPr>
            <w:r>
              <w:rPr>
                <w:bCs/>
                <w:sz w:val="20"/>
                <w:szCs w:val="20"/>
              </w:rPr>
              <w:t>5 or more years of relevant experience in manufacturing sterile lyophilised pharmaceutical products</w:t>
            </w:r>
          </w:p>
          <w:p w14:paraId="63688805" w14:textId="3B3CA66B" w:rsidR="007D4EE5" w:rsidRDefault="0024317D" w:rsidP="00FF226E">
            <w:pPr>
              <w:pStyle w:val="aDSPara"/>
              <w:spacing w:before="60" w:after="60"/>
              <w:ind w:left="0"/>
              <w:rPr>
                <w:bCs/>
                <w:sz w:val="20"/>
                <w:szCs w:val="20"/>
                <w:lang w:val="en-ZA"/>
              </w:rPr>
            </w:pPr>
            <w:r w:rsidRPr="00776D86">
              <w:rPr>
                <w:bCs/>
                <w:sz w:val="20"/>
                <w:szCs w:val="20"/>
                <w:lang w:val="en-ZA"/>
              </w:rPr>
              <w:t>List of Similar Projects / Contracts undertaken in the past 5 years (include project name, client, year, scope</w:t>
            </w:r>
            <w:proofErr w:type="gramStart"/>
            <w:r w:rsidRPr="00776D86">
              <w:rPr>
                <w:bCs/>
                <w:sz w:val="20"/>
                <w:szCs w:val="20"/>
                <w:lang w:val="en-ZA"/>
              </w:rPr>
              <w:t>).</w:t>
            </w:r>
            <w:r w:rsidR="007D4EE5">
              <w:rPr>
                <w:bCs/>
                <w:sz w:val="20"/>
                <w:szCs w:val="20"/>
                <w:lang w:val="en-ZA"/>
              </w:rPr>
              <w:t>(</w:t>
            </w:r>
            <w:proofErr w:type="gramEnd"/>
            <w:r w:rsidR="007D4EE5">
              <w:rPr>
                <w:bCs/>
                <w:sz w:val="20"/>
                <w:szCs w:val="20"/>
                <w:lang w:val="en-ZA"/>
              </w:rPr>
              <w:t xml:space="preserve"> a minimum of one </w:t>
            </w:r>
            <w:proofErr w:type="gramStart"/>
            <w:r w:rsidR="007D4EE5">
              <w:rPr>
                <w:bCs/>
                <w:sz w:val="20"/>
                <w:szCs w:val="20"/>
                <w:lang w:val="en-ZA"/>
              </w:rPr>
              <w:t>Project )</w:t>
            </w:r>
            <w:proofErr w:type="gramEnd"/>
          </w:p>
          <w:p w14:paraId="32E04C76" w14:textId="7E3E3585" w:rsidR="0024317D" w:rsidRPr="005F7AC1" w:rsidRDefault="0024317D" w:rsidP="005F7AC1">
            <w:pPr>
              <w:pStyle w:val="aDSPara"/>
              <w:spacing w:before="60" w:after="60"/>
              <w:ind w:left="0"/>
              <w:rPr>
                <w:bCs/>
                <w:sz w:val="20"/>
                <w:szCs w:val="20"/>
                <w:lang w:val="en-ZA"/>
              </w:rPr>
            </w:pPr>
          </w:p>
        </w:tc>
      </w:tr>
      <w:tr w:rsidR="0024317D" w:rsidRPr="005E71C3" w14:paraId="027AE06F" w14:textId="77777777" w:rsidTr="00CC0B9E">
        <w:trPr>
          <w:cantSplit/>
          <w:trHeight w:val="1656"/>
        </w:trPr>
        <w:tc>
          <w:tcPr>
            <w:tcW w:w="372" w:type="pct"/>
            <w:vMerge/>
          </w:tcPr>
          <w:p w14:paraId="71C3FC92"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06BD61DB" w14:textId="77777777" w:rsidR="0024317D" w:rsidRPr="005E71C3" w:rsidRDefault="0024317D" w:rsidP="00646A6D">
            <w:pPr>
              <w:spacing w:before="240"/>
              <w:jc w:val="both"/>
              <w:rPr>
                <w:sz w:val="20"/>
                <w:szCs w:val="20"/>
              </w:rPr>
            </w:pPr>
          </w:p>
        </w:tc>
        <w:tc>
          <w:tcPr>
            <w:tcW w:w="477" w:type="pct"/>
            <w:vMerge/>
            <w:vAlign w:val="center"/>
          </w:tcPr>
          <w:p w14:paraId="2A5FC8EE"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vAlign w:val="center"/>
          </w:tcPr>
          <w:p w14:paraId="37AC190B" w14:textId="6BD2E47A" w:rsidR="0024317D" w:rsidRDefault="0024317D" w:rsidP="00B07224">
            <w:pPr>
              <w:pStyle w:val="aDSPara"/>
              <w:spacing w:before="60" w:after="60"/>
              <w:ind w:left="0"/>
              <w:jc w:val="center"/>
              <w:rPr>
                <w:rFonts w:eastAsia="MS Mincho"/>
                <w:sz w:val="20"/>
              </w:rPr>
            </w:pPr>
            <w:r>
              <w:rPr>
                <w:rFonts w:eastAsia="MS Mincho"/>
                <w:sz w:val="20"/>
              </w:rPr>
              <w:t>5</w:t>
            </w:r>
          </w:p>
        </w:tc>
        <w:tc>
          <w:tcPr>
            <w:tcW w:w="1753" w:type="pct"/>
          </w:tcPr>
          <w:p w14:paraId="03BF02AD" w14:textId="77777777" w:rsidR="0024317D" w:rsidRDefault="0024317D" w:rsidP="00CC0856">
            <w:pPr>
              <w:tabs>
                <w:tab w:val="left" w:pos="567"/>
              </w:tabs>
              <w:spacing w:before="60" w:after="60"/>
              <w:jc w:val="both"/>
              <w:rPr>
                <w:bCs/>
                <w:sz w:val="20"/>
                <w:szCs w:val="20"/>
              </w:rPr>
            </w:pPr>
            <w:r w:rsidRPr="00C41C34">
              <w:rPr>
                <w:bCs/>
                <w:sz w:val="20"/>
                <w:szCs w:val="20"/>
              </w:rPr>
              <w:t>A minimum of two</w:t>
            </w:r>
            <w:r>
              <w:rPr>
                <w:bCs/>
                <w:sz w:val="20"/>
                <w:szCs w:val="20"/>
              </w:rPr>
              <w:t xml:space="preserve"> years of relevant experience in manufacturing sterile lyophilised pharmaceutical products</w:t>
            </w:r>
          </w:p>
          <w:p w14:paraId="5E077897" w14:textId="74025590" w:rsidR="0024317D" w:rsidRDefault="0024317D" w:rsidP="0024317D">
            <w:pPr>
              <w:pStyle w:val="aDSPara"/>
              <w:spacing w:before="60" w:after="60"/>
              <w:ind w:left="0"/>
              <w:rPr>
                <w:bCs/>
                <w:sz w:val="20"/>
                <w:szCs w:val="20"/>
                <w:lang w:val="en-ZA"/>
              </w:rPr>
            </w:pPr>
            <w:r w:rsidRPr="00776D86">
              <w:rPr>
                <w:bCs/>
                <w:sz w:val="20"/>
                <w:szCs w:val="20"/>
                <w:lang w:val="en-ZA"/>
              </w:rPr>
              <w:t xml:space="preserve">List of Similar Projects / Contracts undertaken in the past </w:t>
            </w:r>
            <w:r>
              <w:rPr>
                <w:bCs/>
                <w:sz w:val="20"/>
                <w:szCs w:val="20"/>
                <w:lang w:val="en-ZA"/>
              </w:rPr>
              <w:t>2</w:t>
            </w:r>
            <w:r w:rsidRPr="00776D86">
              <w:rPr>
                <w:bCs/>
                <w:sz w:val="20"/>
                <w:szCs w:val="20"/>
                <w:lang w:val="en-ZA"/>
              </w:rPr>
              <w:t xml:space="preserve"> years (include project name, client, year, scope).</w:t>
            </w:r>
          </w:p>
          <w:p w14:paraId="604998E1" w14:textId="63A8CB22" w:rsidR="0024317D" w:rsidRDefault="0024317D" w:rsidP="005F7AC1">
            <w:pPr>
              <w:pStyle w:val="aDSPara"/>
              <w:spacing w:before="60" w:after="60"/>
              <w:ind w:left="0"/>
              <w:rPr>
                <w:bCs/>
                <w:sz w:val="20"/>
                <w:szCs w:val="20"/>
              </w:rPr>
            </w:pPr>
          </w:p>
        </w:tc>
      </w:tr>
      <w:tr w:rsidR="0024317D" w:rsidRPr="005E71C3" w14:paraId="5534770C" w14:textId="77777777" w:rsidTr="00933C32">
        <w:trPr>
          <w:cantSplit/>
          <w:trHeight w:val="773"/>
        </w:trPr>
        <w:tc>
          <w:tcPr>
            <w:tcW w:w="372" w:type="pct"/>
            <w:vMerge/>
          </w:tcPr>
          <w:p w14:paraId="34DFB16D"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04A67433" w14:textId="77777777" w:rsidR="0024317D" w:rsidRPr="005E71C3" w:rsidRDefault="0024317D" w:rsidP="00646A6D">
            <w:pPr>
              <w:spacing w:before="240"/>
              <w:jc w:val="both"/>
              <w:rPr>
                <w:sz w:val="20"/>
                <w:szCs w:val="20"/>
              </w:rPr>
            </w:pPr>
          </w:p>
        </w:tc>
        <w:tc>
          <w:tcPr>
            <w:tcW w:w="477" w:type="pct"/>
            <w:vMerge/>
            <w:vAlign w:val="center"/>
          </w:tcPr>
          <w:p w14:paraId="00C47497"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vAlign w:val="center"/>
          </w:tcPr>
          <w:p w14:paraId="0BB970D8" w14:textId="16DCFC81" w:rsidR="0024317D" w:rsidRDefault="0024317D" w:rsidP="00B07224">
            <w:pPr>
              <w:pStyle w:val="aDSPara"/>
              <w:spacing w:before="60" w:after="60"/>
              <w:ind w:left="0"/>
              <w:jc w:val="center"/>
              <w:rPr>
                <w:rFonts w:eastAsia="MS Mincho"/>
                <w:sz w:val="20"/>
              </w:rPr>
            </w:pPr>
            <w:r>
              <w:rPr>
                <w:rFonts w:eastAsia="MS Mincho"/>
                <w:sz w:val="20"/>
              </w:rPr>
              <w:t>5</w:t>
            </w:r>
          </w:p>
        </w:tc>
        <w:tc>
          <w:tcPr>
            <w:tcW w:w="1753" w:type="pct"/>
          </w:tcPr>
          <w:p w14:paraId="642AB37C" w14:textId="1D53637F" w:rsidR="0024317D" w:rsidRPr="00C41C34" w:rsidRDefault="00B07224" w:rsidP="005F7AC1">
            <w:pPr>
              <w:pStyle w:val="aDSPara"/>
              <w:spacing w:before="60" w:after="60"/>
              <w:ind w:left="0"/>
              <w:rPr>
                <w:bCs/>
                <w:sz w:val="20"/>
                <w:szCs w:val="20"/>
              </w:rPr>
            </w:pPr>
            <w:r w:rsidRPr="00776D86">
              <w:rPr>
                <w:bCs/>
                <w:sz w:val="20"/>
                <w:szCs w:val="20"/>
                <w:lang w:val="en-ZA"/>
              </w:rPr>
              <w:t>Summary of Product Types Manufactured</w:t>
            </w:r>
            <w:r>
              <w:rPr>
                <w:bCs/>
                <w:sz w:val="20"/>
                <w:szCs w:val="20"/>
                <w:lang w:val="en-ZA"/>
              </w:rPr>
              <w:t xml:space="preserve"> successfully completed</w:t>
            </w:r>
            <w:r w:rsidRPr="00776D86">
              <w:rPr>
                <w:bCs/>
                <w:sz w:val="20"/>
                <w:szCs w:val="20"/>
                <w:lang w:val="en-ZA"/>
              </w:rPr>
              <w:t xml:space="preserve"> (sterile injectables, cold kits, radiopharmaceuticals, etc.).</w:t>
            </w:r>
          </w:p>
        </w:tc>
      </w:tr>
      <w:tr w:rsidR="0024317D" w:rsidRPr="005E71C3" w14:paraId="33859DE0" w14:textId="77777777" w:rsidTr="000F5AC2">
        <w:trPr>
          <w:cantSplit/>
          <w:trHeight w:val="876"/>
        </w:trPr>
        <w:tc>
          <w:tcPr>
            <w:tcW w:w="372" w:type="pct"/>
            <w:vMerge/>
          </w:tcPr>
          <w:p w14:paraId="3DD6B768" w14:textId="77777777" w:rsidR="0024317D" w:rsidRPr="005E71C3" w:rsidRDefault="0024317D" w:rsidP="00646A6D">
            <w:pPr>
              <w:pStyle w:val="aDSPara"/>
              <w:spacing w:before="60" w:after="60"/>
              <w:ind w:left="0"/>
              <w:jc w:val="center"/>
              <w:rPr>
                <w:rFonts w:eastAsia="MS Mincho" w:cs="Arial"/>
                <w:sz w:val="20"/>
                <w:szCs w:val="20"/>
              </w:rPr>
            </w:pPr>
          </w:p>
        </w:tc>
        <w:tc>
          <w:tcPr>
            <w:tcW w:w="1951" w:type="pct"/>
            <w:vMerge/>
          </w:tcPr>
          <w:p w14:paraId="7146D69D" w14:textId="77777777" w:rsidR="0024317D" w:rsidRPr="005E71C3" w:rsidRDefault="0024317D" w:rsidP="00646A6D">
            <w:pPr>
              <w:spacing w:before="240"/>
              <w:jc w:val="both"/>
              <w:rPr>
                <w:sz w:val="20"/>
                <w:szCs w:val="20"/>
              </w:rPr>
            </w:pPr>
          </w:p>
        </w:tc>
        <w:tc>
          <w:tcPr>
            <w:tcW w:w="477" w:type="pct"/>
            <w:vMerge/>
            <w:vAlign w:val="center"/>
          </w:tcPr>
          <w:p w14:paraId="45A429F7" w14:textId="77777777" w:rsidR="0024317D" w:rsidRPr="005E71C3" w:rsidRDefault="0024317D" w:rsidP="00646A6D">
            <w:pPr>
              <w:pStyle w:val="aDSPara"/>
              <w:spacing w:before="60" w:after="60"/>
              <w:ind w:left="0"/>
              <w:rPr>
                <w:rFonts w:eastAsia="MS Mincho" w:cs="Arial"/>
                <w:bCs/>
                <w:color w:val="000000"/>
                <w:sz w:val="20"/>
                <w:szCs w:val="20"/>
              </w:rPr>
            </w:pPr>
          </w:p>
        </w:tc>
        <w:tc>
          <w:tcPr>
            <w:tcW w:w="447" w:type="pct"/>
          </w:tcPr>
          <w:p w14:paraId="45EAB5FB" w14:textId="77777777" w:rsidR="0024317D" w:rsidRDefault="0024317D" w:rsidP="00FF226E">
            <w:pPr>
              <w:pStyle w:val="aDSPara"/>
              <w:spacing w:before="60" w:after="60"/>
              <w:ind w:left="0"/>
              <w:rPr>
                <w:rFonts w:eastAsia="MS Mincho"/>
                <w:sz w:val="20"/>
              </w:rPr>
            </w:pPr>
          </w:p>
        </w:tc>
        <w:tc>
          <w:tcPr>
            <w:tcW w:w="1753" w:type="pct"/>
          </w:tcPr>
          <w:p w14:paraId="58544270" w14:textId="751FE3EC" w:rsidR="0024317D" w:rsidDel="00CC0856" w:rsidRDefault="0024317D" w:rsidP="005F7AC1">
            <w:pPr>
              <w:pStyle w:val="aDSPara"/>
              <w:spacing w:before="60" w:after="60"/>
              <w:ind w:left="0"/>
              <w:rPr>
                <w:bCs/>
                <w:sz w:val="20"/>
                <w:szCs w:val="20"/>
                <w:lang w:val="en-ZA"/>
              </w:rPr>
            </w:pPr>
          </w:p>
        </w:tc>
      </w:tr>
      <w:tr w:rsidR="0024317D" w:rsidRPr="005E71C3" w14:paraId="4D1F1B4D" w14:textId="77777777" w:rsidTr="000F5AC2">
        <w:trPr>
          <w:cantSplit/>
          <w:trHeight w:val="894"/>
        </w:trPr>
        <w:tc>
          <w:tcPr>
            <w:tcW w:w="372" w:type="pct"/>
            <w:vMerge w:val="restart"/>
          </w:tcPr>
          <w:p w14:paraId="5A0101A0" w14:textId="77777777" w:rsidR="0024317D" w:rsidRPr="005E71C3" w:rsidRDefault="0024317D" w:rsidP="008A615F">
            <w:pPr>
              <w:pStyle w:val="aDSPara"/>
              <w:spacing w:before="60" w:after="60"/>
              <w:ind w:left="0"/>
              <w:jc w:val="center"/>
              <w:rPr>
                <w:rFonts w:eastAsia="MS Mincho" w:cs="Arial"/>
                <w:sz w:val="20"/>
                <w:szCs w:val="20"/>
              </w:rPr>
            </w:pPr>
            <w:r>
              <w:rPr>
                <w:rFonts w:eastAsia="MS Mincho" w:cs="Arial"/>
                <w:sz w:val="20"/>
                <w:szCs w:val="20"/>
              </w:rPr>
              <w:lastRenderedPageBreak/>
              <w:t>4</w:t>
            </w:r>
          </w:p>
        </w:tc>
        <w:tc>
          <w:tcPr>
            <w:tcW w:w="1951" w:type="pct"/>
            <w:vMerge w:val="restart"/>
          </w:tcPr>
          <w:p w14:paraId="55A56DFC" w14:textId="77777777" w:rsidR="0024317D" w:rsidRDefault="0024317D" w:rsidP="008A615F">
            <w:pPr>
              <w:spacing w:before="240"/>
              <w:rPr>
                <w:b/>
                <w:sz w:val="20"/>
                <w:szCs w:val="20"/>
              </w:rPr>
            </w:pPr>
            <w:r w:rsidRPr="00776D86">
              <w:rPr>
                <w:b/>
                <w:sz w:val="20"/>
                <w:szCs w:val="20"/>
              </w:rPr>
              <w:t>Capacity and Resource Availability</w:t>
            </w:r>
          </w:p>
          <w:p w14:paraId="37587566" w14:textId="77777777" w:rsidR="0024317D" w:rsidRDefault="0024317D" w:rsidP="008A615F">
            <w:pPr>
              <w:spacing w:before="240"/>
              <w:rPr>
                <w:b/>
                <w:sz w:val="20"/>
                <w:szCs w:val="20"/>
              </w:rPr>
            </w:pPr>
          </w:p>
          <w:p w14:paraId="5F91D9E0" w14:textId="77777777" w:rsidR="0024317D" w:rsidRDefault="0024317D" w:rsidP="008A615F">
            <w:pPr>
              <w:spacing w:before="240"/>
              <w:rPr>
                <w:b/>
                <w:sz w:val="20"/>
                <w:szCs w:val="20"/>
              </w:rPr>
            </w:pPr>
            <w:r w:rsidRPr="00776D86">
              <w:rPr>
                <w:bCs/>
                <w:sz w:val="20"/>
                <w:szCs w:val="20"/>
              </w:rPr>
              <w:t>Demonstrated availability of human, technical, and production capacity to undertake the required volumes (100 – 500 vials per batch</w:t>
            </w:r>
            <w:r w:rsidRPr="00776D86">
              <w:rPr>
                <w:b/>
                <w:sz w:val="20"/>
                <w:szCs w:val="20"/>
              </w:rPr>
              <w:t>).</w:t>
            </w:r>
          </w:p>
          <w:p w14:paraId="011B5B26" w14:textId="77777777" w:rsidR="0024317D" w:rsidRDefault="0024317D" w:rsidP="008A615F">
            <w:pPr>
              <w:spacing w:before="240"/>
              <w:rPr>
                <w:b/>
                <w:sz w:val="20"/>
                <w:szCs w:val="20"/>
              </w:rPr>
            </w:pPr>
          </w:p>
          <w:p w14:paraId="1A4DD8A8" w14:textId="455EDFCA" w:rsidR="0024317D" w:rsidRPr="006A4548" w:rsidRDefault="0024317D" w:rsidP="008A615F">
            <w:pPr>
              <w:spacing w:before="240"/>
              <w:rPr>
                <w:b/>
                <w:sz w:val="20"/>
                <w:szCs w:val="20"/>
                <w:lang w:val="en-US"/>
              </w:rPr>
            </w:pPr>
            <w:r>
              <w:rPr>
                <w:b/>
                <w:sz w:val="20"/>
                <w:szCs w:val="20"/>
              </w:rPr>
              <w:t>(Bidder to submit documents listed under criteria to score points)</w:t>
            </w:r>
          </w:p>
        </w:tc>
        <w:tc>
          <w:tcPr>
            <w:tcW w:w="477" w:type="pct"/>
            <w:vMerge w:val="restart"/>
            <w:vAlign w:val="center"/>
          </w:tcPr>
          <w:p w14:paraId="377D77FA" w14:textId="570DD205" w:rsidR="0024317D" w:rsidRPr="005E71C3" w:rsidRDefault="0024317D" w:rsidP="00FF226E">
            <w:pPr>
              <w:pStyle w:val="aDSPara"/>
              <w:spacing w:before="60" w:after="60"/>
              <w:ind w:left="0"/>
              <w:rPr>
                <w:rFonts w:eastAsia="MS Mincho" w:cs="Arial"/>
                <w:bCs/>
                <w:color w:val="000000"/>
                <w:sz w:val="20"/>
                <w:szCs w:val="20"/>
              </w:rPr>
            </w:pPr>
            <w:r>
              <w:rPr>
                <w:rFonts w:eastAsia="MS Mincho" w:cs="Arial"/>
                <w:bCs/>
                <w:color w:val="000000"/>
                <w:sz w:val="20"/>
                <w:szCs w:val="20"/>
              </w:rPr>
              <w:t xml:space="preserve">        10</w:t>
            </w:r>
          </w:p>
        </w:tc>
        <w:tc>
          <w:tcPr>
            <w:tcW w:w="447" w:type="pct"/>
            <w:vAlign w:val="center"/>
          </w:tcPr>
          <w:p w14:paraId="63708E94" w14:textId="14544FBB" w:rsidR="0024317D" w:rsidRPr="005E71C3" w:rsidRDefault="0024317D" w:rsidP="008A615F">
            <w:pPr>
              <w:pStyle w:val="aDSPara"/>
              <w:spacing w:before="60" w:after="60"/>
              <w:ind w:left="0"/>
              <w:jc w:val="center"/>
              <w:rPr>
                <w:rFonts w:eastAsia="MS Mincho" w:cs="Arial"/>
                <w:sz w:val="20"/>
                <w:szCs w:val="20"/>
              </w:rPr>
            </w:pPr>
            <w:r w:rsidRPr="005E71C3">
              <w:rPr>
                <w:rFonts w:eastAsia="MS Mincho" w:cs="Arial"/>
                <w:sz w:val="20"/>
                <w:szCs w:val="20"/>
              </w:rPr>
              <w:t>0</w:t>
            </w:r>
          </w:p>
        </w:tc>
        <w:tc>
          <w:tcPr>
            <w:tcW w:w="1753" w:type="pct"/>
          </w:tcPr>
          <w:p w14:paraId="701ABF05" w14:textId="24E3CC6F" w:rsidR="0024317D" w:rsidRPr="008A615F" w:rsidRDefault="0024317D" w:rsidP="008A615F">
            <w:pPr>
              <w:widowControl/>
              <w:spacing w:before="240" w:after="200"/>
              <w:jc w:val="both"/>
              <w:outlineLvl w:val="9"/>
              <w:rPr>
                <w:sz w:val="20"/>
                <w:szCs w:val="20"/>
              </w:rPr>
            </w:pPr>
            <w:r>
              <w:rPr>
                <w:rFonts w:eastAsia="MS Mincho"/>
                <w:sz w:val="20"/>
                <w:szCs w:val="20"/>
              </w:rPr>
              <w:t>Non submission of the below documents or submission of incomplete documents.</w:t>
            </w:r>
          </w:p>
        </w:tc>
      </w:tr>
      <w:tr w:rsidR="0024317D" w:rsidRPr="005E71C3" w14:paraId="289133D4" w14:textId="77777777" w:rsidTr="0024317D">
        <w:trPr>
          <w:cantSplit/>
          <w:trHeight w:val="1152"/>
        </w:trPr>
        <w:tc>
          <w:tcPr>
            <w:tcW w:w="372" w:type="pct"/>
            <w:vMerge/>
          </w:tcPr>
          <w:p w14:paraId="3D6735CF"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3B882210"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708F8DCF"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4E4041C6" w14:textId="25CFC8FD" w:rsidR="0024317D" w:rsidRPr="005E71C3" w:rsidRDefault="00554F13" w:rsidP="008A615F">
            <w:pPr>
              <w:pStyle w:val="aDSPara"/>
              <w:spacing w:before="60" w:after="60"/>
              <w:ind w:left="0"/>
              <w:jc w:val="center"/>
              <w:rPr>
                <w:rFonts w:eastAsia="MS Mincho" w:cs="Arial"/>
                <w:sz w:val="20"/>
                <w:szCs w:val="20"/>
              </w:rPr>
            </w:pPr>
            <w:r>
              <w:rPr>
                <w:rFonts w:eastAsia="MS Mincho" w:cs="Arial"/>
                <w:sz w:val="20"/>
                <w:szCs w:val="20"/>
              </w:rPr>
              <w:t>2</w:t>
            </w:r>
          </w:p>
        </w:tc>
        <w:tc>
          <w:tcPr>
            <w:tcW w:w="1753" w:type="pct"/>
          </w:tcPr>
          <w:p w14:paraId="12282146" w14:textId="2D9F4BF8" w:rsidR="0024317D" w:rsidRPr="00FF226E" w:rsidRDefault="0024317D" w:rsidP="00FF226E">
            <w:pPr>
              <w:spacing w:before="240" w:after="200"/>
              <w:jc w:val="both"/>
              <w:rPr>
                <w:sz w:val="20"/>
                <w:szCs w:val="20"/>
                <w:lang w:val="en-ZA"/>
              </w:rPr>
            </w:pPr>
            <w:r w:rsidRPr="00FF226E">
              <w:rPr>
                <w:b/>
                <w:bCs/>
                <w:sz w:val="20"/>
                <w:szCs w:val="20"/>
                <w:lang w:val="en-ZA"/>
              </w:rPr>
              <w:t>Summary of Current Manufacturing Capacity</w:t>
            </w:r>
            <w:r w:rsidRPr="00FF226E">
              <w:rPr>
                <w:sz w:val="20"/>
                <w:szCs w:val="20"/>
                <w:lang w:val="en-ZA"/>
              </w:rPr>
              <w:t xml:space="preserve"> (number of production lines, typical batch sizes, annual throughput).</w:t>
            </w:r>
          </w:p>
        </w:tc>
      </w:tr>
      <w:tr w:rsidR="0024317D" w:rsidRPr="005E71C3" w14:paraId="690D7646" w14:textId="77777777" w:rsidTr="0024317D">
        <w:trPr>
          <w:cantSplit/>
          <w:trHeight w:val="1056"/>
        </w:trPr>
        <w:tc>
          <w:tcPr>
            <w:tcW w:w="372" w:type="pct"/>
            <w:vMerge/>
          </w:tcPr>
          <w:p w14:paraId="1B4846CB"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3ED0A739"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65AC0880"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13CF0BB1" w14:textId="33866297" w:rsidR="0024317D" w:rsidRDefault="0024317D" w:rsidP="008A615F">
            <w:pPr>
              <w:pStyle w:val="aDSPara"/>
              <w:spacing w:before="60" w:after="60"/>
              <w:ind w:left="0"/>
              <w:jc w:val="center"/>
              <w:rPr>
                <w:rFonts w:eastAsia="MS Mincho" w:cs="Arial"/>
                <w:sz w:val="20"/>
                <w:szCs w:val="20"/>
              </w:rPr>
            </w:pPr>
            <w:r>
              <w:rPr>
                <w:rFonts w:eastAsia="MS Mincho" w:cs="Arial"/>
                <w:sz w:val="20"/>
                <w:szCs w:val="20"/>
              </w:rPr>
              <w:t>3</w:t>
            </w:r>
          </w:p>
        </w:tc>
        <w:tc>
          <w:tcPr>
            <w:tcW w:w="1753" w:type="pct"/>
          </w:tcPr>
          <w:p w14:paraId="09003C14" w14:textId="72A47CAE" w:rsidR="0024317D" w:rsidRPr="00FF226E" w:rsidRDefault="0024317D" w:rsidP="00FF226E">
            <w:pPr>
              <w:spacing w:before="240" w:after="200"/>
              <w:jc w:val="both"/>
              <w:rPr>
                <w:b/>
                <w:bCs/>
                <w:sz w:val="20"/>
                <w:szCs w:val="20"/>
                <w:lang w:val="en-ZA"/>
              </w:rPr>
            </w:pPr>
            <w:r w:rsidRPr="00FF226E">
              <w:rPr>
                <w:b/>
                <w:bCs/>
                <w:sz w:val="20"/>
                <w:szCs w:val="20"/>
                <w:lang w:val="en-ZA"/>
              </w:rPr>
              <w:t>List of Key Technical Personnel</w:t>
            </w:r>
            <w:r w:rsidRPr="00FF226E">
              <w:rPr>
                <w:sz w:val="20"/>
                <w:szCs w:val="20"/>
                <w:lang w:val="en-ZA"/>
              </w:rPr>
              <w:t xml:space="preserve"> and their roles (production manager, QA manager, QC analysts, engineers)</w:t>
            </w:r>
            <w:r>
              <w:rPr>
                <w:sz w:val="20"/>
                <w:szCs w:val="20"/>
                <w:lang w:val="en-ZA"/>
              </w:rPr>
              <w:t xml:space="preserve"> </w:t>
            </w:r>
            <w:r>
              <w:rPr>
                <w:sz w:val="20"/>
                <w:szCs w:val="20"/>
              </w:rPr>
              <w:t xml:space="preserve">with at least 50% of personnel holding </w:t>
            </w:r>
            <w:r>
              <w:rPr>
                <w:iCs w:val="0"/>
                <w:sz w:val="20"/>
                <w:szCs w:val="20"/>
              </w:rPr>
              <w:t xml:space="preserve">relevant </w:t>
            </w:r>
            <w:r>
              <w:rPr>
                <w:sz w:val="20"/>
                <w:szCs w:val="20"/>
              </w:rPr>
              <w:t>degree.</w:t>
            </w:r>
          </w:p>
        </w:tc>
      </w:tr>
      <w:tr w:rsidR="0024317D" w:rsidRPr="005E71C3" w14:paraId="498122EB" w14:textId="77777777" w:rsidTr="000F5AC2">
        <w:trPr>
          <w:cantSplit/>
          <w:trHeight w:val="936"/>
        </w:trPr>
        <w:tc>
          <w:tcPr>
            <w:tcW w:w="372" w:type="pct"/>
            <w:vMerge/>
          </w:tcPr>
          <w:p w14:paraId="1C269C34" w14:textId="77777777" w:rsidR="0024317D" w:rsidRDefault="0024317D" w:rsidP="008A615F">
            <w:pPr>
              <w:pStyle w:val="aDSPara"/>
              <w:spacing w:before="60" w:after="60"/>
              <w:ind w:left="0"/>
              <w:jc w:val="center"/>
              <w:rPr>
                <w:rFonts w:eastAsia="MS Mincho" w:cs="Arial"/>
                <w:sz w:val="20"/>
                <w:szCs w:val="20"/>
              </w:rPr>
            </w:pPr>
          </w:p>
        </w:tc>
        <w:tc>
          <w:tcPr>
            <w:tcW w:w="1951" w:type="pct"/>
            <w:vMerge/>
          </w:tcPr>
          <w:p w14:paraId="10433ED3" w14:textId="77777777" w:rsidR="0024317D" w:rsidRPr="00A8791F" w:rsidRDefault="0024317D" w:rsidP="008A615F">
            <w:pPr>
              <w:pStyle w:val="aDSPara"/>
              <w:spacing w:before="60" w:after="60"/>
              <w:ind w:left="0"/>
              <w:rPr>
                <w:rFonts w:eastAsia="MS Mincho" w:cs="Arial"/>
                <w:b/>
                <w:color w:val="000000"/>
                <w:sz w:val="18"/>
                <w:szCs w:val="18"/>
              </w:rPr>
            </w:pPr>
          </w:p>
        </w:tc>
        <w:tc>
          <w:tcPr>
            <w:tcW w:w="477" w:type="pct"/>
            <w:vMerge/>
            <w:vAlign w:val="center"/>
          </w:tcPr>
          <w:p w14:paraId="7ECDE683" w14:textId="77777777" w:rsidR="0024317D" w:rsidRDefault="0024317D" w:rsidP="008A615F">
            <w:pPr>
              <w:pStyle w:val="aDSPara"/>
              <w:spacing w:before="60" w:after="60"/>
              <w:ind w:left="0"/>
              <w:jc w:val="center"/>
              <w:rPr>
                <w:rFonts w:eastAsia="MS Mincho" w:cs="Arial"/>
                <w:bCs/>
                <w:color w:val="000000"/>
                <w:sz w:val="20"/>
                <w:szCs w:val="20"/>
              </w:rPr>
            </w:pPr>
          </w:p>
        </w:tc>
        <w:tc>
          <w:tcPr>
            <w:tcW w:w="447" w:type="pct"/>
          </w:tcPr>
          <w:p w14:paraId="3C1122D5" w14:textId="0B7D691F" w:rsidR="0024317D" w:rsidRDefault="0024317D" w:rsidP="008A615F">
            <w:pPr>
              <w:pStyle w:val="aDSPara"/>
              <w:spacing w:before="60" w:after="60"/>
              <w:ind w:left="0"/>
              <w:jc w:val="center"/>
              <w:rPr>
                <w:rFonts w:eastAsia="MS Mincho" w:cs="Arial"/>
                <w:sz w:val="20"/>
                <w:szCs w:val="20"/>
              </w:rPr>
            </w:pPr>
            <w:r>
              <w:rPr>
                <w:rFonts w:eastAsia="MS Mincho" w:cs="Arial"/>
                <w:sz w:val="20"/>
                <w:szCs w:val="20"/>
              </w:rPr>
              <w:t>5</w:t>
            </w:r>
          </w:p>
        </w:tc>
        <w:tc>
          <w:tcPr>
            <w:tcW w:w="1753" w:type="pct"/>
          </w:tcPr>
          <w:p w14:paraId="787206F0" w14:textId="5B82446E" w:rsidR="0024317D" w:rsidRPr="00FF226E" w:rsidRDefault="0024317D" w:rsidP="00FF226E">
            <w:pPr>
              <w:spacing w:before="240" w:after="200"/>
              <w:jc w:val="both"/>
              <w:rPr>
                <w:b/>
                <w:bCs/>
                <w:sz w:val="20"/>
                <w:szCs w:val="20"/>
                <w:lang w:val="en-ZA"/>
              </w:rPr>
            </w:pPr>
            <w:r w:rsidRPr="00FF226E">
              <w:rPr>
                <w:b/>
                <w:bCs/>
                <w:sz w:val="20"/>
                <w:szCs w:val="20"/>
                <w:lang w:val="en-ZA"/>
              </w:rPr>
              <w:t>Maintenance Plan or Service Records</w:t>
            </w:r>
            <w:r w:rsidRPr="00FF226E">
              <w:rPr>
                <w:sz w:val="20"/>
                <w:szCs w:val="20"/>
                <w:lang w:val="en-ZA"/>
              </w:rPr>
              <w:t xml:space="preserve"> for critical equipment (freeze-dryer, autoclaves, HVAC systems)</w:t>
            </w:r>
            <w:r>
              <w:rPr>
                <w:sz w:val="20"/>
                <w:szCs w:val="20"/>
                <w:lang w:val="en-ZA"/>
              </w:rPr>
              <w:t xml:space="preserve"> </w:t>
            </w:r>
            <w:r>
              <w:rPr>
                <w:iCs w:val="0"/>
                <w:sz w:val="20"/>
                <w:szCs w:val="20"/>
              </w:rPr>
              <w:t>and proof of calibration for relevant analytical instrumentation</w:t>
            </w:r>
          </w:p>
        </w:tc>
      </w:tr>
      <w:tr w:rsidR="00F62295" w:rsidRPr="005E71C3" w14:paraId="477C6B48" w14:textId="77777777" w:rsidTr="000F5AC2">
        <w:trPr>
          <w:cantSplit/>
          <w:trHeight w:val="185"/>
        </w:trPr>
        <w:tc>
          <w:tcPr>
            <w:tcW w:w="2323" w:type="pct"/>
            <w:gridSpan w:val="2"/>
          </w:tcPr>
          <w:p w14:paraId="19CA2CBF" w14:textId="77777777" w:rsidR="00F62295" w:rsidRPr="005E71C3" w:rsidRDefault="00F62295"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7" w:type="pct"/>
          </w:tcPr>
          <w:p w14:paraId="7C234AED" w14:textId="77777777" w:rsidR="00F62295" w:rsidRPr="005E71C3" w:rsidRDefault="00F62295"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47" w:type="pct"/>
          </w:tcPr>
          <w:p w14:paraId="70FE5CBE" w14:textId="77777777" w:rsidR="00F62295" w:rsidRPr="005E71C3" w:rsidRDefault="00F62295" w:rsidP="00646A6D">
            <w:pPr>
              <w:pStyle w:val="aDSPara"/>
              <w:spacing w:before="60" w:after="60"/>
              <w:ind w:left="0"/>
              <w:jc w:val="center"/>
              <w:rPr>
                <w:rFonts w:eastAsia="MS Mincho" w:cs="Arial"/>
                <w:b/>
                <w:sz w:val="20"/>
                <w:szCs w:val="20"/>
              </w:rPr>
            </w:pPr>
          </w:p>
        </w:tc>
        <w:tc>
          <w:tcPr>
            <w:tcW w:w="1753" w:type="pct"/>
          </w:tcPr>
          <w:p w14:paraId="6938EA2B" w14:textId="77777777" w:rsidR="00F62295" w:rsidRPr="005E71C3" w:rsidRDefault="00F62295" w:rsidP="00646A6D">
            <w:pPr>
              <w:pStyle w:val="aDSPara"/>
              <w:spacing w:before="60" w:after="60"/>
              <w:ind w:left="0"/>
              <w:jc w:val="left"/>
              <w:rPr>
                <w:rFonts w:eastAsia="MS Mincho" w:cs="Arial"/>
                <w:b/>
                <w:sz w:val="20"/>
                <w:szCs w:val="20"/>
              </w:rPr>
            </w:pPr>
          </w:p>
        </w:tc>
      </w:tr>
    </w:tbl>
    <w:p w14:paraId="04D75C74" w14:textId="61028BED" w:rsidR="00EE408D" w:rsidRDefault="00264F10" w:rsidP="002A1698">
      <w:pPr>
        <w:pStyle w:val="ListParagraph"/>
        <w:numPr>
          <w:ilvl w:val="0"/>
          <w:numId w:val="39"/>
        </w:numPr>
        <w:jc w:val="both"/>
      </w:pPr>
      <w:r w:rsidRPr="002A1698">
        <w:rPr>
          <w:b/>
          <w:sz w:val="20"/>
        </w:rPr>
        <w:t xml:space="preserve">Note: </w:t>
      </w:r>
      <w:r w:rsidR="002A1698" w:rsidRPr="002A1698">
        <w:rPr>
          <w:b/>
          <w:sz w:val="20"/>
        </w:rPr>
        <w:t xml:space="preserve"> </w:t>
      </w:r>
      <w:r w:rsidR="002A1698" w:rsidRPr="00143AE7">
        <w:t xml:space="preserve">Bidders that score &lt;80 out of a 100 in respect of Technical / Functional Evaluation Criteria will be regarded as submitting a non-responsive bid and will not be evaluated </w:t>
      </w:r>
      <w:proofErr w:type="spellStart"/>
      <w:proofErr w:type="gramStart"/>
      <w:r w:rsidR="002A1698" w:rsidRPr="00143AE7">
        <w:t>further.</w:t>
      </w:r>
      <w:r w:rsidR="002A1698">
        <w:t>Necsa</w:t>
      </w:r>
      <w:proofErr w:type="spellEnd"/>
      <w:proofErr w:type="gramEnd"/>
      <w:r w:rsidR="002A1698">
        <w:t xml:space="preserve"> will </w:t>
      </w:r>
      <w:proofErr w:type="gramStart"/>
      <w:r w:rsidR="002A1698">
        <w:t>enter into</w:t>
      </w:r>
      <w:proofErr w:type="gramEnd"/>
      <w:r w:rsidR="002A1698">
        <w:t xml:space="preserve"> an SLA with the bidder awarded the contract.</w:t>
      </w:r>
    </w:p>
    <w:p w14:paraId="3E0F99FC" w14:textId="77777777" w:rsidR="002A1698" w:rsidRDefault="002A1698" w:rsidP="009742E0">
      <w:pPr>
        <w:pStyle w:val="1Paragraph"/>
        <w:ind w:left="0"/>
      </w:pPr>
    </w:p>
    <w:p w14:paraId="3FC9E9C0" w14:textId="5CAA589D" w:rsidR="002A1698" w:rsidRDefault="002A1698" w:rsidP="002A1698">
      <w:pPr>
        <w:rPr>
          <w:b/>
          <w:sz w:val="20"/>
        </w:rPr>
        <w:sectPr w:rsidR="002A1698" w:rsidSect="00EE408D">
          <w:pgSz w:w="16838" w:h="11906" w:orient="landscape" w:code="9"/>
          <w:pgMar w:top="1559" w:right="851" w:bottom="851" w:left="851" w:header="567" w:footer="0" w:gutter="0"/>
          <w:cols w:space="708"/>
          <w:docGrid w:linePitch="360"/>
        </w:sectPr>
      </w:pPr>
    </w:p>
    <w:p w14:paraId="173E2FD1" w14:textId="6C111BBE" w:rsidR="002A1698" w:rsidRDefault="002A1698" w:rsidP="002A1698">
      <w:pPr>
        <w:rPr>
          <w:b/>
          <w:sz w:val="20"/>
        </w:rPr>
      </w:pPr>
      <w:r>
        <w:rPr>
          <w:b/>
          <w:sz w:val="20"/>
        </w:rPr>
        <w:lastRenderedPageBreak/>
        <w:t>Note:</w:t>
      </w:r>
      <w:r w:rsidRPr="0030524C">
        <w:rPr>
          <w:b/>
          <w:sz w:val="20"/>
        </w:rPr>
        <w:t xml:space="preserve"> </w:t>
      </w:r>
    </w:p>
    <w:p w14:paraId="47BD11A8" w14:textId="77777777" w:rsidR="002A1698" w:rsidRDefault="002A1698" w:rsidP="002A1698">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B5B44BB" w14:textId="77777777" w:rsidR="002A1698" w:rsidRPr="00143AE7" w:rsidRDefault="002A1698" w:rsidP="002A1698">
      <w:pPr>
        <w:jc w:val="both"/>
      </w:pPr>
    </w:p>
    <w:p w14:paraId="37688696" w14:textId="77777777" w:rsidR="002A1698" w:rsidRPr="00143AE7" w:rsidRDefault="002A1698" w:rsidP="002A1698">
      <w:pPr>
        <w:pStyle w:val="Index3"/>
        <w:numPr>
          <w:ilvl w:val="2"/>
          <w:numId w:val="17"/>
        </w:numPr>
        <w:spacing w:line="240" w:lineRule="auto"/>
        <w:jc w:val="left"/>
        <w:rPr>
          <w:b/>
        </w:rPr>
      </w:pPr>
      <w:bookmarkStart w:id="28" w:name="_Toc187404194"/>
      <w:bookmarkStart w:id="29" w:name="_Toc511198085"/>
      <w:bookmarkStart w:id="30" w:name="_Hlk133378355"/>
      <w:r w:rsidRPr="00143AE7">
        <w:rPr>
          <w:b/>
        </w:rPr>
        <w:t>Preference points and Price evaluation</w:t>
      </w:r>
      <w:bookmarkEnd w:id="28"/>
      <w:r w:rsidRPr="00143AE7">
        <w:rPr>
          <w:b/>
        </w:rPr>
        <w:t xml:space="preserve"> </w:t>
      </w:r>
    </w:p>
    <w:p w14:paraId="3FFFFB5D" w14:textId="77777777" w:rsidR="002A1698" w:rsidRDefault="002A1698" w:rsidP="002A1698">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5A5AF494" w14:textId="77777777" w:rsidR="002A1698" w:rsidRPr="00D93AAA" w:rsidRDefault="002A1698" w:rsidP="002A1698">
      <w:pPr>
        <w:pStyle w:val="Index4"/>
        <w:numPr>
          <w:ilvl w:val="0"/>
          <w:numId w:val="0"/>
        </w:numPr>
        <w:ind w:left="851"/>
      </w:pPr>
    </w:p>
    <w:p w14:paraId="6E65AAC7" w14:textId="77777777" w:rsidR="002A1698" w:rsidRPr="00D93AAA" w:rsidRDefault="002A1698" w:rsidP="002A1698">
      <w:pPr>
        <w:pStyle w:val="Index3"/>
        <w:numPr>
          <w:ilvl w:val="2"/>
          <w:numId w:val="17"/>
        </w:numPr>
        <w:spacing w:line="240" w:lineRule="auto"/>
        <w:jc w:val="left"/>
      </w:pPr>
      <w:bookmarkStart w:id="31" w:name="_Toc125008753"/>
      <w:bookmarkStart w:id="32" w:name="_Toc135389245"/>
      <w:bookmarkStart w:id="33" w:name="_Toc137638302"/>
      <w:bookmarkStart w:id="34" w:name="_Toc187404195"/>
      <w:r w:rsidRPr="00D93AAA">
        <w:t>80/20 preference point system for acquisition of goods or services for Rand value equal to or above R30 000 and up to R50 million</w:t>
      </w:r>
      <w:bookmarkEnd w:id="31"/>
      <w:bookmarkEnd w:id="32"/>
      <w:bookmarkEnd w:id="33"/>
      <w:bookmarkEnd w:id="34"/>
    </w:p>
    <w:p w14:paraId="4D558C67" w14:textId="77777777" w:rsidR="002A1698" w:rsidRPr="00D93AAA" w:rsidRDefault="002A1698" w:rsidP="002A1698">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65F82BD9" w14:textId="77777777" w:rsidR="002A1698" w:rsidRPr="00D93AAA" w:rsidRDefault="00000000" w:rsidP="002A1698">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2A1698" w:rsidRPr="00D93AAA">
        <w:t xml:space="preserve"> </w:t>
      </w:r>
    </w:p>
    <w:p w14:paraId="7CB71B44" w14:textId="77777777" w:rsidR="002A1698" w:rsidRPr="00D93AAA" w:rsidRDefault="002A1698" w:rsidP="002A1698">
      <w:pPr>
        <w:pStyle w:val="1Paragraph"/>
      </w:pPr>
      <w:r w:rsidRPr="00D93AAA">
        <w:t>Where-</w:t>
      </w:r>
    </w:p>
    <w:p w14:paraId="179DEE13" w14:textId="77777777" w:rsidR="002A1698" w:rsidRPr="00D93AAA" w:rsidRDefault="002A1698" w:rsidP="002A1698">
      <w:pPr>
        <w:pStyle w:val="1Paragraph"/>
      </w:pPr>
      <w:r w:rsidRPr="00D93AAA">
        <w:t>Ps</w:t>
      </w:r>
      <w:r w:rsidRPr="00D93AAA">
        <w:tab/>
        <w:t>=</w:t>
      </w:r>
      <w:r w:rsidRPr="00D93AAA">
        <w:tab/>
        <w:t>Points scored for price of tender under consideration</w:t>
      </w:r>
    </w:p>
    <w:p w14:paraId="20C317CF" w14:textId="77777777" w:rsidR="002A1698" w:rsidRPr="00D93AAA" w:rsidRDefault="002A1698" w:rsidP="002A1698">
      <w:pPr>
        <w:pStyle w:val="1Paragraph"/>
      </w:pPr>
      <w:r w:rsidRPr="00D93AAA">
        <w:t>Pt</w:t>
      </w:r>
      <w:r w:rsidRPr="00D93AAA">
        <w:tab/>
        <w:t>=</w:t>
      </w:r>
      <w:r w:rsidRPr="00D93AAA">
        <w:tab/>
        <w:t>Price of tender under consideration; and</w:t>
      </w:r>
    </w:p>
    <w:p w14:paraId="77752FEB" w14:textId="77777777" w:rsidR="002A1698" w:rsidRPr="00D93AAA" w:rsidRDefault="002A1698" w:rsidP="002A1698">
      <w:pPr>
        <w:pStyle w:val="1Paragraph"/>
      </w:pPr>
      <w:proofErr w:type="spellStart"/>
      <w:r w:rsidRPr="00D93AAA">
        <w:t>Pmin</w:t>
      </w:r>
      <w:proofErr w:type="spellEnd"/>
      <w:r w:rsidRPr="00D93AAA">
        <w:tab/>
        <w:t>=</w:t>
      </w:r>
      <w:r w:rsidRPr="00D93AAA">
        <w:tab/>
        <w:t>Price of lowest acceptable tender.</w:t>
      </w:r>
    </w:p>
    <w:p w14:paraId="65BC54C3" w14:textId="77777777" w:rsidR="002A1698" w:rsidRDefault="002A1698" w:rsidP="002A1698">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2A1698" w:rsidRPr="00D93AAA" w14:paraId="5DAD1018" w14:textId="77777777" w:rsidTr="00DE5986">
        <w:trPr>
          <w:tblHeader/>
        </w:trPr>
        <w:tc>
          <w:tcPr>
            <w:tcW w:w="3980" w:type="dxa"/>
            <w:shd w:val="clear" w:color="auto" w:fill="E7E6E6" w:themeFill="background2"/>
          </w:tcPr>
          <w:p w14:paraId="050CA991" w14:textId="77777777" w:rsidR="002A1698" w:rsidRPr="00D93AAA" w:rsidRDefault="002A1698" w:rsidP="00DE5986">
            <w:pPr>
              <w:pStyle w:val="1Paragraph"/>
              <w:ind w:left="0"/>
              <w:jc w:val="center"/>
              <w:rPr>
                <w:b/>
              </w:rPr>
            </w:pPr>
            <w:r>
              <w:rPr>
                <w:b/>
              </w:rPr>
              <w:t>Ownership</w:t>
            </w:r>
          </w:p>
        </w:tc>
        <w:tc>
          <w:tcPr>
            <w:tcW w:w="1690" w:type="dxa"/>
            <w:shd w:val="clear" w:color="auto" w:fill="E7E6E6" w:themeFill="background2"/>
          </w:tcPr>
          <w:p w14:paraId="51D1C24B" w14:textId="77777777" w:rsidR="002A1698" w:rsidRPr="00D93AAA" w:rsidRDefault="002A1698" w:rsidP="00DE5986">
            <w:pPr>
              <w:pStyle w:val="1Paragraph"/>
              <w:ind w:left="0"/>
              <w:jc w:val="center"/>
              <w:rPr>
                <w:b/>
              </w:rPr>
            </w:pPr>
            <w:r w:rsidRPr="00D93AAA">
              <w:rPr>
                <w:b/>
              </w:rPr>
              <w:t>Number of Points</w:t>
            </w:r>
          </w:p>
        </w:tc>
        <w:tc>
          <w:tcPr>
            <w:tcW w:w="3111" w:type="dxa"/>
            <w:shd w:val="clear" w:color="auto" w:fill="E7E6E6" w:themeFill="background2"/>
          </w:tcPr>
          <w:p w14:paraId="77178DEF" w14:textId="5E00119B" w:rsidR="002A1698" w:rsidRPr="00D93AAA" w:rsidRDefault="002A1698" w:rsidP="00DE5986">
            <w:pPr>
              <w:pStyle w:val="1Paragraph"/>
              <w:ind w:left="0"/>
              <w:jc w:val="center"/>
              <w:rPr>
                <w:b/>
              </w:rPr>
            </w:pPr>
            <w:r>
              <w:rPr>
                <w:b/>
              </w:rPr>
              <w:t xml:space="preserve">Evidence to be </w:t>
            </w:r>
            <w:r w:rsidR="007D4EE5">
              <w:rPr>
                <w:b/>
              </w:rPr>
              <w:t>submitted by</w:t>
            </w:r>
            <w:r>
              <w:rPr>
                <w:b/>
              </w:rPr>
              <w:t xml:space="preserve"> the supplier to substantiate the points allocated per specific goal</w:t>
            </w:r>
          </w:p>
        </w:tc>
      </w:tr>
      <w:tr w:rsidR="002A1698" w:rsidRPr="00D93AAA" w14:paraId="2A088CE9" w14:textId="77777777" w:rsidTr="00DE5986">
        <w:trPr>
          <w:trHeight w:val="432"/>
        </w:trPr>
        <w:tc>
          <w:tcPr>
            <w:tcW w:w="3980" w:type="dxa"/>
          </w:tcPr>
          <w:p w14:paraId="534F55BD" w14:textId="77777777" w:rsidR="002A1698" w:rsidRPr="00D93AAA" w:rsidRDefault="002A1698" w:rsidP="00DE5986">
            <w:pPr>
              <w:pStyle w:val="1Paragraph"/>
              <w:ind w:left="0"/>
              <w:jc w:val="center"/>
            </w:pPr>
            <w:r w:rsidRPr="00D93AAA">
              <w:t>1</w:t>
            </w:r>
            <w:r>
              <w:t>00% black ownership</w:t>
            </w:r>
          </w:p>
        </w:tc>
        <w:tc>
          <w:tcPr>
            <w:tcW w:w="1690" w:type="dxa"/>
          </w:tcPr>
          <w:p w14:paraId="25991884" w14:textId="77777777" w:rsidR="002A1698" w:rsidRPr="00D93AAA" w:rsidRDefault="002A1698" w:rsidP="00DE5986">
            <w:pPr>
              <w:pStyle w:val="1Paragraph"/>
              <w:ind w:left="0"/>
              <w:jc w:val="center"/>
            </w:pPr>
            <w:r w:rsidRPr="00D93AAA">
              <w:t>20</w:t>
            </w:r>
          </w:p>
        </w:tc>
        <w:tc>
          <w:tcPr>
            <w:tcW w:w="3111" w:type="dxa"/>
            <w:vMerge w:val="restart"/>
          </w:tcPr>
          <w:p w14:paraId="7D4E4628" w14:textId="77777777" w:rsidR="002A1698" w:rsidRDefault="002A1698" w:rsidP="00DE5986">
            <w:pPr>
              <w:pStyle w:val="1Paragraph"/>
              <w:ind w:left="0"/>
            </w:pPr>
          </w:p>
          <w:p w14:paraId="3EE6744D" w14:textId="77777777" w:rsidR="002A1698" w:rsidRPr="00D93AAA" w:rsidRDefault="002A1698" w:rsidP="00DE5986">
            <w:pPr>
              <w:pStyle w:val="1Paragraph"/>
              <w:ind w:left="0"/>
            </w:pPr>
            <w:r>
              <w:lastRenderedPageBreak/>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2A1698" w:rsidRPr="00D93AAA" w14:paraId="04A9149B" w14:textId="77777777" w:rsidTr="00DE5986">
        <w:trPr>
          <w:trHeight w:val="432"/>
        </w:trPr>
        <w:tc>
          <w:tcPr>
            <w:tcW w:w="3980" w:type="dxa"/>
          </w:tcPr>
          <w:p w14:paraId="25127F71" w14:textId="77777777" w:rsidR="002A1698" w:rsidRPr="00D93AAA" w:rsidRDefault="002A1698" w:rsidP="00DE5986">
            <w:pPr>
              <w:pStyle w:val="1Paragraph"/>
              <w:ind w:left="0"/>
              <w:jc w:val="center"/>
            </w:pPr>
            <w:r>
              <w:lastRenderedPageBreak/>
              <w:t>At least more than 51% black ownership but less than 100 %</w:t>
            </w:r>
          </w:p>
        </w:tc>
        <w:tc>
          <w:tcPr>
            <w:tcW w:w="1690" w:type="dxa"/>
          </w:tcPr>
          <w:p w14:paraId="51AFDFC0" w14:textId="77777777" w:rsidR="002A1698" w:rsidRPr="00D93AAA" w:rsidRDefault="002A1698" w:rsidP="00DE5986">
            <w:pPr>
              <w:pStyle w:val="1Paragraph"/>
              <w:ind w:left="0"/>
              <w:jc w:val="center"/>
            </w:pPr>
            <w:r>
              <w:t>15</w:t>
            </w:r>
          </w:p>
        </w:tc>
        <w:tc>
          <w:tcPr>
            <w:tcW w:w="3111" w:type="dxa"/>
            <w:vMerge/>
          </w:tcPr>
          <w:p w14:paraId="6327B073" w14:textId="77777777" w:rsidR="002A1698" w:rsidRDefault="002A1698" w:rsidP="00DE5986">
            <w:pPr>
              <w:pStyle w:val="1Paragraph"/>
              <w:ind w:left="0"/>
              <w:jc w:val="center"/>
            </w:pPr>
          </w:p>
        </w:tc>
      </w:tr>
      <w:tr w:rsidR="002A1698" w:rsidRPr="00D93AAA" w14:paraId="6FFCB87D" w14:textId="77777777" w:rsidTr="00DE5986">
        <w:trPr>
          <w:trHeight w:val="432"/>
        </w:trPr>
        <w:tc>
          <w:tcPr>
            <w:tcW w:w="3980" w:type="dxa"/>
          </w:tcPr>
          <w:p w14:paraId="65883634" w14:textId="77777777" w:rsidR="002A1698" w:rsidRPr="00D93AAA" w:rsidRDefault="002A1698" w:rsidP="00DE5986">
            <w:pPr>
              <w:pStyle w:val="1Paragraph"/>
              <w:ind w:left="0"/>
              <w:jc w:val="center"/>
            </w:pPr>
            <w:r>
              <w:t>Less than 51 % black owned but more than 40% black ownership.</w:t>
            </w:r>
          </w:p>
        </w:tc>
        <w:tc>
          <w:tcPr>
            <w:tcW w:w="1690" w:type="dxa"/>
          </w:tcPr>
          <w:p w14:paraId="35945610" w14:textId="77777777" w:rsidR="002A1698" w:rsidRPr="00D93AAA" w:rsidRDefault="002A1698" w:rsidP="00DE5986">
            <w:pPr>
              <w:pStyle w:val="1Paragraph"/>
              <w:ind w:left="0"/>
              <w:jc w:val="center"/>
            </w:pPr>
            <w:r>
              <w:t>10</w:t>
            </w:r>
          </w:p>
        </w:tc>
        <w:tc>
          <w:tcPr>
            <w:tcW w:w="3111" w:type="dxa"/>
            <w:vMerge/>
          </w:tcPr>
          <w:p w14:paraId="16B6703E" w14:textId="77777777" w:rsidR="002A1698" w:rsidRDefault="002A1698" w:rsidP="00DE5986">
            <w:pPr>
              <w:pStyle w:val="1Paragraph"/>
              <w:ind w:left="0"/>
              <w:jc w:val="center"/>
            </w:pPr>
          </w:p>
        </w:tc>
      </w:tr>
      <w:tr w:rsidR="002A1698" w:rsidRPr="00D93AAA" w14:paraId="7422F849" w14:textId="77777777" w:rsidTr="00DE5986">
        <w:trPr>
          <w:trHeight w:val="432"/>
        </w:trPr>
        <w:tc>
          <w:tcPr>
            <w:tcW w:w="3980" w:type="dxa"/>
          </w:tcPr>
          <w:p w14:paraId="4D3E7591" w14:textId="77777777" w:rsidR="002A1698" w:rsidRDefault="002A1698" w:rsidP="00DE5986">
            <w:pPr>
              <w:pStyle w:val="1Paragraph"/>
              <w:ind w:left="0"/>
              <w:jc w:val="center"/>
            </w:pPr>
            <w:r>
              <w:t>Less than 40% black ownership and more than 0% black ownership.</w:t>
            </w:r>
          </w:p>
        </w:tc>
        <w:tc>
          <w:tcPr>
            <w:tcW w:w="1690" w:type="dxa"/>
          </w:tcPr>
          <w:p w14:paraId="703113B7" w14:textId="77777777" w:rsidR="002A1698" w:rsidRDefault="002A1698" w:rsidP="00DE5986">
            <w:pPr>
              <w:pStyle w:val="1Paragraph"/>
              <w:ind w:left="0"/>
              <w:jc w:val="center"/>
            </w:pPr>
            <w:r>
              <w:t>05</w:t>
            </w:r>
          </w:p>
        </w:tc>
        <w:tc>
          <w:tcPr>
            <w:tcW w:w="3111" w:type="dxa"/>
            <w:vMerge/>
          </w:tcPr>
          <w:p w14:paraId="25CE3DBB" w14:textId="77777777" w:rsidR="002A1698" w:rsidRDefault="002A1698" w:rsidP="00DE5986">
            <w:pPr>
              <w:pStyle w:val="1Paragraph"/>
              <w:ind w:left="0"/>
              <w:jc w:val="center"/>
            </w:pPr>
          </w:p>
        </w:tc>
      </w:tr>
      <w:tr w:rsidR="002A1698" w:rsidRPr="00D93AAA" w14:paraId="3F8CC0D2" w14:textId="77777777" w:rsidTr="00DE5986">
        <w:trPr>
          <w:trHeight w:val="432"/>
        </w:trPr>
        <w:tc>
          <w:tcPr>
            <w:tcW w:w="3980" w:type="dxa"/>
          </w:tcPr>
          <w:p w14:paraId="7C9C020D" w14:textId="77777777" w:rsidR="002A1698" w:rsidRPr="00D93AAA" w:rsidRDefault="002A1698" w:rsidP="00DE5986">
            <w:pPr>
              <w:pStyle w:val="1Paragraph"/>
              <w:ind w:left="0"/>
              <w:jc w:val="center"/>
            </w:pPr>
            <w:r>
              <w:t xml:space="preserve">0% black ownership </w:t>
            </w:r>
          </w:p>
        </w:tc>
        <w:tc>
          <w:tcPr>
            <w:tcW w:w="1690" w:type="dxa"/>
          </w:tcPr>
          <w:p w14:paraId="08079E8B" w14:textId="77777777" w:rsidR="002A1698" w:rsidRPr="00D93AAA" w:rsidRDefault="002A1698" w:rsidP="00DE5986">
            <w:pPr>
              <w:pStyle w:val="1Paragraph"/>
              <w:ind w:left="0"/>
              <w:jc w:val="center"/>
            </w:pPr>
            <w:r>
              <w:t>0</w:t>
            </w:r>
          </w:p>
        </w:tc>
        <w:tc>
          <w:tcPr>
            <w:tcW w:w="3111" w:type="dxa"/>
            <w:vMerge/>
          </w:tcPr>
          <w:p w14:paraId="2759EAAD" w14:textId="77777777" w:rsidR="002A1698" w:rsidRDefault="002A1698" w:rsidP="00DE5986">
            <w:pPr>
              <w:pStyle w:val="1Paragraph"/>
              <w:ind w:left="0"/>
              <w:jc w:val="center"/>
            </w:pPr>
          </w:p>
        </w:tc>
      </w:tr>
    </w:tbl>
    <w:p w14:paraId="15CE0731" w14:textId="77777777" w:rsidR="002A1698" w:rsidRPr="00D93AAA" w:rsidRDefault="002A1698" w:rsidP="002A1698">
      <w:pPr>
        <w:pStyle w:val="Index4"/>
        <w:numPr>
          <w:ilvl w:val="3"/>
          <w:numId w:val="17"/>
        </w:numPr>
      </w:pPr>
      <w:r w:rsidRPr="00D93AAA">
        <w:t xml:space="preserve">A tenderer must submit proof of its </w:t>
      </w:r>
      <w:r>
        <w:t>BBBEE</w:t>
      </w:r>
      <w:r w:rsidRPr="00D93AAA">
        <w:t xml:space="preserve"> level of contributor</w:t>
      </w:r>
      <w:r>
        <w:t xml:space="preserve"> or proof of ownership to indicate company ownership (Specific goal)</w:t>
      </w:r>
      <w:r w:rsidRPr="00D93AAA">
        <w:t>.</w:t>
      </w:r>
    </w:p>
    <w:p w14:paraId="1BF6A08B" w14:textId="77777777" w:rsidR="002A1698" w:rsidRPr="00D93AAA" w:rsidRDefault="002A1698" w:rsidP="002A1698">
      <w:pPr>
        <w:pStyle w:val="Index4"/>
        <w:numPr>
          <w:ilvl w:val="3"/>
          <w:numId w:val="17"/>
        </w:numPr>
      </w:pPr>
      <w:r w:rsidRPr="00D93AAA">
        <w:t xml:space="preserve">A tenderer failing to submit proof of </w:t>
      </w:r>
      <w:r>
        <w:t>specific goal,</w:t>
      </w:r>
      <w:r w:rsidRPr="00D93AAA">
        <w:t xml:space="preserve"> may not be disqualified, but:</w:t>
      </w:r>
    </w:p>
    <w:p w14:paraId="5F79C1BF" w14:textId="77777777" w:rsidR="002A1698" w:rsidRPr="00FF1570" w:rsidRDefault="002A1698" w:rsidP="002A1698">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D0AA0A4" w14:textId="77777777" w:rsidR="002A1698" w:rsidRPr="00D93AAA" w:rsidRDefault="002A1698" w:rsidP="002A1698">
      <w:pPr>
        <w:pStyle w:val="Index5"/>
        <w:numPr>
          <w:ilvl w:val="4"/>
          <w:numId w:val="17"/>
        </w:numPr>
      </w:pPr>
      <w:r w:rsidRPr="00D93AAA">
        <w:t xml:space="preserve">Score 0 points out of 20 for </w:t>
      </w:r>
      <w:r>
        <w:t>specific goal</w:t>
      </w:r>
    </w:p>
    <w:p w14:paraId="7BC18EC3" w14:textId="77777777" w:rsidR="002A1698" w:rsidRPr="00D93AAA" w:rsidRDefault="002A1698" w:rsidP="002A1698">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4B8ED137" w14:textId="77777777" w:rsidR="002A1698" w:rsidRPr="003D5E89" w:rsidRDefault="002A1698" w:rsidP="002A1698">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40FD06EB" w14:textId="77777777" w:rsidR="002A1698" w:rsidRPr="003D5E89" w:rsidRDefault="002A1698" w:rsidP="002A1698">
      <w:pPr>
        <w:pStyle w:val="Index4"/>
        <w:numPr>
          <w:ilvl w:val="3"/>
          <w:numId w:val="17"/>
        </w:numPr>
      </w:pPr>
      <w:r w:rsidRPr="003D5E89">
        <w:t xml:space="preserve">If the price offered by a tenderer scoring the highest points is not market-related, </w:t>
      </w:r>
      <w:proofErr w:type="spellStart"/>
      <w:r>
        <w:t>Necsa</w:t>
      </w:r>
      <w:proofErr w:type="spellEnd"/>
      <w:r>
        <w:t xml:space="preserve"> may</w:t>
      </w:r>
      <w:r w:rsidRPr="003D5E89">
        <w:t xml:space="preserve"> not award the contract to that tenderer.</w:t>
      </w:r>
    </w:p>
    <w:p w14:paraId="45FF3A57" w14:textId="77777777" w:rsidR="002A1698" w:rsidRPr="00D93AAA" w:rsidRDefault="002A1698" w:rsidP="002A1698">
      <w:pPr>
        <w:pStyle w:val="Index4"/>
        <w:numPr>
          <w:ilvl w:val="3"/>
          <w:numId w:val="17"/>
        </w:numPr>
      </w:pPr>
      <w:proofErr w:type="spellStart"/>
      <w:r>
        <w:t>Necsa</w:t>
      </w:r>
      <w:proofErr w:type="spellEnd"/>
      <w:r>
        <w:t xml:space="preserve"> </w:t>
      </w:r>
      <w:r w:rsidRPr="00D93AAA">
        <w:t>may:</w:t>
      </w:r>
    </w:p>
    <w:p w14:paraId="6B6DF4B1" w14:textId="77777777" w:rsidR="002A1698" w:rsidRPr="00D93AAA" w:rsidRDefault="002A1698" w:rsidP="002A1698">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74512960" w14:textId="77777777" w:rsidR="002A1698" w:rsidRPr="00D93AAA" w:rsidRDefault="002A1698" w:rsidP="002A1698">
      <w:pPr>
        <w:pStyle w:val="Index5"/>
        <w:numPr>
          <w:ilvl w:val="4"/>
          <w:numId w:val="17"/>
        </w:numPr>
      </w:pPr>
      <w:r w:rsidRPr="00D93AAA">
        <w:t xml:space="preserve">If the tenderer does not agree to a market-related price, negotiate a market-related price with the tenderer scoring the second highest points or </w:t>
      </w:r>
      <w:r w:rsidRPr="00D93AAA">
        <w:lastRenderedPageBreak/>
        <w:t xml:space="preserve">cancel the </w:t>
      </w:r>
      <w:proofErr w:type="gramStart"/>
      <w:r w:rsidRPr="00D93AAA">
        <w:t>tender;</w:t>
      </w:r>
      <w:proofErr w:type="gramEnd"/>
    </w:p>
    <w:p w14:paraId="68AD4A79" w14:textId="77777777" w:rsidR="002A1698" w:rsidRPr="00D93AAA" w:rsidRDefault="002A1698" w:rsidP="002A1698">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1BF6F0EF" w14:textId="6CA158AA" w:rsidR="002A1698" w:rsidRDefault="002A1698" w:rsidP="002A1698">
      <w:pPr>
        <w:pStyle w:val="Index5"/>
        <w:numPr>
          <w:ilvl w:val="4"/>
          <w:numId w:val="17"/>
        </w:numPr>
        <w:ind w:left="0"/>
        <w:sectPr w:rsidR="002A1698" w:rsidSect="00EE408D">
          <w:pgSz w:w="16838" w:h="11906" w:orient="landscape" w:code="9"/>
          <w:pgMar w:top="1559" w:right="851" w:bottom="851" w:left="851" w:header="567" w:footer="0" w:gutter="0"/>
          <w:cols w:space="708"/>
          <w:docGrid w:linePitch="360"/>
        </w:sectPr>
      </w:pPr>
      <w:r w:rsidRPr="00D93AAA">
        <w:t xml:space="preserve">If a market-related price is still not agreed </w:t>
      </w:r>
      <w:proofErr w:type="spellStart"/>
      <w:r>
        <w:t>Necsa</w:t>
      </w:r>
      <w:proofErr w:type="spellEnd"/>
      <w:r>
        <w:t xml:space="preserve"> may</w:t>
      </w:r>
      <w:r w:rsidRPr="00D93AAA">
        <w:t xml:space="preserve"> cancel the tender.</w:t>
      </w:r>
      <w:bookmarkEnd w:id="29"/>
      <w:bookmarkEnd w:id="30"/>
    </w:p>
    <w:p w14:paraId="67026312" w14:textId="77777777" w:rsidR="0058701E" w:rsidRDefault="0058701E" w:rsidP="00DA39DC">
      <w:pPr>
        <w:pStyle w:val="Index1"/>
      </w:pPr>
      <w:bookmarkStart w:id="35" w:name="_Toc187404196"/>
      <w:bookmarkEnd w:id="35"/>
    </w:p>
    <w:p w14:paraId="619F87DF" w14:textId="77777777" w:rsidR="00DA39DC" w:rsidRPr="00C95C94" w:rsidRDefault="00DA39DC" w:rsidP="005E71C3">
      <w:pPr>
        <w:pStyle w:val="Index2"/>
        <w:numPr>
          <w:ilvl w:val="1"/>
          <w:numId w:val="13"/>
        </w:numPr>
      </w:pPr>
      <w:bookmarkStart w:id="36" w:name="_Toc187404197"/>
      <w:r w:rsidRPr="00C95C94">
        <w:t>Returnable documents</w:t>
      </w:r>
      <w:r w:rsidR="00292449" w:rsidRPr="00C95C94">
        <w:t xml:space="preserve"> C</w:t>
      </w:r>
      <w:r w:rsidR="002D3216" w:rsidRPr="00C95C94">
        <w:t>hecklist</w:t>
      </w:r>
      <w:bookmarkEnd w:id="36"/>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7" w:name="_Toc187404198"/>
      <w:r w:rsidRPr="00F02CA8">
        <w:lastRenderedPageBreak/>
        <w:t>B</w:t>
      </w:r>
      <w:r w:rsidR="00F616A4">
        <w:t>idder</w:t>
      </w:r>
      <w:r w:rsidRPr="00F02CA8">
        <w:t xml:space="preserve"> I</w:t>
      </w:r>
      <w:r w:rsidR="00F616A4">
        <w:t>nformation</w:t>
      </w:r>
      <w:bookmarkEnd w:id="37"/>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D5CE" w14:textId="77777777" w:rsidR="00E80CA9" w:rsidRDefault="00E80CA9" w:rsidP="00CD1845">
      <w:pPr>
        <w:spacing w:before="0" w:after="0" w:line="240" w:lineRule="auto"/>
      </w:pPr>
      <w:r>
        <w:separator/>
      </w:r>
    </w:p>
    <w:p w14:paraId="517015DA" w14:textId="77777777" w:rsidR="00E80CA9" w:rsidRDefault="00E80CA9"/>
  </w:endnote>
  <w:endnote w:type="continuationSeparator" w:id="0">
    <w:p w14:paraId="1AD95649" w14:textId="77777777" w:rsidR="00E80CA9" w:rsidRDefault="00E80CA9" w:rsidP="00CD1845">
      <w:pPr>
        <w:spacing w:before="0" w:after="0" w:line="240" w:lineRule="auto"/>
      </w:pPr>
      <w:r>
        <w:continuationSeparator/>
      </w:r>
    </w:p>
    <w:p w14:paraId="1ECFE9A4" w14:textId="77777777" w:rsidR="00E80CA9" w:rsidRDefault="00E8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67A5B6E3" w:rsidR="007F5C5F" w:rsidRPr="00313CE5" w:rsidRDefault="007F5C5F" w:rsidP="007F5C5F">
          <w:pPr>
            <w:rPr>
              <w:highlight w:val="yellow"/>
              <w:lang w:val="en-ZA" w:eastAsia="en-US"/>
            </w:rPr>
          </w:pPr>
          <w:r w:rsidRPr="004C4977">
            <w:rPr>
              <w:lang w:val="en-ZA" w:eastAsia="en-US"/>
            </w:rPr>
            <w:t>FIN-SCM-TEN-</w:t>
          </w:r>
          <w:r w:rsidR="00F1054D">
            <w:rPr>
              <w:lang w:val="en-ZA" w:eastAsia="en-US"/>
            </w:rPr>
            <w:t>0168</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6137" w14:textId="77777777" w:rsidR="00E80CA9" w:rsidRDefault="00E80CA9" w:rsidP="00CD1845">
      <w:pPr>
        <w:spacing w:before="0" w:after="0" w:line="240" w:lineRule="auto"/>
      </w:pPr>
      <w:r>
        <w:separator/>
      </w:r>
    </w:p>
    <w:p w14:paraId="151E6216" w14:textId="77777777" w:rsidR="00E80CA9" w:rsidRDefault="00E80CA9"/>
  </w:footnote>
  <w:footnote w:type="continuationSeparator" w:id="0">
    <w:p w14:paraId="70A16667" w14:textId="77777777" w:rsidR="00E80CA9" w:rsidRDefault="00E80CA9" w:rsidP="00CD1845">
      <w:pPr>
        <w:spacing w:before="0" w:after="0" w:line="240" w:lineRule="auto"/>
      </w:pPr>
      <w:r>
        <w:continuationSeparator/>
      </w:r>
    </w:p>
    <w:p w14:paraId="7AE26797" w14:textId="77777777" w:rsidR="00E80CA9" w:rsidRDefault="00E80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5D14401"/>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4B78F2"/>
    <w:multiLevelType w:val="hybridMultilevel"/>
    <w:tmpl w:val="4F444E8A"/>
    <w:lvl w:ilvl="0" w:tplc="D3C6CC6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073159"/>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F65EE"/>
    <w:multiLevelType w:val="hybridMultilevel"/>
    <w:tmpl w:val="4EC8CE98"/>
    <w:lvl w:ilvl="0" w:tplc="1AA2F944">
      <w:start w:val="1"/>
      <w:numFmt w:val="lowerLetter"/>
      <w:lvlText w:val="%1)"/>
      <w:lvlJc w:val="left"/>
      <w:pPr>
        <w:ind w:left="720" w:hanging="360"/>
      </w:pPr>
      <w:rPr>
        <w:rFonts w:hint="default"/>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1FDB49FB"/>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6"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8"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54226C5"/>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A20BD"/>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5F42C1"/>
    <w:multiLevelType w:val="hybridMultilevel"/>
    <w:tmpl w:val="B07A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B33FE"/>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F17C30"/>
    <w:multiLevelType w:val="hybridMultilevel"/>
    <w:tmpl w:val="B07AC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5FC30324"/>
    <w:multiLevelType w:val="multilevel"/>
    <w:tmpl w:val="DC66D6FA"/>
    <w:numStyleLink w:val="ACSListStyle"/>
  </w:abstractNum>
  <w:abstractNum w:abstractNumId="3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8"/>
  </w:num>
  <w:num w:numId="2" w16cid:durableId="1455446398">
    <w:abstractNumId w:val="8"/>
  </w:num>
  <w:num w:numId="3" w16cid:durableId="236675952">
    <w:abstractNumId w:val="7"/>
  </w:num>
  <w:num w:numId="4" w16cid:durableId="1817607055">
    <w:abstractNumId w:val="20"/>
  </w:num>
  <w:num w:numId="5" w16cid:durableId="1050690789">
    <w:abstractNumId w:val="3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7"/>
  </w:num>
  <w:num w:numId="7" w16cid:durableId="1227371664">
    <w:abstractNumId w:val="15"/>
  </w:num>
  <w:num w:numId="8" w16cid:durableId="134614312">
    <w:abstractNumId w:val="33"/>
  </w:num>
  <w:num w:numId="9" w16cid:durableId="1964383686">
    <w:abstractNumId w:val="10"/>
  </w:num>
  <w:num w:numId="10" w16cid:durableId="1358890128">
    <w:abstractNumId w:val="16"/>
  </w:num>
  <w:num w:numId="11" w16cid:durableId="778571356">
    <w:abstractNumId w:val="15"/>
  </w:num>
  <w:num w:numId="12" w16cid:durableId="1833524867">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2"/>
  </w:num>
  <w:num w:numId="15" w16cid:durableId="1567258405">
    <w:abstractNumId w:val="29"/>
  </w:num>
  <w:num w:numId="16" w16cid:durableId="141898692">
    <w:abstractNumId w:val="1"/>
  </w:num>
  <w:num w:numId="17" w16cid:durableId="2007971863">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6"/>
  </w:num>
  <w:num w:numId="19" w16cid:durableId="674304335">
    <w:abstractNumId w:val="19"/>
  </w:num>
  <w:num w:numId="20" w16cid:durableId="867572746">
    <w:abstractNumId w:val="34"/>
  </w:num>
  <w:num w:numId="21" w16cid:durableId="129981831">
    <w:abstractNumId w:val="32"/>
  </w:num>
  <w:num w:numId="22" w16cid:durableId="1235965736">
    <w:abstractNumId w:val="17"/>
  </w:num>
  <w:num w:numId="23" w16cid:durableId="222102781">
    <w:abstractNumId w:val="0"/>
  </w:num>
  <w:num w:numId="24" w16cid:durableId="35009335">
    <w:abstractNumId w:val="15"/>
  </w:num>
  <w:num w:numId="25" w16cid:durableId="1429692832">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8"/>
  </w:num>
  <w:num w:numId="27" w16cid:durableId="1744528886">
    <w:abstractNumId w:val="31"/>
  </w:num>
  <w:num w:numId="28" w16cid:durableId="1378238183">
    <w:abstractNumId w:val="23"/>
  </w:num>
  <w:num w:numId="29" w16cid:durableId="1146166041">
    <w:abstractNumId w:val="39"/>
  </w:num>
  <w:num w:numId="30" w16cid:durableId="160128277">
    <w:abstractNumId w:val="13"/>
  </w:num>
  <w:num w:numId="31" w16cid:durableId="324554064">
    <w:abstractNumId w:val="41"/>
  </w:num>
  <w:num w:numId="32" w16cid:durableId="608196441">
    <w:abstractNumId w:val="27"/>
  </w:num>
  <w:num w:numId="33" w16cid:durableId="1061244911">
    <w:abstractNumId w:val="14"/>
  </w:num>
  <w:num w:numId="34" w16cid:durableId="1179854558">
    <w:abstractNumId w:val="18"/>
  </w:num>
  <w:num w:numId="35" w16cid:durableId="1253660253">
    <w:abstractNumId w:val="9"/>
  </w:num>
  <w:num w:numId="36" w16cid:durableId="1040209671">
    <w:abstractNumId w:val="15"/>
  </w:num>
  <w:num w:numId="37" w16cid:durableId="1800294870">
    <w:abstractNumId w:val="15"/>
  </w:num>
  <w:num w:numId="38" w16cid:durableId="1634486951">
    <w:abstractNumId w:val="40"/>
  </w:num>
  <w:num w:numId="39" w16cid:durableId="1093815304">
    <w:abstractNumId w:val="30"/>
  </w:num>
  <w:num w:numId="40" w16cid:durableId="643778957">
    <w:abstractNumId w:val="24"/>
  </w:num>
  <w:num w:numId="41" w16cid:durableId="406071196">
    <w:abstractNumId w:val="26"/>
  </w:num>
  <w:num w:numId="42" w16cid:durableId="1333874614">
    <w:abstractNumId w:val="25"/>
  </w:num>
  <w:num w:numId="43" w16cid:durableId="2025087208">
    <w:abstractNumId w:val="11"/>
  </w:num>
  <w:num w:numId="44" w16cid:durableId="198279139">
    <w:abstractNumId w:val="2"/>
  </w:num>
  <w:num w:numId="45" w16cid:durableId="951671489">
    <w:abstractNumId w:val="22"/>
  </w:num>
  <w:num w:numId="46" w16cid:durableId="1413241222">
    <w:abstractNumId w:val="5"/>
  </w:num>
  <w:num w:numId="47" w16cid:durableId="529538838">
    <w:abstractNumId w:val="21"/>
  </w:num>
  <w:num w:numId="48" w16cid:durableId="825364751">
    <w:abstractNumId w:val="6"/>
  </w:num>
  <w:num w:numId="49" w16cid:durableId="20660273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44E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5AC2"/>
    <w:rsid w:val="000F6CD7"/>
    <w:rsid w:val="0010102C"/>
    <w:rsid w:val="00101956"/>
    <w:rsid w:val="0010557F"/>
    <w:rsid w:val="001062CE"/>
    <w:rsid w:val="0010656A"/>
    <w:rsid w:val="001123AD"/>
    <w:rsid w:val="0011578B"/>
    <w:rsid w:val="001221C6"/>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2D78"/>
    <w:rsid w:val="001F7EDC"/>
    <w:rsid w:val="00200845"/>
    <w:rsid w:val="00200F33"/>
    <w:rsid w:val="00213098"/>
    <w:rsid w:val="00213B92"/>
    <w:rsid w:val="00215A55"/>
    <w:rsid w:val="0021630F"/>
    <w:rsid w:val="00216F92"/>
    <w:rsid w:val="00222530"/>
    <w:rsid w:val="002228F3"/>
    <w:rsid w:val="00230068"/>
    <w:rsid w:val="00230145"/>
    <w:rsid w:val="00231D93"/>
    <w:rsid w:val="002336B3"/>
    <w:rsid w:val="00235C1E"/>
    <w:rsid w:val="0024317D"/>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0B10"/>
    <w:rsid w:val="002A1698"/>
    <w:rsid w:val="002A3D77"/>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0DB0"/>
    <w:rsid w:val="003F46AD"/>
    <w:rsid w:val="00401102"/>
    <w:rsid w:val="004027CD"/>
    <w:rsid w:val="00403418"/>
    <w:rsid w:val="0041243F"/>
    <w:rsid w:val="00412703"/>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085F"/>
    <w:rsid w:val="004831B8"/>
    <w:rsid w:val="00484FDB"/>
    <w:rsid w:val="00487FAC"/>
    <w:rsid w:val="00492E44"/>
    <w:rsid w:val="004974B5"/>
    <w:rsid w:val="004A1C2F"/>
    <w:rsid w:val="004A66B9"/>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344F"/>
    <w:rsid w:val="00554C52"/>
    <w:rsid w:val="00554F13"/>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3E6E"/>
    <w:rsid w:val="005C690C"/>
    <w:rsid w:val="005D49AB"/>
    <w:rsid w:val="005E71C3"/>
    <w:rsid w:val="005F793C"/>
    <w:rsid w:val="005F7AC1"/>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978A2"/>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1079"/>
    <w:rsid w:val="006E2467"/>
    <w:rsid w:val="006E3382"/>
    <w:rsid w:val="006E6BE0"/>
    <w:rsid w:val="006E7A53"/>
    <w:rsid w:val="006F01AE"/>
    <w:rsid w:val="006F03BA"/>
    <w:rsid w:val="006F114D"/>
    <w:rsid w:val="006F1EE6"/>
    <w:rsid w:val="00700DCF"/>
    <w:rsid w:val="0070278B"/>
    <w:rsid w:val="00705CCE"/>
    <w:rsid w:val="0071520B"/>
    <w:rsid w:val="00715C99"/>
    <w:rsid w:val="0072398B"/>
    <w:rsid w:val="00730AF7"/>
    <w:rsid w:val="00730C33"/>
    <w:rsid w:val="00734950"/>
    <w:rsid w:val="0073508E"/>
    <w:rsid w:val="007358C1"/>
    <w:rsid w:val="00736C07"/>
    <w:rsid w:val="007419B7"/>
    <w:rsid w:val="00744BB8"/>
    <w:rsid w:val="00753D7A"/>
    <w:rsid w:val="0075487B"/>
    <w:rsid w:val="007606C6"/>
    <w:rsid w:val="007622D8"/>
    <w:rsid w:val="007641D7"/>
    <w:rsid w:val="00764497"/>
    <w:rsid w:val="00765515"/>
    <w:rsid w:val="00770568"/>
    <w:rsid w:val="0077136F"/>
    <w:rsid w:val="00771B0F"/>
    <w:rsid w:val="00774358"/>
    <w:rsid w:val="00776D86"/>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4EE5"/>
    <w:rsid w:val="007D66F8"/>
    <w:rsid w:val="007D6F0B"/>
    <w:rsid w:val="007D715D"/>
    <w:rsid w:val="007E0D6F"/>
    <w:rsid w:val="007E35E4"/>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6ECF"/>
    <w:rsid w:val="009171F1"/>
    <w:rsid w:val="00926678"/>
    <w:rsid w:val="00931917"/>
    <w:rsid w:val="00933C32"/>
    <w:rsid w:val="00942E3C"/>
    <w:rsid w:val="00966EA2"/>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96B"/>
    <w:rsid w:val="009D0A5D"/>
    <w:rsid w:val="009D2CA9"/>
    <w:rsid w:val="009D387F"/>
    <w:rsid w:val="009D4900"/>
    <w:rsid w:val="009D79A3"/>
    <w:rsid w:val="009E16BF"/>
    <w:rsid w:val="009E22B6"/>
    <w:rsid w:val="009E2B01"/>
    <w:rsid w:val="009E338A"/>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528C6"/>
    <w:rsid w:val="00A63339"/>
    <w:rsid w:val="00A65231"/>
    <w:rsid w:val="00A66E07"/>
    <w:rsid w:val="00A745F2"/>
    <w:rsid w:val="00A82F91"/>
    <w:rsid w:val="00A83372"/>
    <w:rsid w:val="00A8791F"/>
    <w:rsid w:val="00A9008F"/>
    <w:rsid w:val="00A901ED"/>
    <w:rsid w:val="00A946E5"/>
    <w:rsid w:val="00A973A1"/>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224"/>
    <w:rsid w:val="00B14F8D"/>
    <w:rsid w:val="00B1769F"/>
    <w:rsid w:val="00B24500"/>
    <w:rsid w:val="00B25BC1"/>
    <w:rsid w:val="00B316BC"/>
    <w:rsid w:val="00B32398"/>
    <w:rsid w:val="00B32CCB"/>
    <w:rsid w:val="00B341B9"/>
    <w:rsid w:val="00B40443"/>
    <w:rsid w:val="00B40F07"/>
    <w:rsid w:val="00B43E85"/>
    <w:rsid w:val="00B54968"/>
    <w:rsid w:val="00B5527F"/>
    <w:rsid w:val="00B56AB0"/>
    <w:rsid w:val="00B629F5"/>
    <w:rsid w:val="00B64EF1"/>
    <w:rsid w:val="00B6512B"/>
    <w:rsid w:val="00B67838"/>
    <w:rsid w:val="00B737DB"/>
    <w:rsid w:val="00B83E99"/>
    <w:rsid w:val="00B87664"/>
    <w:rsid w:val="00B87D31"/>
    <w:rsid w:val="00B90128"/>
    <w:rsid w:val="00B95D4B"/>
    <w:rsid w:val="00BA5A2B"/>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1D04"/>
    <w:rsid w:val="00C142ED"/>
    <w:rsid w:val="00C14590"/>
    <w:rsid w:val="00C1777E"/>
    <w:rsid w:val="00C17C0F"/>
    <w:rsid w:val="00C234F4"/>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81C04"/>
    <w:rsid w:val="00C92C3A"/>
    <w:rsid w:val="00C95C94"/>
    <w:rsid w:val="00CB01CB"/>
    <w:rsid w:val="00CB0908"/>
    <w:rsid w:val="00CB4B74"/>
    <w:rsid w:val="00CC0856"/>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6743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472"/>
    <w:rsid w:val="00E25BF8"/>
    <w:rsid w:val="00E2649D"/>
    <w:rsid w:val="00E3542B"/>
    <w:rsid w:val="00E362B4"/>
    <w:rsid w:val="00E40364"/>
    <w:rsid w:val="00E42D20"/>
    <w:rsid w:val="00E43C4C"/>
    <w:rsid w:val="00E46F70"/>
    <w:rsid w:val="00E5444E"/>
    <w:rsid w:val="00E5699A"/>
    <w:rsid w:val="00E6458C"/>
    <w:rsid w:val="00E65A12"/>
    <w:rsid w:val="00E661B7"/>
    <w:rsid w:val="00E6717A"/>
    <w:rsid w:val="00E7099B"/>
    <w:rsid w:val="00E80070"/>
    <w:rsid w:val="00E80CA9"/>
    <w:rsid w:val="00E80D53"/>
    <w:rsid w:val="00E87E22"/>
    <w:rsid w:val="00E917CE"/>
    <w:rsid w:val="00E9599A"/>
    <w:rsid w:val="00E97EDD"/>
    <w:rsid w:val="00EA524A"/>
    <w:rsid w:val="00EB32E4"/>
    <w:rsid w:val="00EB3564"/>
    <w:rsid w:val="00EC0993"/>
    <w:rsid w:val="00EC22C1"/>
    <w:rsid w:val="00EC5BA9"/>
    <w:rsid w:val="00ED0A58"/>
    <w:rsid w:val="00ED41E8"/>
    <w:rsid w:val="00ED5934"/>
    <w:rsid w:val="00ED76CB"/>
    <w:rsid w:val="00ED79CD"/>
    <w:rsid w:val="00EE08F2"/>
    <w:rsid w:val="00EE3146"/>
    <w:rsid w:val="00EE408D"/>
    <w:rsid w:val="00EE52CC"/>
    <w:rsid w:val="00EE77CA"/>
    <w:rsid w:val="00EF0568"/>
    <w:rsid w:val="00EF1512"/>
    <w:rsid w:val="00EF1790"/>
    <w:rsid w:val="00EF7564"/>
    <w:rsid w:val="00F01342"/>
    <w:rsid w:val="00F02373"/>
    <w:rsid w:val="00F02AAF"/>
    <w:rsid w:val="00F02CA8"/>
    <w:rsid w:val="00F045D4"/>
    <w:rsid w:val="00F0629C"/>
    <w:rsid w:val="00F06903"/>
    <w:rsid w:val="00F1054D"/>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2295"/>
    <w:rsid w:val="00F633EB"/>
    <w:rsid w:val="00F73EE2"/>
    <w:rsid w:val="00F802D3"/>
    <w:rsid w:val="00F80D24"/>
    <w:rsid w:val="00F81C79"/>
    <w:rsid w:val="00F83C1D"/>
    <w:rsid w:val="00F86222"/>
    <w:rsid w:val="00F93C2B"/>
    <w:rsid w:val="00F943E3"/>
    <w:rsid w:val="00FA01CD"/>
    <w:rsid w:val="00FA4A35"/>
    <w:rsid w:val="00FA7AFE"/>
    <w:rsid w:val="00FB1E06"/>
    <w:rsid w:val="00FC5B79"/>
    <w:rsid w:val="00FC677B"/>
    <w:rsid w:val="00FD1931"/>
    <w:rsid w:val="00FD71F8"/>
    <w:rsid w:val="00FD77AF"/>
    <w:rsid w:val="00FE64D6"/>
    <w:rsid w:val="00FF0280"/>
    <w:rsid w:val="00FF226E"/>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character" w:styleId="UnresolvedMention">
    <w:name w:val="Unresolved Mention"/>
    <w:basedOn w:val="DefaultParagraphFont"/>
    <w:uiPriority w:val="99"/>
    <w:semiHidden/>
    <w:unhideWhenUsed/>
    <w:rsid w:val="0093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ZjNiMjc3NjEtNjYyYi00YTczLWE0ZDktZjE4YzRhMzRiYzll%40thread.v2/0?context=%7b%22Tid%22%3a%224887db8a-a02b-42d5-bfe5-952a86e61210%22%2c%22Oid%22%3a%22c8dcfd50-c7a1-42ef-b2e5-522fa4801398%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5864</Words>
  <Characters>32085</Characters>
  <Application>Microsoft Office Word</Application>
  <DocSecurity>0</DocSecurity>
  <Lines>1147</Lines>
  <Paragraphs>579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2021-05-13T06:31:00Z</cp:lastPrinted>
  <dcterms:created xsi:type="dcterms:W3CDTF">2025-11-19T05:09:00Z</dcterms:created>
  <dcterms:modified xsi:type="dcterms:W3CDTF">2025-11-19T05:15:00Z</dcterms:modified>
</cp:coreProperties>
</file>