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16" w:type="dxa"/>
        <w:tblLook w:val="04A0" w:firstRow="1" w:lastRow="0" w:firstColumn="1" w:lastColumn="0" w:noHBand="0" w:noVBand="1"/>
      </w:tblPr>
      <w:tblGrid>
        <w:gridCol w:w="846"/>
        <w:gridCol w:w="5245"/>
        <w:gridCol w:w="4425"/>
      </w:tblGrid>
      <w:tr w:rsidR="005A5C4E" w:rsidRPr="005A5C4E" w14:paraId="1AFCA938" w14:textId="77777777" w:rsidTr="005A5C4E">
        <w:trPr>
          <w:cantSplit/>
          <w:tblHeader/>
        </w:trPr>
        <w:tc>
          <w:tcPr>
            <w:tcW w:w="846" w:type="dxa"/>
            <w:shd w:val="clear" w:color="auto" w:fill="D9D9D9"/>
            <w:vAlign w:val="center"/>
          </w:tcPr>
          <w:p w14:paraId="44282162" w14:textId="77777777" w:rsidR="005A5C4E" w:rsidRPr="005A5C4E" w:rsidRDefault="005A5C4E" w:rsidP="005A5C4E">
            <w:pPr>
              <w:jc w:val="center"/>
              <w:rPr>
                <w:rFonts w:ascii="Arial" w:eastAsia="Calibri" w:hAnsi="Arial" w:cs="Calibri"/>
                <w:color w:val="404040" w:themeColor="text1" w:themeTint="BF"/>
                <w:sz w:val="32"/>
                <w:szCs w:val="32"/>
              </w:rPr>
            </w:pPr>
            <w:r w:rsidRPr="005A5C4E">
              <w:rPr>
                <w:rFonts w:ascii="Arial" w:eastAsia="Calibri" w:hAnsi="Arial" w:cs="Calibri"/>
                <w:b/>
                <w:color w:val="404040" w:themeColor="text1" w:themeTint="BF"/>
                <w:sz w:val="32"/>
                <w:szCs w:val="32"/>
              </w:rPr>
              <w:t>#</w:t>
            </w:r>
          </w:p>
        </w:tc>
        <w:tc>
          <w:tcPr>
            <w:tcW w:w="5245" w:type="dxa"/>
            <w:shd w:val="clear" w:color="auto" w:fill="D9D9D9"/>
            <w:vAlign w:val="center"/>
          </w:tcPr>
          <w:p w14:paraId="52957B0D" w14:textId="77777777" w:rsidR="005A5C4E" w:rsidRPr="005A5C4E" w:rsidRDefault="005A5C4E" w:rsidP="005A5C4E">
            <w:pPr>
              <w:jc w:val="center"/>
              <w:rPr>
                <w:rFonts w:ascii="Arial" w:eastAsia="Calibri" w:hAnsi="Arial" w:cs="Calibri"/>
                <w:color w:val="404040" w:themeColor="text1" w:themeTint="BF"/>
                <w:sz w:val="32"/>
                <w:szCs w:val="32"/>
              </w:rPr>
            </w:pPr>
            <w:r w:rsidRPr="005A5C4E">
              <w:rPr>
                <w:rFonts w:ascii="Arial" w:eastAsia="Calibri" w:hAnsi="Arial" w:cs="Calibri"/>
                <w:b/>
                <w:color w:val="404040" w:themeColor="text1" w:themeTint="BF"/>
                <w:sz w:val="32"/>
                <w:szCs w:val="32"/>
              </w:rPr>
              <w:t xml:space="preserve">Question </w:t>
            </w:r>
          </w:p>
        </w:tc>
        <w:tc>
          <w:tcPr>
            <w:tcW w:w="4425" w:type="dxa"/>
            <w:shd w:val="clear" w:color="auto" w:fill="D9D9D9"/>
            <w:vAlign w:val="center"/>
          </w:tcPr>
          <w:p w14:paraId="4B9E8261" w14:textId="77777777" w:rsidR="005A5C4E" w:rsidRPr="005A5C4E" w:rsidRDefault="005A5C4E" w:rsidP="005A5C4E">
            <w:pPr>
              <w:jc w:val="center"/>
              <w:rPr>
                <w:rFonts w:ascii="Arial" w:eastAsia="Calibri" w:hAnsi="Arial" w:cs="Calibri"/>
                <w:color w:val="404040" w:themeColor="text1" w:themeTint="BF"/>
                <w:sz w:val="32"/>
                <w:szCs w:val="32"/>
              </w:rPr>
            </w:pPr>
            <w:r w:rsidRPr="005A5C4E">
              <w:rPr>
                <w:rFonts w:ascii="Arial" w:eastAsia="Calibri" w:hAnsi="Arial" w:cs="Calibri"/>
                <w:b/>
                <w:color w:val="404040" w:themeColor="text1" w:themeTint="BF"/>
                <w:sz w:val="32"/>
                <w:szCs w:val="32"/>
              </w:rPr>
              <w:t>Answer</w:t>
            </w:r>
          </w:p>
        </w:tc>
      </w:tr>
      <w:tr w:rsidR="005A5C4E" w:rsidRPr="005A5C4E" w14:paraId="0A0BE1CF" w14:textId="77777777" w:rsidTr="00695706">
        <w:trPr>
          <w:cantSplit/>
        </w:trPr>
        <w:tc>
          <w:tcPr>
            <w:tcW w:w="846" w:type="dxa"/>
          </w:tcPr>
          <w:p w14:paraId="69F484FC"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w:t>
            </w:r>
          </w:p>
        </w:tc>
        <w:tc>
          <w:tcPr>
            <w:tcW w:w="5245" w:type="dxa"/>
          </w:tcPr>
          <w:p w14:paraId="649EA7DD" w14:textId="77777777" w:rsidR="005A5C4E" w:rsidRPr="005A5C4E" w:rsidRDefault="005A5C4E" w:rsidP="005A5C4E">
            <w:pPr>
              <w:rPr>
                <w:rFonts w:ascii="Arial" w:eastAsia="Calibri" w:hAnsi="Arial" w:cs="Calibri"/>
                <w:sz w:val="18"/>
              </w:rPr>
            </w:pPr>
            <w:r w:rsidRPr="005A5C4E">
              <w:rPr>
                <w:rFonts w:ascii="Arial" w:eastAsia="Calibri" w:hAnsi="Arial" w:cs="Calibri"/>
                <w:sz w:val="18"/>
              </w:rPr>
              <w:t>Key Requirement 1 (Annexure X): May the two client reference letters be provided by the proposed SaaS OEM or a joint venture partner, where the tenderer is the accountable prime contractor?</w:t>
            </w:r>
          </w:p>
        </w:tc>
        <w:tc>
          <w:tcPr>
            <w:tcW w:w="4425" w:type="dxa"/>
          </w:tcPr>
          <w:p w14:paraId="720E1D37"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Yes. The two client reference letters may be provided by the SaaS OEM or a joint venture partner, provided that the OEM/JV partner forms part of the tendering arrangement and will participate in delivery of the proposed solution. The tenderer remains the accountable prime contractor. The references must demonstrate successful implementation of comparable assurance data analytics solutions and must comply with the evidence requirements in Annexure X.</w:t>
            </w:r>
          </w:p>
          <w:p w14:paraId="359AADD7" w14:textId="77777777" w:rsidR="005A5C4E" w:rsidRPr="005A5C4E" w:rsidRDefault="005A5C4E" w:rsidP="005A5C4E">
            <w:pPr>
              <w:jc w:val="both"/>
              <w:rPr>
                <w:rFonts w:ascii="Arial" w:eastAsia="Calibri" w:hAnsi="Arial" w:cs="Times New Roman"/>
                <w:sz w:val="18"/>
              </w:rPr>
            </w:pPr>
          </w:p>
        </w:tc>
      </w:tr>
      <w:tr w:rsidR="005A5C4E" w:rsidRPr="005A5C4E" w14:paraId="7E2FD966" w14:textId="77777777" w:rsidTr="00695706">
        <w:trPr>
          <w:cantSplit/>
        </w:trPr>
        <w:tc>
          <w:tcPr>
            <w:tcW w:w="846" w:type="dxa"/>
          </w:tcPr>
          <w:p w14:paraId="04E2675E"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w:t>
            </w:r>
          </w:p>
        </w:tc>
        <w:tc>
          <w:tcPr>
            <w:tcW w:w="5245" w:type="dxa"/>
          </w:tcPr>
          <w:p w14:paraId="7CA43838" w14:textId="77777777" w:rsidR="005A5C4E" w:rsidRPr="005A5C4E" w:rsidRDefault="005A5C4E" w:rsidP="005A5C4E">
            <w:pPr>
              <w:rPr>
                <w:rFonts w:ascii="Arial" w:eastAsia="Calibri" w:hAnsi="Arial" w:cs="Calibri"/>
                <w:sz w:val="18"/>
              </w:rPr>
            </w:pPr>
            <w:r w:rsidRPr="005A5C4E">
              <w:rPr>
                <w:rFonts w:ascii="Arial" w:eastAsia="Calibri" w:hAnsi="Arial" w:cs="Calibri"/>
                <w:sz w:val="18"/>
              </w:rPr>
              <w:t>Security criteria SCR 1.1–1.3 (Annexure X): Where the tenderer provides the OEM's SaaS service, will the OEM's SOC 1 and SOC 2 Type II reports and ISO 27001/27017/27018 certificates satisfy these criteria? Are ISO 27034 and ISO 15408 (Annexure N, clause 3.7) also required?</w:t>
            </w:r>
          </w:p>
        </w:tc>
        <w:tc>
          <w:tcPr>
            <w:tcW w:w="4425" w:type="dxa"/>
          </w:tcPr>
          <w:p w14:paraId="34188C46"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evidence must comply with SCR 1.1-SCR 1.3 as stated in Annexure X. Where the tenderer is proposing the OEM's SaaS service, the OEM's current SOC 1 and SOC 2 Type II reports and ISO 27001, ISO 27017 and ISO 27018 certificates may be submitted as supporting evidence, provided that the certification scope covers the proposed service. ISO 27034 and ISO 15408 remain applicable where required by Annexure N clause 3.7. Tenderers must clearly map each certificate/report to the relevant security criterion.</w:t>
            </w:r>
          </w:p>
          <w:p w14:paraId="430DA997" w14:textId="77777777" w:rsidR="005A5C4E" w:rsidRPr="005A5C4E" w:rsidRDefault="005A5C4E" w:rsidP="005A5C4E">
            <w:pPr>
              <w:jc w:val="both"/>
              <w:rPr>
                <w:rFonts w:ascii="Arial" w:eastAsia="Calibri" w:hAnsi="Arial" w:cs="Times New Roman"/>
                <w:sz w:val="18"/>
              </w:rPr>
            </w:pPr>
          </w:p>
        </w:tc>
      </w:tr>
      <w:tr w:rsidR="005A5C4E" w:rsidRPr="005A5C4E" w14:paraId="1770B5F5" w14:textId="77777777" w:rsidTr="00695706">
        <w:trPr>
          <w:cantSplit/>
        </w:trPr>
        <w:tc>
          <w:tcPr>
            <w:tcW w:w="846" w:type="dxa"/>
          </w:tcPr>
          <w:p w14:paraId="0CB40C34"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3</w:t>
            </w:r>
          </w:p>
        </w:tc>
        <w:tc>
          <w:tcPr>
            <w:tcW w:w="5245" w:type="dxa"/>
          </w:tcPr>
          <w:p w14:paraId="7244DAF7" w14:textId="77777777" w:rsidR="005A5C4E" w:rsidRPr="005A5C4E" w:rsidRDefault="005A5C4E" w:rsidP="005A5C4E">
            <w:pPr>
              <w:rPr>
                <w:rFonts w:ascii="Arial" w:eastAsia="Calibri" w:hAnsi="Arial" w:cs="Calibri"/>
                <w:sz w:val="18"/>
              </w:rPr>
            </w:pPr>
            <w:r w:rsidRPr="005A5C4E">
              <w:rPr>
                <w:rFonts w:ascii="Arial" w:eastAsia="Calibri" w:hAnsi="Arial" w:cs="Calibri"/>
                <w:sz w:val="18"/>
              </w:rPr>
              <w:t>Contract term: Annexure N clause 2.2 refers to a 12-month contract subject to a further GITIC submission, while the RFP states six years. Should tenderers price implementation plus five years of subscription and support?</w:t>
            </w:r>
          </w:p>
        </w:tc>
        <w:tc>
          <w:tcPr>
            <w:tcW w:w="4425" w:type="dxa"/>
          </w:tcPr>
          <w:p w14:paraId="62AAE06B"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contract period is six (6) years, comprising implementation during the first year followed by five (5) years of SaaS subscription, maintenance and support. Tenderers must price the complete six-year solution, with implementation costs and the annual subscription, maintenance and support costs clearly itemised.</w:t>
            </w:r>
          </w:p>
          <w:p w14:paraId="569118C9" w14:textId="77777777" w:rsidR="005A5C4E" w:rsidRPr="005A5C4E" w:rsidRDefault="005A5C4E" w:rsidP="005A5C4E">
            <w:pPr>
              <w:jc w:val="both"/>
              <w:rPr>
                <w:rFonts w:ascii="Arial" w:eastAsia="Calibri" w:hAnsi="Arial" w:cs="Times New Roman"/>
                <w:sz w:val="18"/>
              </w:rPr>
            </w:pPr>
          </w:p>
        </w:tc>
      </w:tr>
      <w:tr w:rsidR="005A5C4E" w:rsidRPr="005A5C4E" w14:paraId="06B66B67" w14:textId="77777777" w:rsidTr="00695706">
        <w:trPr>
          <w:cantSplit/>
        </w:trPr>
        <w:tc>
          <w:tcPr>
            <w:tcW w:w="846" w:type="dxa"/>
          </w:tcPr>
          <w:p w14:paraId="5A0130CC"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4</w:t>
            </w:r>
          </w:p>
        </w:tc>
        <w:tc>
          <w:tcPr>
            <w:tcW w:w="5245" w:type="dxa"/>
          </w:tcPr>
          <w:p w14:paraId="7AB9F62C" w14:textId="77777777" w:rsidR="005A5C4E" w:rsidRPr="005A5C4E" w:rsidRDefault="005A5C4E" w:rsidP="005A5C4E">
            <w:pPr>
              <w:rPr>
                <w:rFonts w:ascii="Arial" w:eastAsia="Calibri" w:hAnsi="Arial" w:cs="Calibri"/>
                <w:sz w:val="18"/>
              </w:rPr>
            </w:pPr>
            <w:r w:rsidRPr="005A5C4E">
              <w:rPr>
                <w:rFonts w:ascii="Arial" w:eastAsia="Calibri" w:hAnsi="Arial" w:cs="Calibri"/>
                <w:sz w:val="18"/>
              </w:rPr>
              <w:t>Performance: Annexure N specifies 100 concurrent users, while Annexure X tests 200. Which applies?</w:t>
            </w:r>
          </w:p>
        </w:tc>
        <w:tc>
          <w:tcPr>
            <w:tcW w:w="4425" w:type="dxa"/>
          </w:tcPr>
          <w:p w14:paraId="0298B9CC"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solution must support and be performance-tested for 200 concurrent users, as required by Annexure X. The reference to 100 concurrent users in Annexure N represents the anticipated initial operational requirement and does not reduce the scalability and performance requirement of 200 concurrent users.</w:t>
            </w:r>
          </w:p>
          <w:p w14:paraId="4B25DDAF" w14:textId="77777777" w:rsidR="005A5C4E" w:rsidRPr="005A5C4E" w:rsidRDefault="005A5C4E" w:rsidP="005A5C4E">
            <w:pPr>
              <w:jc w:val="both"/>
              <w:rPr>
                <w:rFonts w:ascii="Arial" w:eastAsia="Calibri" w:hAnsi="Arial" w:cs="Times New Roman"/>
                <w:sz w:val="18"/>
              </w:rPr>
            </w:pPr>
          </w:p>
        </w:tc>
      </w:tr>
      <w:tr w:rsidR="005A5C4E" w:rsidRPr="005A5C4E" w14:paraId="5A4CA909" w14:textId="77777777" w:rsidTr="00695706">
        <w:trPr>
          <w:cantSplit/>
        </w:trPr>
        <w:tc>
          <w:tcPr>
            <w:tcW w:w="846" w:type="dxa"/>
          </w:tcPr>
          <w:p w14:paraId="1F430651"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5</w:t>
            </w:r>
          </w:p>
        </w:tc>
        <w:tc>
          <w:tcPr>
            <w:tcW w:w="5245" w:type="dxa"/>
          </w:tcPr>
          <w:p w14:paraId="6956183B" w14:textId="77777777" w:rsidR="005A5C4E" w:rsidRPr="005A5C4E" w:rsidRDefault="005A5C4E" w:rsidP="005A5C4E">
            <w:pPr>
              <w:rPr>
                <w:rFonts w:ascii="Arial" w:eastAsia="Calibri" w:hAnsi="Arial" w:cs="Calibri"/>
                <w:sz w:val="18"/>
              </w:rPr>
            </w:pPr>
            <w:r w:rsidRPr="005A5C4E">
              <w:rPr>
                <w:rFonts w:ascii="Arial" w:eastAsia="Calibri" w:hAnsi="Arial" w:cs="Calibri"/>
                <w:sz w:val="18"/>
              </w:rPr>
              <w:t>Intellectual property: Does the clause transferring deliverables and source code to Eskom apply to project deliverables (configurations, scripts, integration services and documentation) rather than to the OEM's licensed platform?</w:t>
            </w:r>
          </w:p>
        </w:tc>
        <w:tc>
          <w:tcPr>
            <w:tcW w:w="4425" w:type="dxa"/>
          </w:tcPr>
          <w:p w14:paraId="349260F5"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Yes. Eskom ownership applies to project-specific deliverables created for Eskom, including configurations, scripts, interfaces/integration services, reports, analytics content and documentation. Pre-existing intellectual property in the OEM's standard SaaS platform remains the property of the OEM/vendor and is licensed to Eskom for the contract term. Tenderers must identify all pre-existing or third-party intellectual property in their proposal.</w:t>
            </w:r>
          </w:p>
          <w:p w14:paraId="26EC823A" w14:textId="77777777" w:rsidR="005A5C4E" w:rsidRPr="005A5C4E" w:rsidRDefault="005A5C4E" w:rsidP="005A5C4E">
            <w:pPr>
              <w:jc w:val="both"/>
              <w:rPr>
                <w:rFonts w:ascii="Arial" w:eastAsia="Calibri" w:hAnsi="Arial" w:cs="Times New Roman"/>
                <w:sz w:val="18"/>
              </w:rPr>
            </w:pPr>
          </w:p>
        </w:tc>
      </w:tr>
      <w:tr w:rsidR="005A5C4E" w:rsidRPr="005A5C4E" w14:paraId="21CE2385" w14:textId="77777777" w:rsidTr="00695706">
        <w:trPr>
          <w:cantSplit/>
        </w:trPr>
        <w:tc>
          <w:tcPr>
            <w:tcW w:w="846" w:type="dxa"/>
          </w:tcPr>
          <w:p w14:paraId="49FDA06D"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6</w:t>
            </w:r>
          </w:p>
        </w:tc>
        <w:tc>
          <w:tcPr>
            <w:tcW w:w="5245" w:type="dxa"/>
          </w:tcPr>
          <w:p w14:paraId="22004D7E"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Missing annexures: Please provide Annexures O (NEC3 TSC3), Q, R, S and Z (Schedule Q), which are not included in the downloadable pack.</w:t>
            </w:r>
          </w:p>
          <w:p w14:paraId="00A990BA" w14:textId="77777777" w:rsidR="005A5C4E" w:rsidRPr="005A5C4E" w:rsidRDefault="005A5C4E" w:rsidP="005A5C4E">
            <w:pPr>
              <w:rPr>
                <w:rFonts w:ascii="Arial" w:eastAsia="Calibri" w:hAnsi="Arial" w:cs="Calibri"/>
                <w:sz w:val="18"/>
              </w:rPr>
            </w:pPr>
          </w:p>
        </w:tc>
        <w:tc>
          <w:tcPr>
            <w:tcW w:w="4425" w:type="dxa"/>
          </w:tcPr>
          <w:p w14:paraId="4C650248"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Annexures O, Q, R, S and Z form part of the tender pack and are listed as attached in the RFP. Eskom will make the missing annexures available through the official Eskom E-tendering/Tender Bulletin channel. Tenderers must use the latest documents and addenda published for tender E3536CXMWP.</w:t>
            </w:r>
          </w:p>
          <w:p w14:paraId="0421DAA8" w14:textId="77777777" w:rsidR="005A5C4E" w:rsidRPr="005A5C4E" w:rsidRDefault="005A5C4E" w:rsidP="005A5C4E">
            <w:pPr>
              <w:jc w:val="both"/>
              <w:rPr>
                <w:rFonts w:ascii="Arial" w:eastAsia="Calibri" w:hAnsi="Arial" w:cs="Times New Roman"/>
                <w:sz w:val="18"/>
              </w:rPr>
            </w:pPr>
          </w:p>
        </w:tc>
      </w:tr>
      <w:tr w:rsidR="005A5C4E" w:rsidRPr="005A5C4E" w14:paraId="0F4FDEB6" w14:textId="77777777" w:rsidTr="00695706">
        <w:trPr>
          <w:cantSplit/>
        </w:trPr>
        <w:tc>
          <w:tcPr>
            <w:tcW w:w="846" w:type="dxa"/>
          </w:tcPr>
          <w:p w14:paraId="7C356509"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7</w:t>
            </w:r>
          </w:p>
        </w:tc>
        <w:tc>
          <w:tcPr>
            <w:tcW w:w="5245" w:type="dxa"/>
          </w:tcPr>
          <w:p w14:paraId="27720245"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xml:space="preserve"> SLA: Please confirm that Annexure N section 5 governs, and that the SLA template referring to an Asset Tracking Solution does not form part of this tender.</w:t>
            </w:r>
          </w:p>
          <w:p w14:paraId="5BCDD3D3" w14:textId="77777777" w:rsidR="005A5C4E" w:rsidRPr="005A5C4E" w:rsidRDefault="005A5C4E" w:rsidP="005A5C4E">
            <w:pPr>
              <w:rPr>
                <w:rFonts w:ascii="Arial" w:eastAsia="Calibri" w:hAnsi="Arial" w:cs="Calibri"/>
                <w:sz w:val="18"/>
              </w:rPr>
            </w:pPr>
          </w:p>
        </w:tc>
        <w:tc>
          <w:tcPr>
            <w:tcW w:w="4425" w:type="dxa"/>
          </w:tcPr>
          <w:p w14:paraId="02443FCA" w14:textId="77777777" w:rsidR="005A5C4E" w:rsidRPr="005A5C4E" w:rsidRDefault="005A5C4E" w:rsidP="005A5C4E">
            <w:pPr>
              <w:jc w:val="both"/>
              <w:rPr>
                <w:rFonts w:ascii="Arial" w:eastAsia="Calibri" w:hAnsi="Arial" w:cs="Times New Roman"/>
                <w:sz w:val="18"/>
              </w:rPr>
            </w:pPr>
            <w:r w:rsidRPr="005A5C4E">
              <w:rPr>
                <w:rFonts w:ascii="Arial" w:eastAsia="Calibri" w:hAnsi="Arial" w:cs="Times New Roman"/>
                <w:sz w:val="18"/>
              </w:rPr>
              <w:t>Confirmed. The service levels applicable to this procurement are those specified in Annexure N, including the Assurance Data Analytics requirements. The SLA template referring to an Asset Tracking Solution is not applicable to this tender and should be disregarded.</w:t>
            </w:r>
          </w:p>
        </w:tc>
      </w:tr>
      <w:tr w:rsidR="005A5C4E" w:rsidRPr="005A5C4E" w14:paraId="2EFA2C5F" w14:textId="77777777" w:rsidTr="00695706">
        <w:trPr>
          <w:cantSplit/>
        </w:trPr>
        <w:tc>
          <w:tcPr>
            <w:tcW w:w="846" w:type="dxa"/>
          </w:tcPr>
          <w:p w14:paraId="061F93AF"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lastRenderedPageBreak/>
              <w:t>8</w:t>
            </w:r>
          </w:p>
        </w:tc>
        <w:tc>
          <w:tcPr>
            <w:tcW w:w="5245" w:type="dxa"/>
          </w:tcPr>
          <w:p w14:paraId="04716776"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Environments: For a vendor-hosted SaaS solution, are all five environments in Annexure N clause 3.11 (Development, QA/SIT, Pre-production, DR and Production) required?</w:t>
            </w:r>
          </w:p>
          <w:p w14:paraId="0D9AC6E7" w14:textId="77777777" w:rsidR="005A5C4E" w:rsidRPr="005A5C4E" w:rsidRDefault="005A5C4E" w:rsidP="005A5C4E">
            <w:pPr>
              <w:rPr>
                <w:rFonts w:ascii="Arial" w:eastAsia="Calibri" w:hAnsi="Arial" w:cs="Calibri"/>
                <w:sz w:val="18"/>
              </w:rPr>
            </w:pPr>
          </w:p>
        </w:tc>
        <w:tc>
          <w:tcPr>
            <w:tcW w:w="4425" w:type="dxa"/>
          </w:tcPr>
          <w:p w14:paraId="02C93A09"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Yes. The five required environments are Development, QA/SIT, Pre-production, Disaster Recovery and Production. For a vendor-hosted SaaS solution, these may be provided as logically segregated SaaS environments/tenants, provided that segregation, access control, data protection, release management, testing and disaster-recovery requirements are met.</w:t>
            </w:r>
          </w:p>
          <w:p w14:paraId="05CD45C4" w14:textId="77777777" w:rsidR="005A5C4E" w:rsidRPr="005A5C4E" w:rsidRDefault="005A5C4E" w:rsidP="005A5C4E">
            <w:pPr>
              <w:jc w:val="both"/>
              <w:rPr>
                <w:rFonts w:ascii="Arial" w:eastAsia="Calibri" w:hAnsi="Arial" w:cs="Times New Roman"/>
                <w:sz w:val="18"/>
              </w:rPr>
            </w:pPr>
          </w:p>
        </w:tc>
      </w:tr>
      <w:tr w:rsidR="005A5C4E" w:rsidRPr="005A5C4E" w14:paraId="3C88088E" w14:textId="77777777" w:rsidTr="00695706">
        <w:trPr>
          <w:cantSplit/>
        </w:trPr>
        <w:tc>
          <w:tcPr>
            <w:tcW w:w="846" w:type="dxa"/>
          </w:tcPr>
          <w:p w14:paraId="4E850CE1"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9</w:t>
            </w:r>
          </w:p>
        </w:tc>
        <w:tc>
          <w:tcPr>
            <w:tcW w:w="5245" w:type="dxa"/>
          </w:tcPr>
          <w:p w14:paraId="614C01CE"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[Annexure G – Costing Schedule v0.1 (.xlsx)] The pricing schedule is protected with Microsoft Information Rights Management and cannot be opened by tenderers outside Eskom's tenant. Could Eskom please issue an unprotected version (or a PDF of its structure) and confirm the pricing periods and units required?</w:t>
            </w:r>
          </w:p>
        </w:tc>
        <w:tc>
          <w:tcPr>
            <w:tcW w:w="4425" w:type="dxa"/>
          </w:tcPr>
          <w:p w14:paraId="08DCAE16" w14:textId="687D1164" w:rsidR="005A5C4E" w:rsidRDefault="005A5C4E" w:rsidP="005A5C4E">
            <w:pPr>
              <w:jc w:val="both"/>
              <w:rPr>
                <w:rFonts w:ascii="Arial" w:eastAsia="Calibri" w:hAnsi="Arial" w:cs="Times New Roman"/>
                <w:sz w:val="18"/>
              </w:rPr>
            </w:pPr>
            <w:r w:rsidRPr="005A5C4E">
              <w:rPr>
                <w:rFonts w:ascii="Arial" w:eastAsia="Calibri" w:hAnsi="Arial" w:cs="Times New Roman"/>
                <w:sz w:val="18"/>
              </w:rPr>
              <w:t xml:space="preserve">Eskom </w:t>
            </w:r>
            <w:r w:rsidR="00F96C67">
              <w:rPr>
                <w:rFonts w:ascii="Arial" w:eastAsia="Calibri" w:hAnsi="Arial" w:cs="Times New Roman"/>
                <w:sz w:val="18"/>
              </w:rPr>
              <w:t xml:space="preserve">has provided an </w:t>
            </w:r>
            <w:r w:rsidRPr="005A5C4E">
              <w:rPr>
                <w:rFonts w:ascii="Arial" w:eastAsia="Calibri" w:hAnsi="Arial" w:cs="Times New Roman"/>
                <w:sz w:val="18"/>
              </w:rPr>
              <w:t xml:space="preserve">unprotected version of Annexure G </w:t>
            </w:r>
            <w:r w:rsidR="00F96C67">
              <w:rPr>
                <w:rFonts w:ascii="Arial" w:eastAsia="Calibri" w:hAnsi="Arial" w:cs="Times New Roman"/>
                <w:sz w:val="18"/>
              </w:rPr>
              <w:t>check</w:t>
            </w:r>
            <w:r w:rsidRPr="005A5C4E">
              <w:rPr>
                <w:rFonts w:ascii="Arial" w:eastAsia="Calibri" w:hAnsi="Arial" w:cs="Times New Roman"/>
                <w:sz w:val="18"/>
              </w:rPr>
              <w:t xml:space="preserve"> E-tendering/Tender Bulletin channel. Tenderers must price the full six-year period, comprising implementation in year 1 and SaaS subscription, maintenance and support for years 1-6, with once-off and recurring charges, units, quantities, annual rates and applicable CPA clearly itemised in the prescribed schedule.</w:t>
            </w:r>
          </w:p>
          <w:p w14:paraId="3BEE3585" w14:textId="77777777" w:rsidR="005A5C4E" w:rsidRPr="005A5C4E" w:rsidRDefault="005A5C4E" w:rsidP="005A5C4E">
            <w:pPr>
              <w:jc w:val="both"/>
              <w:rPr>
                <w:rFonts w:ascii="Arial" w:eastAsia="Calibri" w:hAnsi="Arial" w:cs="Times New Roman"/>
                <w:sz w:val="18"/>
              </w:rPr>
            </w:pPr>
          </w:p>
        </w:tc>
      </w:tr>
      <w:tr w:rsidR="005A5C4E" w:rsidRPr="005A5C4E" w14:paraId="6C03B7C8" w14:textId="77777777" w:rsidTr="00695706">
        <w:trPr>
          <w:cantSplit/>
        </w:trPr>
        <w:tc>
          <w:tcPr>
            <w:tcW w:w="846" w:type="dxa"/>
          </w:tcPr>
          <w:p w14:paraId="49BD163D"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10</w:t>
            </w:r>
          </w:p>
        </w:tc>
        <w:tc>
          <w:tcPr>
            <w:tcW w:w="5245" w:type="dxa"/>
          </w:tcPr>
          <w:p w14:paraId="760AF627"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xml:space="preserve"> Demonstration: Please confirm the expected date, duration and format of the demonstration stage.</w:t>
            </w:r>
          </w:p>
          <w:p w14:paraId="1D9227C3" w14:textId="01D9A169" w:rsidR="005A5C4E" w:rsidRPr="005A5C4E" w:rsidRDefault="005A5C4E" w:rsidP="005A5C4E">
            <w:pPr>
              <w:spacing w:line="276" w:lineRule="auto"/>
              <w:rPr>
                <w:rFonts w:ascii="Arial" w:eastAsia="Calibri" w:hAnsi="Arial" w:cs="Calibri"/>
                <w:sz w:val="18"/>
              </w:rPr>
            </w:pPr>
            <w:r w:rsidRPr="005A5C4E">
              <w:rPr>
                <w:rFonts w:ascii="Arial" w:eastAsia="Aptos" w:hAnsi="Arial" w:cs="Calibri"/>
                <w:sz w:val="18"/>
                <w:lang w:eastAsia="en-ZA"/>
              </w:rPr>
              <w:t>Submission: Please confirm the correct e-tendering upload link (tender/96362 or tender/1/94721) and provide the 2026/27 PAYE questionnaire if available.</w:t>
            </w:r>
          </w:p>
        </w:tc>
        <w:tc>
          <w:tcPr>
            <w:tcW w:w="4425" w:type="dxa"/>
          </w:tcPr>
          <w:p w14:paraId="6B08A8EF"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demonstration will take place after completion of the desktop technical evaluation and only tenderers that meet the 70% desktop-evaluation threshold will be invited. The invitation will confirm the date, duration, prescribed scenarios, data requirements and whether the session will be virtual or on-site. For submission, tenderers must use the tender-specific link stated in the Tender Data: https://etendering.eskom.co.za/tender/1/94721. The Tax Evaluation Questionnaire is Annexure K and must be completed where applicable.</w:t>
            </w:r>
          </w:p>
          <w:p w14:paraId="0B0C2568" w14:textId="77777777" w:rsidR="005A5C4E" w:rsidRPr="005A5C4E" w:rsidRDefault="005A5C4E" w:rsidP="005A5C4E">
            <w:pPr>
              <w:jc w:val="both"/>
              <w:rPr>
                <w:rFonts w:ascii="Arial" w:eastAsia="Calibri" w:hAnsi="Arial" w:cs="Times New Roman"/>
                <w:sz w:val="18"/>
              </w:rPr>
            </w:pPr>
          </w:p>
        </w:tc>
      </w:tr>
      <w:tr w:rsidR="005A5C4E" w:rsidRPr="005A5C4E" w14:paraId="22918C66" w14:textId="77777777" w:rsidTr="00695706">
        <w:trPr>
          <w:cantSplit/>
        </w:trPr>
        <w:tc>
          <w:tcPr>
            <w:tcW w:w="846" w:type="dxa"/>
          </w:tcPr>
          <w:p w14:paraId="65AE6BEA"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11</w:t>
            </w:r>
          </w:p>
        </w:tc>
        <w:tc>
          <w:tcPr>
            <w:tcW w:w="5245" w:type="dxa"/>
          </w:tcPr>
          <w:p w14:paraId="6F6EDE60" w14:textId="1D3DD0E9"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xml:space="preserve"> Submission: Please confirm the correct e-tendering upload link (tender/96362 or tender/1/94721</w:t>
            </w:r>
            <w:r w:rsidR="00E07E0F" w:rsidRPr="005A5C4E">
              <w:rPr>
                <w:rFonts w:ascii="Arial" w:eastAsia="Aptos" w:hAnsi="Arial" w:cs="Calibri"/>
                <w:sz w:val="18"/>
                <w:lang w:eastAsia="en-ZA"/>
              </w:rPr>
              <w:t>) and</w:t>
            </w:r>
            <w:r w:rsidRPr="005A5C4E">
              <w:rPr>
                <w:rFonts w:ascii="Arial" w:eastAsia="Aptos" w:hAnsi="Arial" w:cs="Calibri"/>
                <w:sz w:val="18"/>
                <w:lang w:eastAsia="en-ZA"/>
              </w:rPr>
              <w:t xml:space="preserve"> provide the 2026/27 PAYE questionnaire if available.</w:t>
            </w:r>
          </w:p>
          <w:p w14:paraId="0B55F812" w14:textId="77777777" w:rsidR="005A5C4E" w:rsidRPr="005A5C4E" w:rsidRDefault="005A5C4E" w:rsidP="005A5C4E">
            <w:pPr>
              <w:rPr>
                <w:rFonts w:ascii="Arial" w:eastAsia="Calibri" w:hAnsi="Arial" w:cs="Calibri"/>
                <w:sz w:val="18"/>
              </w:rPr>
            </w:pPr>
          </w:p>
        </w:tc>
        <w:tc>
          <w:tcPr>
            <w:tcW w:w="4425" w:type="dxa"/>
          </w:tcPr>
          <w:p w14:paraId="7F985F63" w14:textId="15DB590F" w:rsidR="005A5C4E" w:rsidRPr="00E07E0F" w:rsidRDefault="005A5C4E" w:rsidP="005A5C4E">
            <w:pPr>
              <w:jc w:val="both"/>
              <w:rPr>
                <w:rFonts w:ascii="Arial" w:eastAsia="Calibri" w:hAnsi="Arial" w:cs="Times New Roman"/>
                <w:sz w:val="18"/>
              </w:rPr>
            </w:pPr>
            <w:r w:rsidRPr="00E07E0F">
              <w:rPr>
                <w:rFonts w:ascii="Arial" w:eastAsia="Calibri" w:hAnsi="Arial" w:cs="Times New Roman"/>
                <w:sz w:val="18"/>
              </w:rPr>
              <w:t xml:space="preserve">Tenderers must use the tender-specific upload link stated in the Tender Data: </w:t>
            </w:r>
            <w:r w:rsidR="00E07E0F" w:rsidRPr="00E07E0F">
              <w:rPr>
                <w:rFonts w:ascii="Arial" w:eastAsia="Calibri" w:hAnsi="Arial" w:cs="Times New Roman"/>
                <w:sz w:val="18"/>
              </w:rPr>
              <w:t>as per the RFP first page</w:t>
            </w:r>
            <w:r w:rsidRPr="00E07E0F">
              <w:rPr>
                <w:rFonts w:ascii="Arial" w:eastAsia="Calibri" w:hAnsi="Arial" w:cs="Times New Roman"/>
                <w:sz w:val="18"/>
              </w:rPr>
              <w:t>. The Tax Evaluation Questionnaire is Annexure K in the issued RFP pack and must be completed where applicable. Any replacement or updated questionnaire will be issued only through an official addendum.</w:t>
            </w:r>
          </w:p>
          <w:p w14:paraId="7C1A934B" w14:textId="77777777" w:rsidR="005A5C4E" w:rsidRPr="00E07E0F" w:rsidRDefault="005A5C4E" w:rsidP="005A5C4E">
            <w:pPr>
              <w:jc w:val="both"/>
              <w:rPr>
                <w:rFonts w:ascii="Arial" w:eastAsia="Calibri" w:hAnsi="Arial" w:cs="Times New Roman"/>
                <w:sz w:val="18"/>
              </w:rPr>
            </w:pPr>
          </w:p>
        </w:tc>
      </w:tr>
      <w:tr w:rsidR="005A5C4E" w:rsidRPr="005A5C4E" w14:paraId="3930688B" w14:textId="77777777" w:rsidTr="00695706">
        <w:trPr>
          <w:cantSplit/>
        </w:trPr>
        <w:tc>
          <w:tcPr>
            <w:tcW w:w="846" w:type="dxa"/>
          </w:tcPr>
          <w:p w14:paraId="44C3EB1D"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12</w:t>
            </w:r>
          </w:p>
        </w:tc>
        <w:tc>
          <w:tcPr>
            <w:tcW w:w="5245" w:type="dxa"/>
          </w:tcPr>
          <w:p w14:paraId="2B1F8B02"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[RFP p.1 / SOW §2.2 / SOW §5.8 / Annex P] The RFP states a contract period of six (6) years including maintenance and support. The Scope of Work states 12 months (§2.2) and a 5-year support and maintenance period (§5.8). Please confirm the contract duration and the periods for which prices must be quoted (implementation, subscription years, support).</w:t>
            </w:r>
            <w:r w:rsidRPr="005A5C4E">
              <w:rPr>
                <w:rFonts w:ascii="Arial" w:eastAsia="Aptos" w:hAnsi="Arial" w:cs="Calibri"/>
                <w:sz w:val="18"/>
                <w:lang w:eastAsia="en-ZA"/>
              </w:rPr>
              <w:br/>
            </w:r>
          </w:p>
        </w:tc>
        <w:tc>
          <w:tcPr>
            <w:tcW w:w="4425" w:type="dxa"/>
          </w:tcPr>
          <w:p w14:paraId="74248C89" w14:textId="77777777" w:rsidR="005A5C4E" w:rsidRPr="005A5C4E" w:rsidRDefault="005A5C4E" w:rsidP="005A5C4E">
            <w:pPr>
              <w:jc w:val="both"/>
              <w:rPr>
                <w:rFonts w:ascii="Arial" w:eastAsia="Calibri" w:hAnsi="Arial" w:cs="Times New Roman"/>
                <w:sz w:val="18"/>
              </w:rPr>
            </w:pPr>
            <w:r w:rsidRPr="005A5C4E">
              <w:rPr>
                <w:rFonts w:ascii="Arial" w:eastAsia="Calibri" w:hAnsi="Arial" w:cs="Times New Roman"/>
                <w:sz w:val="18"/>
              </w:rPr>
              <w:t>The contract period is six (6) years. This comprises implementation during the first year and five (5) subsequent years of support and maintenance. Tenderers must quote the complete six-year solution and separately itemise implementation, SaaS subscription and support/maintenance costs for each applicable year.</w:t>
            </w:r>
          </w:p>
        </w:tc>
      </w:tr>
      <w:tr w:rsidR="005A5C4E" w:rsidRPr="005A5C4E" w14:paraId="31026D7E" w14:textId="77777777" w:rsidTr="00695706">
        <w:trPr>
          <w:cantSplit/>
        </w:trPr>
        <w:tc>
          <w:tcPr>
            <w:tcW w:w="846" w:type="dxa"/>
          </w:tcPr>
          <w:p w14:paraId="1127713E"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13</w:t>
            </w:r>
          </w:p>
        </w:tc>
        <w:tc>
          <w:tcPr>
            <w:tcW w:w="5245" w:type="dxa"/>
          </w:tcPr>
          <w:p w14:paraId="31301BB6"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xml:space="preserve"> [RFP p.1 / SOW §2.2 / SOW §5.8 / Annex P] The RFP states a contract period of six (6) years including maintenance and support. The Scope of Work states 12 months (§2.2) and a 5-year support and maintenance period (§5.8). Please confirm the contract duration and the periods for which prices must be quoted (implementation, subscription years, support).</w:t>
            </w:r>
          </w:p>
        </w:tc>
        <w:tc>
          <w:tcPr>
            <w:tcW w:w="4425" w:type="dxa"/>
          </w:tcPr>
          <w:p w14:paraId="25B0A1D0"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contract period is six (6) years. This comprises implementation during the first year and five (5) subsequent years of support and maintenance. Tenderers must quote the complete six-year solution and separately itemise implementation, SaaS subscription and support/maintenance costs for each applicable year.</w:t>
            </w:r>
          </w:p>
          <w:p w14:paraId="1DA3D3D6" w14:textId="77777777" w:rsidR="005A5C4E" w:rsidRPr="005A5C4E" w:rsidRDefault="005A5C4E" w:rsidP="005A5C4E">
            <w:pPr>
              <w:jc w:val="both"/>
              <w:rPr>
                <w:rFonts w:ascii="Arial" w:eastAsia="Calibri" w:hAnsi="Arial" w:cs="Times New Roman"/>
                <w:sz w:val="18"/>
              </w:rPr>
            </w:pPr>
          </w:p>
        </w:tc>
      </w:tr>
      <w:tr w:rsidR="005A5C4E" w:rsidRPr="005A5C4E" w14:paraId="70877DB0" w14:textId="77777777" w:rsidTr="00695706">
        <w:trPr>
          <w:cantSplit/>
        </w:trPr>
        <w:tc>
          <w:tcPr>
            <w:tcW w:w="846" w:type="dxa"/>
          </w:tcPr>
          <w:p w14:paraId="452F4FD1"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14</w:t>
            </w:r>
          </w:p>
        </w:tc>
        <w:tc>
          <w:tcPr>
            <w:tcW w:w="5245" w:type="dxa"/>
          </w:tcPr>
          <w:p w14:paraId="4315E4FC"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xml:space="preserve"> [Annex X Key Requirement 2; SOW §3.2, §8] Please confirm that SaaS hosting in a data centre within the European Union (GDPR jurisdiction) is acceptable as an alternative to South Africa, as stated in Key Requirement 2, provided that the cross-border transfer requirements of POPIA section 72 are met.</w:t>
            </w:r>
          </w:p>
        </w:tc>
        <w:tc>
          <w:tcPr>
            <w:tcW w:w="4425" w:type="dxa"/>
          </w:tcPr>
          <w:p w14:paraId="39FE6C24" w14:textId="77777777" w:rsidR="005A5C4E" w:rsidRPr="005A5C4E" w:rsidRDefault="005A5C4E" w:rsidP="005A5C4E">
            <w:pPr>
              <w:jc w:val="both"/>
              <w:rPr>
                <w:rFonts w:ascii="Arial" w:eastAsia="Calibri" w:hAnsi="Arial" w:cs="Times New Roman"/>
                <w:sz w:val="18"/>
              </w:rPr>
            </w:pPr>
            <w:r w:rsidRPr="005A5C4E">
              <w:rPr>
                <w:rFonts w:ascii="Arial" w:eastAsia="Calibri" w:hAnsi="Arial" w:cs="Times New Roman"/>
                <w:sz w:val="18"/>
              </w:rPr>
              <w:t>Confirmed. Hosting in South Africa is preferred. Hosting in the European Union is acceptable as the stated alternative under Key Requirement 2, provided that all POPIA section 72 cross-border transfer requirements are met and all production data, backups, archives, replicas and disaster-recovery copies remain within the approved South African or European locations.</w:t>
            </w:r>
          </w:p>
        </w:tc>
      </w:tr>
      <w:tr w:rsidR="005A5C4E" w:rsidRPr="005A5C4E" w14:paraId="3FC9C03F" w14:textId="77777777" w:rsidTr="00695706">
        <w:trPr>
          <w:cantSplit/>
        </w:trPr>
        <w:tc>
          <w:tcPr>
            <w:tcW w:w="846" w:type="dxa"/>
          </w:tcPr>
          <w:p w14:paraId="18EDB643"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15</w:t>
            </w:r>
          </w:p>
        </w:tc>
        <w:tc>
          <w:tcPr>
            <w:tcW w:w="5245" w:type="dxa"/>
          </w:tcPr>
          <w:p w14:paraId="7275DC6A"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Annex X Key Requirement 2; SOW §3.2, §8] Please confirm that SaaS hosting in a data centre within the European Union (GDPR jurisdiction) is acceptable as an alternative to South Africa, as stated in Key Requirement 2, provided that the cross-border transfer requirements of POPIA section 72 are met.</w:t>
            </w:r>
            <w:r w:rsidRPr="005A5C4E">
              <w:rPr>
                <w:rFonts w:ascii="Arial" w:eastAsia="Aptos" w:hAnsi="Arial" w:cs="Calibri"/>
                <w:sz w:val="18"/>
                <w:lang w:eastAsia="en-ZA"/>
              </w:rPr>
              <w:br/>
            </w:r>
          </w:p>
        </w:tc>
        <w:tc>
          <w:tcPr>
            <w:tcW w:w="4425" w:type="dxa"/>
          </w:tcPr>
          <w:p w14:paraId="1DD138B5"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Confirmed. Hosting in South Africa is preferred. Hosting in the European Union is acceptable as the stated alternative under Key Requirement 2, provided that all POPIA section 72 cross-border transfer requirements are met and all production data, backups, archives, replicas and disaster-recovery copies remain within the approved South African or European locations.</w:t>
            </w:r>
          </w:p>
          <w:p w14:paraId="2E95B190" w14:textId="77777777" w:rsidR="005A5C4E" w:rsidRPr="005A5C4E" w:rsidRDefault="005A5C4E" w:rsidP="005A5C4E">
            <w:pPr>
              <w:jc w:val="both"/>
              <w:rPr>
                <w:rFonts w:ascii="Arial" w:eastAsia="Calibri" w:hAnsi="Arial" w:cs="Times New Roman"/>
                <w:sz w:val="18"/>
              </w:rPr>
            </w:pPr>
          </w:p>
        </w:tc>
      </w:tr>
      <w:tr w:rsidR="005A5C4E" w:rsidRPr="005A5C4E" w14:paraId="416BFFA1" w14:textId="77777777" w:rsidTr="00695706">
        <w:trPr>
          <w:cantSplit/>
        </w:trPr>
        <w:tc>
          <w:tcPr>
            <w:tcW w:w="846" w:type="dxa"/>
          </w:tcPr>
          <w:p w14:paraId="39E1100C"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16</w:t>
            </w:r>
          </w:p>
        </w:tc>
        <w:tc>
          <w:tcPr>
            <w:tcW w:w="5245" w:type="dxa"/>
          </w:tcPr>
          <w:p w14:paraId="0A316A10"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xml:space="preserve">[Annex X SCR 1.1–1.3; Security Requirements 559-487964975, note 8] Where the SaaS service runs on a </w:t>
            </w:r>
            <w:proofErr w:type="spellStart"/>
            <w:r w:rsidRPr="005A5C4E">
              <w:rPr>
                <w:rFonts w:ascii="Arial" w:eastAsia="Aptos" w:hAnsi="Arial" w:cs="Calibri"/>
                <w:sz w:val="18"/>
                <w:lang w:eastAsia="en-ZA"/>
              </w:rPr>
              <w:t>hyperscaler</w:t>
            </w:r>
            <w:proofErr w:type="spellEnd"/>
            <w:r w:rsidRPr="005A5C4E">
              <w:rPr>
                <w:rFonts w:ascii="Arial" w:eastAsia="Aptos" w:hAnsi="Arial" w:cs="Calibri"/>
                <w:sz w:val="18"/>
                <w:lang w:eastAsia="en-ZA"/>
              </w:rPr>
              <w:t xml:space="preserve"> region (e.g. Microsoft Azure or AWS), may the tenderer rely on the </w:t>
            </w:r>
            <w:proofErr w:type="spellStart"/>
            <w:r w:rsidRPr="005A5C4E">
              <w:rPr>
                <w:rFonts w:ascii="Arial" w:eastAsia="Aptos" w:hAnsi="Arial" w:cs="Calibri"/>
                <w:sz w:val="18"/>
                <w:lang w:eastAsia="en-ZA"/>
              </w:rPr>
              <w:t>hyperscaler's</w:t>
            </w:r>
            <w:proofErr w:type="spellEnd"/>
            <w:r w:rsidRPr="005A5C4E">
              <w:rPr>
                <w:rFonts w:ascii="Arial" w:eastAsia="Aptos" w:hAnsi="Arial" w:cs="Calibri"/>
                <w:sz w:val="18"/>
                <w:lang w:eastAsia="en-ZA"/>
              </w:rPr>
              <w:t xml:space="preserve"> ISO 27001/27017/27018 certificates for the infrastructure layer, together with the tenderer's own controls for the application layer? Will Eskom accept a SOC 2 Type II readiness assessment or a dated plan to obtain SOC 2 Type II, with completion as a contractual milestone, where the report is not yet available at closing?</w:t>
            </w:r>
          </w:p>
        </w:tc>
        <w:tc>
          <w:tcPr>
            <w:tcW w:w="4425" w:type="dxa"/>
          </w:tcPr>
          <w:p w14:paraId="3EAF58A8"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tenderer may rely on the hyperscale’s ISO 27001, ISO 27017 and ISO 27018 certifications for the infrastructure layer, together with the OEM/tenderer's controls and evidence for the SaaS application and service-management layers. The submitted evidence must collectively cover the complete proposed solution and be mapped to SCR 1.1-SCR 1.3. A SOC 2 Type II readiness assessment or future plan is not equivalent to a current SOC 2 Type II report and will not satisfy a criterion that expressly requires the report at tender closing.</w:t>
            </w:r>
          </w:p>
          <w:p w14:paraId="24BEA927" w14:textId="0CDD812F" w:rsidR="005A5C4E" w:rsidRPr="005A5C4E" w:rsidRDefault="005A5C4E" w:rsidP="005A5C4E">
            <w:pPr>
              <w:jc w:val="both"/>
              <w:rPr>
                <w:rFonts w:ascii="Arial" w:eastAsia="Calibri" w:hAnsi="Arial" w:cs="Times New Roman"/>
                <w:sz w:val="18"/>
              </w:rPr>
            </w:pPr>
          </w:p>
        </w:tc>
      </w:tr>
      <w:tr w:rsidR="005A5C4E" w:rsidRPr="005A5C4E" w14:paraId="040E6A35" w14:textId="77777777" w:rsidTr="00695706">
        <w:trPr>
          <w:cantSplit/>
        </w:trPr>
        <w:tc>
          <w:tcPr>
            <w:tcW w:w="846" w:type="dxa"/>
          </w:tcPr>
          <w:p w14:paraId="673AA1BF"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17</w:t>
            </w:r>
          </w:p>
        </w:tc>
        <w:tc>
          <w:tcPr>
            <w:tcW w:w="5245" w:type="dxa"/>
          </w:tcPr>
          <w:p w14:paraId="4F5C098E"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Annex X Key Requirement 1] Where the tender is submitted by a South African main contractor together with a software OEM (as subcontractor or JV partner), may reference letters from clients of either party be submitted? Do the references have to relate to the identical product version, or does the implementation of assurance data analytics solutions in general qualify?</w:t>
            </w:r>
          </w:p>
        </w:tc>
        <w:tc>
          <w:tcPr>
            <w:tcW w:w="4425" w:type="dxa"/>
          </w:tcPr>
          <w:p w14:paraId="6FEB49AA" w14:textId="77777777" w:rsidR="005A5C4E" w:rsidRDefault="005A5C4E" w:rsidP="005A5C4E">
            <w:pPr>
              <w:jc w:val="both"/>
              <w:rPr>
                <w:rFonts w:ascii="Arial" w:eastAsia="Calibri" w:hAnsi="Arial" w:cs="Times New Roman"/>
                <w:sz w:val="18"/>
              </w:rPr>
            </w:pPr>
            <w:r w:rsidRPr="00DC48C0">
              <w:rPr>
                <w:rFonts w:ascii="Arial" w:eastAsia="Calibri" w:hAnsi="Arial" w:cs="Times New Roman"/>
                <w:sz w:val="18"/>
              </w:rPr>
              <w:t>Reference letters may be submitted for the South African main contractor, the software OEM or a JV partner, provided that the referenced party forms part of the tendering arrangement and will participate in delivery. The references do not have to relate to the identical product version, but must demonstrate successful implementation of comparable assurance data analytics solutions and satisfy all evidence requirements in Annexure X.</w:t>
            </w:r>
          </w:p>
          <w:p w14:paraId="18E77F61" w14:textId="77777777" w:rsidR="005A5C4E" w:rsidRPr="005A5C4E" w:rsidRDefault="005A5C4E" w:rsidP="005A5C4E">
            <w:pPr>
              <w:jc w:val="both"/>
              <w:rPr>
                <w:rFonts w:ascii="Arial" w:eastAsia="Calibri" w:hAnsi="Arial" w:cs="Times New Roman"/>
                <w:sz w:val="18"/>
              </w:rPr>
            </w:pPr>
          </w:p>
        </w:tc>
      </w:tr>
      <w:tr w:rsidR="005A5C4E" w:rsidRPr="005A5C4E" w14:paraId="52E8DBC2" w14:textId="77777777" w:rsidTr="00695706">
        <w:trPr>
          <w:cantSplit/>
        </w:trPr>
        <w:tc>
          <w:tcPr>
            <w:tcW w:w="846" w:type="dxa"/>
          </w:tcPr>
          <w:p w14:paraId="380D2F0C"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18</w:t>
            </w:r>
          </w:p>
        </w:tc>
        <w:tc>
          <w:tcPr>
            <w:tcW w:w="5245" w:type="dxa"/>
          </w:tcPr>
          <w:p w14:paraId="6CD2B73F"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[Annex X Non-Functional Test 1–4; SOW §2.2.2] The SOW specifies 100 concurrent users and the TEC tests 200 concurrent users. Please confirm the required number. Will performance test reports from the tenderer's own load tests, using simulated (virtual) concurrent users on a representative production-equivalent environment, be accepted as evidence?</w:t>
            </w:r>
            <w:r w:rsidRPr="005A5C4E">
              <w:rPr>
                <w:rFonts w:ascii="Arial" w:eastAsia="Aptos" w:hAnsi="Arial" w:cs="Calibri"/>
                <w:sz w:val="18"/>
                <w:lang w:eastAsia="en-ZA"/>
              </w:rPr>
              <w:br/>
            </w:r>
          </w:p>
        </w:tc>
        <w:tc>
          <w:tcPr>
            <w:tcW w:w="4425" w:type="dxa"/>
          </w:tcPr>
          <w:p w14:paraId="388C8315"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required performance benchmark is 200 concurrent users. Performance evidence from controlled load tests using simulated users may be accepted, provided that the tests are conducted on a representative production-equivalent environment, cover the Annexure X test scenarios and thresholds, and are supported by a complete, dated and traceable test report. Eskom reserves the right to validate performance during the demonstration or subsequent testing.</w:t>
            </w:r>
          </w:p>
          <w:p w14:paraId="6ACCEE8F" w14:textId="77777777" w:rsidR="005A5C4E" w:rsidRPr="005A5C4E" w:rsidRDefault="005A5C4E" w:rsidP="005A5C4E">
            <w:pPr>
              <w:jc w:val="both"/>
              <w:rPr>
                <w:rFonts w:ascii="Arial" w:eastAsia="Calibri" w:hAnsi="Arial" w:cs="Times New Roman"/>
                <w:sz w:val="18"/>
              </w:rPr>
            </w:pPr>
          </w:p>
        </w:tc>
      </w:tr>
      <w:tr w:rsidR="005A5C4E" w:rsidRPr="005A5C4E" w14:paraId="61905A69" w14:textId="77777777" w:rsidTr="00695706">
        <w:trPr>
          <w:cantSplit/>
        </w:trPr>
        <w:tc>
          <w:tcPr>
            <w:tcW w:w="846" w:type="dxa"/>
          </w:tcPr>
          <w:p w14:paraId="4A438C66"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19</w:t>
            </w:r>
          </w:p>
        </w:tc>
        <w:tc>
          <w:tcPr>
            <w:tcW w:w="5245" w:type="dxa"/>
          </w:tcPr>
          <w:p w14:paraId="1C6E069D"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[RFP Tender Data 3.13; Annex X Demo sheet] Please indicate the expected timing, duration and format (on-site or virtual) of the demonstration, and whether Eskom will provide a sample data set or scripted scenarios.</w:t>
            </w:r>
          </w:p>
        </w:tc>
        <w:tc>
          <w:tcPr>
            <w:tcW w:w="4425" w:type="dxa"/>
          </w:tcPr>
          <w:p w14:paraId="2E81FA66"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demonstration will be scheduled after the desktop evaluation for tenderers that achieve the required 70% threshold. Eskom will issue the invitation and confirm the duration, format, scripted scenarios and any sample data to be used. Tenderers must be able to demonstrate the proposed solution against the Annexure X demonstration criteria; the demonstration threshold is 80%.</w:t>
            </w:r>
          </w:p>
          <w:p w14:paraId="44007B8B" w14:textId="77777777" w:rsidR="005A5C4E" w:rsidRPr="005A5C4E" w:rsidRDefault="005A5C4E" w:rsidP="005A5C4E">
            <w:pPr>
              <w:jc w:val="both"/>
              <w:rPr>
                <w:rFonts w:ascii="Arial" w:eastAsia="Calibri" w:hAnsi="Arial" w:cs="Times New Roman"/>
                <w:sz w:val="18"/>
              </w:rPr>
            </w:pPr>
          </w:p>
        </w:tc>
      </w:tr>
      <w:tr w:rsidR="005A5C4E" w:rsidRPr="005A5C4E" w14:paraId="40030C42" w14:textId="77777777" w:rsidTr="00695706">
        <w:trPr>
          <w:cantSplit/>
        </w:trPr>
        <w:tc>
          <w:tcPr>
            <w:tcW w:w="846" w:type="dxa"/>
          </w:tcPr>
          <w:p w14:paraId="79E962F4"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20</w:t>
            </w:r>
          </w:p>
        </w:tc>
        <w:tc>
          <w:tcPr>
            <w:tcW w:w="5245" w:type="dxa"/>
          </w:tcPr>
          <w:p w14:paraId="098631AA"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[RFP Annex F; Standard Conditions 2.20] For a SaaS subscription delivered by a foreign OEM through a South African main contractor, may the subscription component be quoted in EUR, with services quoted in ZAR? If so, which payment method in Annexure F applies to subscription services?</w:t>
            </w:r>
            <w:r w:rsidRPr="005A5C4E">
              <w:rPr>
                <w:rFonts w:ascii="Arial" w:eastAsia="Aptos" w:hAnsi="Arial" w:cs="Calibri"/>
                <w:sz w:val="18"/>
                <w:lang w:eastAsia="en-ZA"/>
              </w:rPr>
              <w:br/>
            </w:r>
          </w:p>
        </w:tc>
        <w:tc>
          <w:tcPr>
            <w:tcW w:w="4425" w:type="dxa"/>
          </w:tcPr>
          <w:p w14:paraId="7C2C0685" w14:textId="77777777" w:rsidR="005A5C4E" w:rsidRPr="005A5C4E" w:rsidRDefault="005A5C4E" w:rsidP="005A5C4E">
            <w:pPr>
              <w:jc w:val="both"/>
              <w:rPr>
                <w:rFonts w:ascii="Arial" w:eastAsia="Calibri" w:hAnsi="Arial" w:cs="Times New Roman"/>
                <w:sz w:val="18"/>
              </w:rPr>
            </w:pPr>
            <w:r w:rsidRPr="005A5C4E">
              <w:rPr>
                <w:rFonts w:ascii="Arial" w:eastAsia="Calibri" w:hAnsi="Arial" w:cs="Times New Roman"/>
                <w:sz w:val="18"/>
              </w:rPr>
              <w:t>Foreign-currency pricing is permitted only in accordance with Annexure F. The tenderer must obtain Eskom's acceptance of the proposed foreign currency before tender closing and must meet the applicable direct-importer and supporting-document requirements. South African services and locally incurred costs must be quoted in ZAR. The tenderer must select the applicable Annexure F payment method in its submission; for service-related foreign-currency payments, Method 1A or 1B may be used where all stated conditions and approvals are met. Otherwise, the subscription must be quoted in ZAR, including the Fixed ZAR option where applicable.</w:t>
            </w:r>
          </w:p>
        </w:tc>
      </w:tr>
      <w:tr w:rsidR="005A5C4E" w:rsidRPr="005A5C4E" w14:paraId="56BA2B9D" w14:textId="77777777" w:rsidTr="00695706">
        <w:trPr>
          <w:cantSplit/>
        </w:trPr>
        <w:tc>
          <w:tcPr>
            <w:tcW w:w="846" w:type="dxa"/>
          </w:tcPr>
          <w:p w14:paraId="4FFA2833"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21</w:t>
            </w:r>
          </w:p>
        </w:tc>
        <w:tc>
          <w:tcPr>
            <w:tcW w:w="5245" w:type="dxa"/>
          </w:tcPr>
          <w:p w14:paraId="4AE51FC4"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xml:space="preserve"> [SOW §5.2–5.6; SLA Template (10 June 2026)] The SLA template appears to relate to an asset-tracking service (e.g. KPIs ATS004–ATS012). The SOW requires 99.5% monthly uptime and mentions "8x5 system availability" and a 10% penalty below 98%. Please confirm (a) the required support hours (8x5 or 24x7), (b) which penalty regime applies, and (c) that tenderers should propose their own SLA as per SOW §5.8.</w:t>
            </w:r>
          </w:p>
        </w:tc>
        <w:tc>
          <w:tcPr>
            <w:tcW w:w="4425" w:type="dxa"/>
          </w:tcPr>
          <w:p w14:paraId="1E864FB9"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The Asset Tracking Solution SLA template is not applicable. The Assurance Data Analytics SLA requirements in Annexure N apply. Tenderers must provide support aligned to the 8x5 support requirement, while ensuring the SaaS service meets the required 99.5% monthly availability and agreed incident/escalation arrangements. The 10% service-credit/penalty provision for availability below 98% applies as stated in Annexure N. Tenderers must submit a proposed SLA aligned to, and not less favourable than, the Annexure N requirements.</w:t>
            </w:r>
          </w:p>
          <w:p w14:paraId="530089FA" w14:textId="77777777" w:rsidR="005A5C4E" w:rsidRPr="005A5C4E" w:rsidRDefault="005A5C4E" w:rsidP="005A5C4E">
            <w:pPr>
              <w:jc w:val="both"/>
              <w:rPr>
                <w:rFonts w:ascii="Arial" w:eastAsia="Calibri" w:hAnsi="Arial" w:cs="Times New Roman"/>
                <w:sz w:val="18"/>
              </w:rPr>
            </w:pPr>
          </w:p>
        </w:tc>
      </w:tr>
      <w:tr w:rsidR="005A5C4E" w:rsidRPr="005A5C4E" w14:paraId="44AD7BDC" w14:textId="77777777" w:rsidTr="00695706">
        <w:trPr>
          <w:cantSplit/>
        </w:trPr>
        <w:tc>
          <w:tcPr>
            <w:tcW w:w="846" w:type="dxa"/>
          </w:tcPr>
          <w:p w14:paraId="3F28002D"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22</w:t>
            </w:r>
          </w:p>
        </w:tc>
        <w:tc>
          <w:tcPr>
            <w:tcW w:w="5245" w:type="dxa"/>
          </w:tcPr>
          <w:p w14:paraId="7C9B8587"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[SOW §3.12 "Intellectual Property and Deliverables Ownership"] Please confirm that Eskom's ownership of deliverables refers to project-specific deliverables (configurations, analytics tests, scripts, reports, documentation), and that intellectual property in the vendor's standard SaaS platform remains with the vendor, licensed to Eskom by subscription.</w:t>
            </w:r>
          </w:p>
        </w:tc>
        <w:tc>
          <w:tcPr>
            <w:tcW w:w="4425" w:type="dxa"/>
          </w:tcPr>
          <w:p w14:paraId="755E7B4F" w14:textId="77777777" w:rsidR="005A5C4E" w:rsidRPr="005A5C4E" w:rsidRDefault="005A5C4E" w:rsidP="005A5C4E">
            <w:pPr>
              <w:jc w:val="both"/>
              <w:rPr>
                <w:rFonts w:ascii="Arial" w:eastAsia="Calibri" w:hAnsi="Arial" w:cs="Times New Roman"/>
                <w:sz w:val="18"/>
              </w:rPr>
            </w:pPr>
            <w:r w:rsidRPr="005A5C4E">
              <w:rPr>
                <w:rFonts w:ascii="Arial" w:eastAsia="Calibri" w:hAnsi="Arial" w:cs="Times New Roman"/>
                <w:sz w:val="18"/>
              </w:rPr>
              <w:t>Confirmed. Eskom's ownership applies to project-specific deliverables produced under the contract, including Eskom-specific configurations, analytics tests/content, scripts, reports, interfaces and documentation. Intellectual property in the vendor's pre-existing standard SaaS platform remains with the vendor/OEM and is licensed to Eskom under the subscription. All pre-existing and third-party intellectual property must be identified in the tender.</w:t>
            </w:r>
          </w:p>
        </w:tc>
      </w:tr>
      <w:tr w:rsidR="005A5C4E" w:rsidRPr="005A5C4E" w14:paraId="665A260B" w14:textId="77777777" w:rsidTr="00695706">
        <w:trPr>
          <w:cantSplit/>
        </w:trPr>
        <w:tc>
          <w:tcPr>
            <w:tcW w:w="846" w:type="dxa"/>
          </w:tcPr>
          <w:p w14:paraId="4E7591FE"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23</w:t>
            </w:r>
          </w:p>
        </w:tc>
        <w:tc>
          <w:tcPr>
            <w:tcW w:w="5245" w:type="dxa"/>
          </w:tcPr>
          <w:p w14:paraId="0F6EACC5"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[SOW §3.11] The SOW requires all testing, including unit testing, to be performed in Eskom's test management tools (ALM, LoadRunner, UFT). For a multi-tenant SaaS platform, please confirm that the vendor's unit tests of its standard product may be evidenced by test reports from the vendor's own CI pipeline, and that the Eskom tools apply to Eskom-specific configuration and integration testing.</w:t>
            </w:r>
            <w:r w:rsidRPr="005A5C4E">
              <w:rPr>
                <w:rFonts w:ascii="Arial" w:eastAsia="Aptos" w:hAnsi="Arial" w:cs="Calibri"/>
                <w:sz w:val="18"/>
                <w:lang w:eastAsia="en-ZA"/>
              </w:rPr>
              <w:br/>
            </w:r>
          </w:p>
        </w:tc>
        <w:tc>
          <w:tcPr>
            <w:tcW w:w="4425" w:type="dxa"/>
          </w:tcPr>
          <w:p w14:paraId="00F02960"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Confirmed. The vendor may provide evidence of unit testing for its unmodified standard SaaS product through traceable test reports generated from its own controlled CI/CD pipeline. Eskom's ALM, LoadRunner and UFT requirements apply to Eskom-specific configuration, interfaces, integrations, end-to-end testing, performance testing and acceptance testing. All evidence must be accessible to Eskom for review and audit.</w:t>
            </w:r>
          </w:p>
          <w:p w14:paraId="23E6BFD5" w14:textId="77777777" w:rsidR="005A5C4E" w:rsidRPr="005A5C4E" w:rsidRDefault="005A5C4E" w:rsidP="005A5C4E">
            <w:pPr>
              <w:jc w:val="both"/>
              <w:rPr>
                <w:rFonts w:ascii="Arial" w:eastAsia="Calibri" w:hAnsi="Arial" w:cs="Times New Roman"/>
                <w:sz w:val="18"/>
              </w:rPr>
            </w:pPr>
          </w:p>
        </w:tc>
      </w:tr>
      <w:tr w:rsidR="005A5C4E" w:rsidRPr="005A5C4E" w14:paraId="18E546B8" w14:textId="77777777" w:rsidTr="00695706">
        <w:trPr>
          <w:cantSplit/>
        </w:trPr>
        <w:tc>
          <w:tcPr>
            <w:tcW w:w="846" w:type="dxa"/>
          </w:tcPr>
          <w:p w14:paraId="2B7261C5"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24</w:t>
            </w:r>
          </w:p>
        </w:tc>
        <w:tc>
          <w:tcPr>
            <w:tcW w:w="5245" w:type="dxa"/>
          </w:tcPr>
          <w:p w14:paraId="5E1D7A03" w14:textId="5A29B3F6"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 xml:space="preserve"> [Annex X Key Requirement 2, evidence item 2] Hyperscale cloud service providers (e.g. AWS, Microsoft Azure, Google Cloud) do not issue customer-specific letters. Will Eskom accept, in place of a CSP letter, (a) the CSP's published contractual commitments on data location (customer agreement, data processing addendum, compliance documentation), together with (b) the tenderer's documented technical controls restricting data, backups, archives and replicas to the selected regions, and (c) a signed declaration by the tenderer?</w:t>
            </w:r>
          </w:p>
        </w:tc>
        <w:tc>
          <w:tcPr>
            <w:tcW w:w="4425" w:type="dxa"/>
          </w:tcPr>
          <w:p w14:paraId="2BDEAED1" w14:textId="77777777" w:rsidR="005A5C4E" w:rsidRPr="005A5C4E" w:rsidRDefault="005A5C4E" w:rsidP="005A5C4E">
            <w:pPr>
              <w:jc w:val="both"/>
              <w:rPr>
                <w:rFonts w:ascii="Arial" w:eastAsia="Calibri" w:hAnsi="Arial" w:cs="Times New Roman"/>
                <w:sz w:val="18"/>
              </w:rPr>
            </w:pPr>
            <w:r w:rsidRPr="005A5C4E">
              <w:rPr>
                <w:rFonts w:ascii="Arial" w:eastAsia="Calibri" w:hAnsi="Arial" w:cs="Times New Roman"/>
                <w:sz w:val="18"/>
              </w:rPr>
              <w:t>Yes. Where a hyperscale cloud provider does not issue customer-specific letters, Eskom may accept the provider's published contractual data-location commitments and compliance documentation, supported by the tenderer's documented technical controls restricting data, backups, archives and replicas to the proposed locations, and a signed tenderer declaration. The combined evidence must be contractually enforceable, verifiable and fully satisfy Key Requirement 2.</w:t>
            </w:r>
          </w:p>
        </w:tc>
      </w:tr>
      <w:tr w:rsidR="005A5C4E" w:rsidRPr="005A5C4E" w14:paraId="5F9F4794" w14:textId="77777777" w:rsidTr="00695706">
        <w:trPr>
          <w:cantSplit/>
        </w:trPr>
        <w:tc>
          <w:tcPr>
            <w:tcW w:w="846" w:type="dxa"/>
          </w:tcPr>
          <w:p w14:paraId="2ED6BC90"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25</w:t>
            </w:r>
          </w:p>
        </w:tc>
        <w:tc>
          <w:tcPr>
            <w:tcW w:w="5245" w:type="dxa"/>
          </w:tcPr>
          <w:p w14:paraId="7F0CB13B"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[Annex X Functional 1–43, Security SCR 1.1–1.25; RFP Tender Data 3.13] For the desktop evaluation, please confirm whether functionality is evaluated only as generally available in the proposed standard product at the tender closing date, or whether functionality of the standard product that is scheduled for general release before the demonstration, and demonstrated at the demonstration, may also be scored.</w:t>
            </w:r>
          </w:p>
        </w:tc>
        <w:tc>
          <w:tcPr>
            <w:tcW w:w="4425" w:type="dxa"/>
          </w:tcPr>
          <w:p w14:paraId="0DFDBC33" w14:textId="77777777" w:rsidR="005A5C4E" w:rsidRDefault="005A5C4E" w:rsidP="005A5C4E">
            <w:pPr>
              <w:jc w:val="both"/>
              <w:rPr>
                <w:rFonts w:ascii="Arial" w:eastAsia="Calibri" w:hAnsi="Arial" w:cs="Times New Roman"/>
                <w:sz w:val="18"/>
              </w:rPr>
            </w:pPr>
            <w:r w:rsidRPr="005A5C4E">
              <w:rPr>
                <w:rFonts w:ascii="Arial" w:eastAsia="Calibri" w:hAnsi="Arial" w:cs="Times New Roman"/>
                <w:sz w:val="18"/>
              </w:rPr>
              <w:t>Functionality will be evaluated on capabilities that are generally available, licensed and supported in the proposed standard product at the tender closing date. Roadmap items, beta functionality or capabilities scheduled for future release will not be scored as compliant, even if a later demonstration is proposed. Such items may be identified separately as future enhancements but may not be relied upon to meet mandatory or scored requirements.</w:t>
            </w:r>
          </w:p>
          <w:p w14:paraId="24F82B3B" w14:textId="77777777" w:rsidR="005A5C4E" w:rsidRPr="005A5C4E" w:rsidRDefault="005A5C4E" w:rsidP="005A5C4E">
            <w:pPr>
              <w:jc w:val="both"/>
              <w:rPr>
                <w:rFonts w:ascii="Arial" w:eastAsia="Calibri" w:hAnsi="Arial" w:cs="Times New Roman"/>
                <w:sz w:val="18"/>
              </w:rPr>
            </w:pPr>
          </w:p>
        </w:tc>
      </w:tr>
      <w:tr w:rsidR="005A5C4E" w:rsidRPr="005A5C4E" w14:paraId="05924AEB" w14:textId="77777777" w:rsidTr="00695706">
        <w:trPr>
          <w:cantSplit/>
        </w:trPr>
        <w:tc>
          <w:tcPr>
            <w:tcW w:w="846" w:type="dxa"/>
          </w:tcPr>
          <w:p w14:paraId="7C89EE1A"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26</w:t>
            </w:r>
          </w:p>
        </w:tc>
        <w:tc>
          <w:tcPr>
            <w:tcW w:w="5245" w:type="dxa"/>
          </w:tcPr>
          <w:p w14:paraId="52804684"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[Annex X SCR 1.12; Key Requirement 2] SCR 1.12 requires replication to a DR site "located in different region", while Key Requirement 2 requires data to be confined to South Africa (alternatively Europe). Where a cloud provider has a single region in South Africa, please confirm whether (a) a DR site in a separate availability zone / data centre within that South African region is acceptable, or (b) a primary site in South Africa with DR in the European Union is acceptable, subject to POPIA section 72.</w:t>
            </w:r>
          </w:p>
        </w:tc>
        <w:tc>
          <w:tcPr>
            <w:tcW w:w="4425" w:type="dxa"/>
          </w:tcPr>
          <w:p w14:paraId="1E1E2586" w14:textId="77777777" w:rsidR="005A5C4E" w:rsidRPr="005A5C4E" w:rsidRDefault="005A5C4E" w:rsidP="005A5C4E">
            <w:pPr>
              <w:jc w:val="both"/>
              <w:rPr>
                <w:rFonts w:ascii="Arial" w:eastAsia="Calibri" w:hAnsi="Arial" w:cs="Times New Roman"/>
                <w:sz w:val="18"/>
              </w:rPr>
            </w:pPr>
            <w:r w:rsidRPr="005A5C4E">
              <w:rPr>
                <w:rFonts w:ascii="Arial" w:eastAsia="Calibri" w:hAnsi="Arial" w:cs="Times New Roman"/>
                <w:sz w:val="18"/>
              </w:rPr>
              <w:t>The proposed disaster-recovery arrangement must use a geographically separate location and comply with Key Requirement 2. A separate availability zone/data centre within the same cloud region may be proposed only if the tenderer demonstrates that it constitutes an independent DR location and meets the required resilience, isolation, recovery and data-residency controls. A South African primary site with DR in the European Union is acceptable where the European Union alternative is adopted and all POPIA section 72 and contractual data-location requirements are met.</w:t>
            </w:r>
          </w:p>
        </w:tc>
      </w:tr>
      <w:tr w:rsidR="005A5C4E" w:rsidRPr="005A5C4E" w14:paraId="3879C511" w14:textId="77777777" w:rsidTr="00695706">
        <w:trPr>
          <w:cantSplit/>
        </w:trPr>
        <w:tc>
          <w:tcPr>
            <w:tcW w:w="846" w:type="dxa"/>
          </w:tcPr>
          <w:p w14:paraId="6F902FDC" w14:textId="77777777" w:rsidR="005A5C4E" w:rsidRPr="005A5C4E" w:rsidRDefault="005A5C4E" w:rsidP="005A5C4E">
            <w:pPr>
              <w:jc w:val="center"/>
              <w:rPr>
                <w:rFonts w:ascii="Arial" w:eastAsia="Calibri" w:hAnsi="Arial" w:cs="Times New Roman"/>
                <w:sz w:val="18"/>
              </w:rPr>
            </w:pPr>
            <w:r w:rsidRPr="005A5C4E">
              <w:rPr>
                <w:rFonts w:ascii="Arial" w:eastAsia="Calibri" w:hAnsi="Arial" w:cs="Times New Roman"/>
                <w:b/>
                <w:sz w:val="18"/>
              </w:rPr>
              <w:t>27</w:t>
            </w:r>
          </w:p>
        </w:tc>
        <w:tc>
          <w:tcPr>
            <w:tcW w:w="5245" w:type="dxa"/>
          </w:tcPr>
          <w:p w14:paraId="098901C3"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wanted to ask whether you are currently evaluating technologies that can use existing operational data to improve early detection of abnormal asset behaviour and emerging failures.</w:t>
            </w:r>
          </w:p>
          <w:p w14:paraId="68154C9C" w14:textId="77777777" w:rsidR="005A5C4E" w:rsidRPr="005A5C4E" w:rsidRDefault="005A5C4E" w:rsidP="005A5C4E">
            <w:pPr>
              <w:spacing w:line="276" w:lineRule="auto"/>
              <w:rPr>
                <w:rFonts w:ascii="Arial" w:eastAsia="Aptos" w:hAnsi="Arial" w:cs="Calibri"/>
                <w:sz w:val="18"/>
                <w:lang w:eastAsia="en-ZA"/>
              </w:rPr>
            </w:pPr>
          </w:p>
          <w:p w14:paraId="1428F469" w14:textId="77777777" w:rsidR="005A5C4E" w:rsidRPr="005A5C4E" w:rsidRDefault="005A5C4E" w:rsidP="005A5C4E">
            <w:pPr>
              <w:spacing w:line="276" w:lineRule="auto"/>
              <w:rPr>
                <w:rFonts w:ascii="Arial" w:eastAsia="Aptos" w:hAnsi="Arial" w:cs="Calibri"/>
                <w:sz w:val="18"/>
                <w:lang w:eastAsia="en-ZA"/>
              </w:rPr>
            </w:pPr>
            <w:r w:rsidRPr="005A5C4E">
              <w:rPr>
                <w:rFonts w:ascii="Arial" w:eastAsia="Aptos" w:hAnsi="Arial" w:cs="Calibri"/>
                <w:sz w:val="18"/>
                <w:lang w:eastAsia="en-ZA"/>
              </w:rPr>
              <w:t>Would you be open to a brief 15-minute conversation to explore whether this could complement Eskom’s asset performance initiatives?</w:t>
            </w:r>
          </w:p>
          <w:p w14:paraId="02351DAA" w14:textId="77777777" w:rsidR="005A5C4E" w:rsidRPr="005A5C4E" w:rsidRDefault="005A5C4E" w:rsidP="005A5C4E">
            <w:pPr>
              <w:spacing w:line="276" w:lineRule="auto"/>
              <w:rPr>
                <w:rFonts w:ascii="Arial" w:eastAsia="Aptos" w:hAnsi="Arial" w:cs="Calibri"/>
                <w:sz w:val="18"/>
                <w:lang w:eastAsia="en-ZA"/>
              </w:rPr>
            </w:pPr>
          </w:p>
        </w:tc>
        <w:tc>
          <w:tcPr>
            <w:tcW w:w="4425" w:type="dxa"/>
          </w:tcPr>
          <w:p w14:paraId="4ABFBB1B" w14:textId="77777777" w:rsidR="005A5C4E" w:rsidRPr="005A5C4E" w:rsidRDefault="005A5C4E" w:rsidP="005A5C4E">
            <w:pPr>
              <w:jc w:val="both"/>
              <w:rPr>
                <w:rFonts w:ascii="Arial" w:eastAsia="Calibri" w:hAnsi="Arial" w:cs="Times New Roman"/>
                <w:sz w:val="18"/>
              </w:rPr>
            </w:pPr>
            <w:r w:rsidRPr="005A5C4E">
              <w:rPr>
                <w:rFonts w:ascii="Arial" w:eastAsia="Calibri" w:hAnsi="Arial" w:cs="Times New Roman"/>
                <w:sz w:val="18"/>
              </w:rPr>
              <w:t>The procurement is for the Assurance Data Analytics solution defined in tender E3536CXMWP. Requests for introductory or separate solution discussions will not be accommodated during the active tender process. All clarification questions must be submitted in writing to the Eskom Representative no later than five working days before the tender closing date, and responses will be managed through the formal clarification/addendum process.</w:t>
            </w:r>
          </w:p>
        </w:tc>
      </w:tr>
    </w:tbl>
    <w:p w14:paraId="3289E7E1" w14:textId="77777777" w:rsidR="005A5C4E" w:rsidRPr="005A5C4E" w:rsidRDefault="005A5C4E" w:rsidP="005A5C4E">
      <w:pPr>
        <w:spacing w:line="259" w:lineRule="auto"/>
        <w:rPr>
          <w:rFonts w:ascii="Arial" w:eastAsia="Calibri" w:hAnsi="Arial" w:cs="Times New Roman"/>
          <w:kern w:val="0"/>
          <w:sz w:val="18"/>
          <w:szCs w:val="22"/>
          <w14:ligatures w14:val="none"/>
        </w:rPr>
      </w:pPr>
    </w:p>
    <w:p w14:paraId="6F91803F" w14:textId="77777777" w:rsidR="005A5C4E" w:rsidRPr="005A5C4E" w:rsidRDefault="005A5C4E" w:rsidP="005A5C4E">
      <w:pPr>
        <w:spacing w:line="259" w:lineRule="auto"/>
        <w:rPr>
          <w:rFonts w:ascii="Arial" w:eastAsia="Calibri" w:hAnsi="Arial" w:cs="Times New Roman"/>
          <w:kern w:val="0"/>
          <w:sz w:val="18"/>
          <w:szCs w:val="22"/>
          <w14:ligatures w14:val="none"/>
        </w:rPr>
      </w:pPr>
    </w:p>
    <w:p w14:paraId="3BF1E51A" w14:textId="77777777" w:rsidR="005A5C4E" w:rsidRPr="005A5C4E" w:rsidRDefault="005A5C4E" w:rsidP="005A5C4E">
      <w:pPr>
        <w:spacing w:line="259" w:lineRule="auto"/>
        <w:rPr>
          <w:rFonts w:ascii="Arial" w:eastAsia="Calibri" w:hAnsi="Arial" w:cs="Times New Roman"/>
          <w:kern w:val="0"/>
          <w:sz w:val="18"/>
          <w:szCs w:val="22"/>
          <w14:ligatures w14:val="none"/>
        </w:rPr>
      </w:pPr>
    </w:p>
    <w:p w14:paraId="7061C4E2" w14:textId="77777777" w:rsidR="007F48E6" w:rsidRDefault="007F48E6"/>
    <w:sectPr w:rsidR="007F48E6" w:rsidSect="005A5C4E">
      <w:pgSz w:w="11906" w:h="16838"/>
      <w:pgMar w:top="1440" w:right="680" w:bottom="1440"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C4E"/>
    <w:rsid w:val="003C01D9"/>
    <w:rsid w:val="005A5C4E"/>
    <w:rsid w:val="007F48E6"/>
    <w:rsid w:val="008C73C4"/>
    <w:rsid w:val="00BD33E2"/>
    <w:rsid w:val="00DC48C0"/>
    <w:rsid w:val="00E07E0F"/>
    <w:rsid w:val="00F96C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82D5"/>
  <w15:chartTrackingRefBased/>
  <w15:docId w15:val="{BBF374D7-BE8D-4005-86D3-A1B4184F0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C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C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C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C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C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C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C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C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C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C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C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C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C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C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C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C4E"/>
    <w:rPr>
      <w:rFonts w:eastAsiaTheme="majorEastAsia" w:cstheme="majorBidi"/>
      <w:color w:val="272727" w:themeColor="text1" w:themeTint="D8"/>
    </w:rPr>
  </w:style>
  <w:style w:type="paragraph" w:styleId="Title">
    <w:name w:val="Title"/>
    <w:basedOn w:val="Normal"/>
    <w:next w:val="Normal"/>
    <w:link w:val="TitleChar"/>
    <w:uiPriority w:val="10"/>
    <w:qFormat/>
    <w:rsid w:val="005A5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C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C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C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C4E"/>
    <w:pPr>
      <w:spacing w:before="160"/>
      <w:jc w:val="center"/>
    </w:pPr>
    <w:rPr>
      <w:i/>
      <w:iCs/>
      <w:color w:val="404040" w:themeColor="text1" w:themeTint="BF"/>
    </w:rPr>
  </w:style>
  <w:style w:type="character" w:customStyle="1" w:styleId="QuoteChar">
    <w:name w:val="Quote Char"/>
    <w:basedOn w:val="DefaultParagraphFont"/>
    <w:link w:val="Quote"/>
    <w:uiPriority w:val="29"/>
    <w:rsid w:val="005A5C4E"/>
    <w:rPr>
      <w:i/>
      <w:iCs/>
      <w:color w:val="404040" w:themeColor="text1" w:themeTint="BF"/>
    </w:rPr>
  </w:style>
  <w:style w:type="paragraph" w:styleId="ListParagraph">
    <w:name w:val="List Paragraph"/>
    <w:basedOn w:val="Normal"/>
    <w:uiPriority w:val="34"/>
    <w:qFormat/>
    <w:rsid w:val="005A5C4E"/>
    <w:pPr>
      <w:ind w:left="720"/>
      <w:contextualSpacing/>
    </w:pPr>
  </w:style>
  <w:style w:type="character" w:styleId="IntenseEmphasis">
    <w:name w:val="Intense Emphasis"/>
    <w:basedOn w:val="DefaultParagraphFont"/>
    <w:uiPriority w:val="21"/>
    <w:qFormat/>
    <w:rsid w:val="005A5C4E"/>
    <w:rPr>
      <w:i/>
      <w:iCs/>
      <w:color w:val="0F4761" w:themeColor="accent1" w:themeShade="BF"/>
    </w:rPr>
  </w:style>
  <w:style w:type="paragraph" w:styleId="IntenseQuote">
    <w:name w:val="Intense Quote"/>
    <w:basedOn w:val="Normal"/>
    <w:next w:val="Normal"/>
    <w:link w:val="IntenseQuoteChar"/>
    <w:uiPriority w:val="30"/>
    <w:qFormat/>
    <w:rsid w:val="005A5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C4E"/>
    <w:rPr>
      <w:i/>
      <w:iCs/>
      <w:color w:val="0F4761" w:themeColor="accent1" w:themeShade="BF"/>
    </w:rPr>
  </w:style>
  <w:style w:type="character" w:styleId="IntenseReference">
    <w:name w:val="Intense Reference"/>
    <w:basedOn w:val="DefaultParagraphFont"/>
    <w:uiPriority w:val="32"/>
    <w:qFormat/>
    <w:rsid w:val="005A5C4E"/>
    <w:rPr>
      <w:b/>
      <w:bCs/>
      <w:smallCaps/>
      <w:color w:val="0F4761" w:themeColor="accent1" w:themeShade="BF"/>
      <w:spacing w:val="5"/>
    </w:rPr>
  </w:style>
  <w:style w:type="table" w:styleId="TableGrid">
    <w:name w:val="Table Grid"/>
    <w:basedOn w:val="TableNormal"/>
    <w:uiPriority w:val="39"/>
    <w:rsid w:val="005A5C4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2882</Words>
  <Characters>16720</Characters>
  <Application>Microsoft Office Word</Application>
  <DocSecurity>0</DocSecurity>
  <Lines>464</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Greyvenstein</dc:creator>
  <cp:keywords/>
  <dc:description/>
  <cp:lastModifiedBy>Mbulelo Mncengani</cp:lastModifiedBy>
  <cp:revision>2</cp:revision>
  <dcterms:created xsi:type="dcterms:W3CDTF">2026-10-12T10:47:00Z</dcterms:created>
  <dcterms:modified xsi:type="dcterms:W3CDTF">2026-10-12T10:47:00Z</dcterms:modified>
</cp:coreProperties>
</file>