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78BDD4B9"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w:t>
      </w:r>
      <w:r w:rsidR="00322E81">
        <w:rPr>
          <w:rFonts w:ascii="Arial" w:hAnsi="Arial" w:cs="Arial"/>
          <w:b/>
          <w:bCs/>
          <w:sz w:val="20"/>
          <w:szCs w:val="20"/>
        </w:rPr>
        <w:t>1</w:t>
      </w:r>
      <w:r w:rsidR="00686A4B">
        <w:rPr>
          <w:rFonts w:ascii="Arial" w:hAnsi="Arial" w:cs="Arial"/>
          <w:b/>
          <w:bCs/>
          <w:sz w:val="20"/>
          <w:szCs w:val="20"/>
        </w:rPr>
        <w:t>2/02</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78240CC8"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686A4B">
              <w:rPr>
                <w:rFonts w:ascii="Arial" w:hAnsi="Arial" w:cs="Arial"/>
                <w:b/>
                <w:bCs/>
                <w:sz w:val="20"/>
                <w:szCs w:val="20"/>
              </w:rPr>
              <w:t>25</w:t>
            </w:r>
            <w:r w:rsidR="00322E81">
              <w:rPr>
                <w:rFonts w:ascii="Arial" w:hAnsi="Arial" w:cs="Arial"/>
                <w:b/>
                <w:bCs/>
                <w:sz w:val="20"/>
                <w:szCs w:val="20"/>
              </w:rPr>
              <w:t xml:space="preserve"> </w:t>
            </w:r>
            <w:r w:rsidR="00686A4B">
              <w:rPr>
                <w:rFonts w:ascii="Arial" w:hAnsi="Arial" w:cs="Arial"/>
                <w:b/>
                <w:bCs/>
                <w:sz w:val="20"/>
                <w:szCs w:val="20"/>
              </w:rPr>
              <w:t xml:space="preserve">January 2023 </w:t>
            </w:r>
            <w:r w:rsidR="00075356" w:rsidRPr="00B852A8">
              <w:rPr>
                <w:rFonts w:ascii="Arial" w:hAnsi="Arial" w:cs="Arial"/>
                <w:b/>
                <w:bCs/>
                <w:sz w:val="20"/>
                <w:szCs w:val="20"/>
              </w:rPr>
              <w:t>at 1</w:t>
            </w:r>
            <w:r w:rsidR="00686A4B">
              <w:rPr>
                <w:rFonts w:ascii="Arial" w:hAnsi="Arial" w:cs="Arial"/>
                <w:b/>
                <w:bCs/>
                <w:sz w:val="20"/>
                <w:szCs w:val="20"/>
              </w:rPr>
              <w:t>1</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322E81">
        <w:trPr>
          <w:trHeight w:val="1690"/>
        </w:trPr>
        <w:tc>
          <w:tcPr>
            <w:tcW w:w="1985" w:type="dxa"/>
          </w:tcPr>
          <w:p w14:paraId="49051724" w14:textId="23BA4325"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2022/1</w:t>
            </w:r>
            <w:r w:rsidR="00686A4B">
              <w:rPr>
                <w:rFonts w:ascii="Arial" w:hAnsi="Arial" w:cs="Arial"/>
                <w:color w:val="000000"/>
                <w:sz w:val="20"/>
                <w:szCs w:val="20"/>
                <w:lang w:val="en-ZA"/>
              </w:rPr>
              <w:t>2/02</w:t>
            </w:r>
          </w:p>
        </w:tc>
        <w:tc>
          <w:tcPr>
            <w:tcW w:w="3402" w:type="dxa"/>
          </w:tcPr>
          <w:p w14:paraId="6355A977" w14:textId="49FEEF88" w:rsidR="008F058E" w:rsidRPr="00B852A8" w:rsidRDefault="00686A4B"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Editing, </w:t>
            </w:r>
            <w:proofErr w:type="gramStart"/>
            <w:r>
              <w:rPr>
                <w:rFonts w:ascii="Arial" w:hAnsi="Arial" w:cs="Arial"/>
                <w:color w:val="000000"/>
                <w:sz w:val="20"/>
                <w:szCs w:val="20"/>
                <w:lang w:val="en-ZA"/>
              </w:rPr>
              <w:t>printing</w:t>
            </w:r>
            <w:proofErr w:type="gramEnd"/>
            <w:r>
              <w:rPr>
                <w:rFonts w:ascii="Arial" w:hAnsi="Arial" w:cs="Arial"/>
                <w:color w:val="000000"/>
                <w:sz w:val="20"/>
                <w:szCs w:val="20"/>
                <w:lang w:val="en-ZA"/>
              </w:rPr>
              <w:t xml:space="preserve"> and installation of vinyl signage at a museum</w:t>
            </w:r>
          </w:p>
        </w:tc>
        <w:tc>
          <w:tcPr>
            <w:tcW w:w="992"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76A71554"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Derek Williams</w:t>
            </w:r>
          </w:p>
          <w:p w14:paraId="2B480C36" w14:textId="72ADE5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sidR="00322E81">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6748ABB3" w:rsidR="008F058E" w:rsidRPr="00B852A8" w:rsidRDefault="00686A4B"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11 January 2023 11h00 at the Castle of Good Hope</w:t>
            </w:r>
          </w:p>
        </w:tc>
        <w:tc>
          <w:tcPr>
            <w:tcW w:w="1368" w:type="dxa"/>
          </w:tcPr>
          <w:p w14:paraId="2B91AE56" w14:textId="65796881"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25/</w:t>
            </w:r>
            <w:r w:rsidR="00686A4B">
              <w:rPr>
                <w:rFonts w:ascii="Arial" w:hAnsi="Arial" w:cs="Arial"/>
                <w:color w:val="000000"/>
                <w:sz w:val="20"/>
                <w:szCs w:val="20"/>
                <w:lang w:val="en-ZA"/>
              </w:rPr>
              <w:t xml:space="preserve">01/2023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686A4B">
              <w:rPr>
                <w:rFonts w:ascii="Arial" w:hAnsi="Arial" w:cs="Arial"/>
                <w:color w:val="000000"/>
                <w:sz w:val="20"/>
                <w:szCs w:val="20"/>
                <w:lang w:val="en-ZA"/>
              </w:rPr>
              <w:t>1</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46322411" w:rsidR="00974296" w:rsidRPr="00974296" w:rsidRDefault="00974296"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finance@castleofgoodhope.co.za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70496F2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686A4B">
        <w:rPr>
          <w:rFonts w:ascii="Arial" w:hAnsi="Arial" w:cs="Arial"/>
          <w:color w:val="000000"/>
          <w:sz w:val="20"/>
          <w:szCs w:val="20"/>
          <w:lang w:val="en-ZA"/>
        </w:rPr>
        <w:t>19</w:t>
      </w:r>
      <w:r w:rsidR="00686A4B" w:rsidRPr="00686A4B">
        <w:rPr>
          <w:rFonts w:ascii="Arial" w:hAnsi="Arial" w:cs="Arial"/>
          <w:color w:val="000000"/>
          <w:sz w:val="20"/>
          <w:szCs w:val="20"/>
          <w:vertAlign w:val="superscript"/>
          <w:lang w:val="en-ZA"/>
        </w:rPr>
        <w:t>th</w:t>
      </w:r>
      <w:r w:rsidR="00686A4B">
        <w:rPr>
          <w:rFonts w:ascii="Arial" w:hAnsi="Arial" w:cs="Arial"/>
          <w:color w:val="000000"/>
          <w:sz w:val="20"/>
          <w:szCs w:val="20"/>
          <w:lang w:val="en-ZA"/>
        </w:rPr>
        <w:t xml:space="preserve"> Dec</w:t>
      </w:r>
      <w:r w:rsidR="00322E81">
        <w:rPr>
          <w:rFonts w:ascii="Arial" w:hAnsi="Arial" w:cs="Arial"/>
          <w:color w:val="000000"/>
          <w:sz w:val="20"/>
          <w:szCs w:val="20"/>
          <w:lang w:val="en-ZA"/>
        </w:rPr>
        <w:t>ember</w:t>
      </w:r>
      <w:r w:rsidRPr="00B852A8">
        <w:rPr>
          <w:rFonts w:ascii="Arial" w:hAnsi="Arial" w:cs="Arial"/>
          <w:color w:val="000000"/>
          <w:sz w:val="20"/>
          <w:szCs w:val="20"/>
          <w:lang w:val="en-ZA"/>
        </w:rPr>
        <w:t xml:space="preserve"> 202</w:t>
      </w:r>
      <w:r w:rsidR="00C84995" w:rsidRPr="00B852A8">
        <w:rPr>
          <w:rFonts w:ascii="Arial" w:hAnsi="Arial" w:cs="Arial"/>
          <w:color w:val="000000"/>
          <w:sz w:val="20"/>
          <w:szCs w:val="20"/>
          <w:lang w:val="en-ZA"/>
        </w:rPr>
        <w:t>2</w:t>
      </w:r>
      <w:r w:rsidRPr="00B852A8">
        <w:rPr>
          <w:rFonts w:ascii="Arial" w:hAnsi="Arial" w:cs="Arial"/>
          <w:color w:val="000000"/>
          <w:sz w:val="20"/>
          <w:szCs w:val="20"/>
          <w:lang w:val="en-ZA"/>
        </w:rPr>
        <w:t xml:space="preserve"> to </w:t>
      </w:r>
      <w:r w:rsidR="00686A4B">
        <w:rPr>
          <w:rFonts w:ascii="Arial" w:hAnsi="Arial" w:cs="Arial"/>
          <w:color w:val="000000"/>
          <w:sz w:val="20"/>
          <w:szCs w:val="20"/>
          <w:lang w:val="en-ZA"/>
        </w:rPr>
        <w:t>10</w:t>
      </w:r>
      <w:r w:rsidR="00686A4B" w:rsidRPr="00686A4B">
        <w:rPr>
          <w:rFonts w:ascii="Arial" w:hAnsi="Arial" w:cs="Arial"/>
          <w:color w:val="000000"/>
          <w:sz w:val="20"/>
          <w:szCs w:val="20"/>
          <w:vertAlign w:val="superscript"/>
          <w:lang w:val="en-ZA"/>
        </w:rPr>
        <w:t>th</w:t>
      </w:r>
      <w:r w:rsidR="00686A4B">
        <w:rPr>
          <w:rFonts w:ascii="Arial" w:hAnsi="Arial" w:cs="Arial"/>
          <w:color w:val="000000"/>
          <w:sz w:val="20"/>
          <w:szCs w:val="20"/>
          <w:lang w:val="en-ZA"/>
        </w:rPr>
        <w:t xml:space="preserve"> January 2023</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sign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5EA6E3BA"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w:t>
            </w:r>
            <w:r w:rsidR="00322E81">
              <w:rPr>
                <w:rFonts w:ascii="Arial" w:hAnsi="Arial" w:cs="Arial"/>
                <w:color w:val="000000"/>
                <w:sz w:val="20"/>
                <w:szCs w:val="20"/>
                <w:lang w:val="en-ZA"/>
              </w:rPr>
              <w:t>the supply of lawn and terrain management equipment as requested.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94" w:type="dxa"/>
        <w:tblInd w:w="-289" w:type="dxa"/>
        <w:tblLook w:val="04A0" w:firstRow="1" w:lastRow="0" w:firstColumn="1" w:lastColumn="0" w:noHBand="0" w:noVBand="1"/>
      </w:tblPr>
      <w:tblGrid>
        <w:gridCol w:w="10094"/>
      </w:tblGrid>
      <w:tr w:rsidR="008F058E" w:rsidRPr="00B852A8" w14:paraId="2B9FDF68" w14:textId="77777777" w:rsidTr="00322E81">
        <w:trPr>
          <w:trHeight w:val="766"/>
        </w:trPr>
        <w:tc>
          <w:tcPr>
            <w:tcW w:w="10094" w:type="dxa"/>
          </w:tcPr>
          <w:p w14:paraId="5B9CFC5B" w14:textId="586A61AF" w:rsidR="003739D3" w:rsidRPr="00B852A8" w:rsidRDefault="003739D3" w:rsidP="003739D3">
            <w:pPr>
              <w:pStyle w:val="BodyText"/>
              <w:spacing w:line="242" w:lineRule="auto"/>
              <w:ind w:right="260"/>
              <w:jc w:val="both"/>
              <w:rPr>
                <w:rFonts w:ascii="Arial" w:hAnsi="Arial" w:cs="Arial"/>
                <w:sz w:val="20"/>
                <w:szCs w:val="20"/>
              </w:rPr>
            </w:pPr>
            <w:r w:rsidRPr="00B852A8">
              <w:rPr>
                <w:rFonts w:ascii="Arial" w:hAnsi="Arial" w:cs="Arial"/>
                <w:color w:val="0E0C15"/>
                <w:sz w:val="20"/>
                <w:szCs w:val="20"/>
              </w:rPr>
              <w:t xml:space="preserve">A </w:t>
            </w:r>
            <w:proofErr w:type="gramStart"/>
            <w:r w:rsidR="00322E81">
              <w:rPr>
                <w:rFonts w:ascii="Arial" w:hAnsi="Arial" w:cs="Arial"/>
                <w:color w:val="0E0C15"/>
                <w:sz w:val="20"/>
                <w:szCs w:val="20"/>
              </w:rPr>
              <w:t>well maintained</w:t>
            </w:r>
            <w:proofErr w:type="gramEnd"/>
            <w:r w:rsidR="00322E81">
              <w:rPr>
                <w:rFonts w:ascii="Arial" w:hAnsi="Arial" w:cs="Arial"/>
                <w:color w:val="0E0C15"/>
                <w:sz w:val="20"/>
                <w:szCs w:val="20"/>
              </w:rPr>
              <w:t xml:space="preserve"> safe environment for both visitors and workers of the CCB is if paramount importance. To this end the organization requires lawn and terrain management equipment as set out in this RFQ.</w:t>
            </w:r>
          </w:p>
          <w:p w14:paraId="308A1004" w14:textId="77777777" w:rsidR="003739D3" w:rsidRPr="00B852A8" w:rsidRDefault="003739D3" w:rsidP="003739D3">
            <w:pPr>
              <w:pStyle w:val="BodyText"/>
              <w:spacing w:line="276" w:lineRule="auto"/>
              <w:ind w:right="276"/>
              <w:jc w:val="both"/>
              <w:rPr>
                <w:rFonts w:ascii="Arial" w:hAnsi="Arial" w:cs="Arial"/>
                <w:sz w:val="20"/>
                <w:szCs w:val="20"/>
                <w:lang w:val="en-ZA"/>
              </w:rPr>
            </w:pPr>
          </w:p>
          <w:p w14:paraId="0E248F73" w14:textId="77777777" w:rsidR="008F058E" w:rsidRPr="00B852A8" w:rsidRDefault="008F058E" w:rsidP="00322E81">
            <w:pPr>
              <w:autoSpaceDE w:val="0"/>
              <w:autoSpaceDN w:val="0"/>
              <w:adjustRightInd w:val="0"/>
              <w:spacing w:line="360" w:lineRule="auto"/>
              <w:contextualSpacing/>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35B36B21"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138D00F6"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 xml:space="preserve">Appointment of a service provider to quote on the </w:t>
      </w:r>
      <w:r w:rsidR="00322E81">
        <w:rPr>
          <w:rFonts w:ascii="Arial" w:hAnsi="Arial" w:cs="Arial"/>
          <w:b/>
          <w:bCs/>
          <w:color w:val="000000"/>
          <w:sz w:val="20"/>
          <w:szCs w:val="20"/>
          <w:lang w:val="en-ZA"/>
        </w:rPr>
        <w:t>supply of lawn management equipment as per the specifications provided.</w:t>
      </w:r>
    </w:p>
    <w:p w14:paraId="51B4E712" w14:textId="77777777" w:rsidR="008F058E" w:rsidRPr="00B852A8"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a Schedule 3A Public Entity of the Ministry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lastRenderedPageBreak/>
        <w:t xml:space="preserve">To </w:t>
      </w:r>
      <w:proofErr w:type="spellStart"/>
      <w:r w:rsidRPr="00B852A8">
        <w:rPr>
          <w:rFonts w:ascii="Arial" w:eastAsia="Calibri" w:hAnsi="Arial" w:cs="Arial"/>
          <w:bCs/>
          <w:sz w:val="20"/>
          <w:szCs w:val="20"/>
        </w:rPr>
        <w:t>optimi</w:t>
      </w:r>
      <w:r w:rsidR="00201256">
        <w:rPr>
          <w:rFonts w:ascii="Arial" w:eastAsia="Calibri" w:hAnsi="Arial" w:cs="Arial"/>
          <w:bCs/>
          <w:sz w:val="20"/>
          <w:szCs w:val="20"/>
        </w:rPr>
        <w:t>s</w:t>
      </w:r>
      <w:r w:rsidRPr="00B852A8">
        <w:rPr>
          <w:rFonts w:ascii="Arial" w:eastAsia="Calibri" w:hAnsi="Arial" w:cs="Arial"/>
          <w:bCs/>
          <w:sz w:val="20"/>
          <w:szCs w:val="20"/>
        </w:rPr>
        <w:t>e</w:t>
      </w:r>
      <w:proofErr w:type="spellEnd"/>
      <w:r w:rsidRPr="00B852A8">
        <w:rPr>
          <w:rFonts w:ascii="Arial" w:eastAsia="Calibri" w:hAnsi="Arial" w:cs="Arial"/>
          <w:bCs/>
          <w:sz w:val="20"/>
          <w:szCs w:val="20"/>
        </w:rPr>
        <w:t xml:space="preserv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optimise</w:t>
      </w:r>
      <w:proofErr w:type="spellEnd"/>
      <w:r w:rsidRPr="00B852A8">
        <w:rPr>
          <w:rFonts w:ascii="Arial" w:eastAsia="Calibri" w:hAnsi="Arial" w:cs="Arial"/>
          <w:bCs/>
          <w:sz w:val="20"/>
          <w:szCs w:val="20"/>
        </w:rPr>
        <w:t xml:space="preserv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proofErr w:type="gramStart"/>
      <w:r w:rsidRPr="00B852A8">
        <w:rPr>
          <w:rFonts w:ascii="Arial" w:eastAsia="Calibri" w:hAnsi="Arial" w:cs="Arial"/>
          <w:bCs/>
          <w:sz w:val="20"/>
          <w:szCs w:val="20"/>
        </w:rPr>
        <w:t>development</w:t>
      </w:r>
      <w:proofErr w:type="gramEnd"/>
      <w:r w:rsidRPr="00B852A8">
        <w:rPr>
          <w:rFonts w:ascii="Arial" w:eastAsia="Calibri" w:hAnsi="Arial" w:cs="Arial"/>
          <w:bCs/>
          <w:sz w:val="20"/>
          <w:szCs w:val="20"/>
        </w:rPr>
        <w:t xml:space="preserve"> and interpretation of the Castle of Good Hope as a place of education and learning.</w:t>
      </w:r>
    </w:p>
    <w:p w14:paraId="219914F6"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proofErr w:type="gramStart"/>
      <w:r w:rsidRPr="00B852A8">
        <w:rPr>
          <w:rFonts w:ascii="Arial" w:eastAsia="Calibri" w:hAnsi="Arial" w:cs="Arial"/>
          <w:bCs/>
          <w:sz w:val="20"/>
          <w:szCs w:val="20"/>
        </w:rPr>
        <w:t>reconciliation</w:t>
      </w:r>
      <w:proofErr w:type="gramEnd"/>
      <w:r w:rsidRPr="00B852A8">
        <w:rPr>
          <w:rFonts w:ascii="Arial" w:eastAsia="Calibri" w:hAnsi="Arial" w:cs="Arial"/>
          <w:bCs/>
          <w:sz w:val="20"/>
          <w:szCs w:val="20"/>
        </w:rPr>
        <w:t xml:space="preserve">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in terms of the management of the Castle of Good Hope as a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proofErr w:type="gramStart"/>
      <w:r w:rsidRPr="00B852A8">
        <w:rPr>
          <w:rFonts w:ascii="Arial" w:eastAsia="Calibri" w:hAnsi="Arial" w:cs="Arial"/>
          <w:bCs/>
          <w:sz w:val="20"/>
          <w:szCs w:val="20"/>
        </w:rPr>
        <w:t>maintenance</w:t>
      </w:r>
      <w:proofErr w:type="gramEnd"/>
      <w:r w:rsidRPr="00B852A8">
        <w:rPr>
          <w:rFonts w:ascii="Arial" w:eastAsia="Calibri" w:hAnsi="Arial" w:cs="Arial"/>
          <w:bCs/>
          <w:sz w:val="20"/>
          <w:szCs w:val="20"/>
        </w:rPr>
        <w:t xml:space="preserve"> and promotion of the Castle of good Hope as a heritage site and tourism attraction. In terms of the legislative mandate, the </w:t>
      </w:r>
      <w:proofErr w:type="spellStart"/>
      <w:r w:rsidR="00D572D6" w:rsidRPr="00B852A8">
        <w:rPr>
          <w:rFonts w:ascii="Arial" w:eastAsia="Calibri" w:hAnsi="Arial" w:cs="Arial"/>
          <w:bCs/>
          <w:sz w:val="20"/>
          <w:szCs w:val="20"/>
        </w:rPr>
        <w:t>organis</w:t>
      </w:r>
      <w:r w:rsidRPr="00B852A8">
        <w:rPr>
          <w:rFonts w:ascii="Arial" w:eastAsia="Calibri" w:hAnsi="Arial" w:cs="Arial"/>
          <w:bCs/>
          <w:sz w:val="20"/>
          <w:szCs w:val="20"/>
        </w:rPr>
        <w:t>ation</w:t>
      </w:r>
      <w:proofErr w:type="spellEnd"/>
      <w:r w:rsidRPr="00B852A8">
        <w:rPr>
          <w:rFonts w:ascii="Arial" w:eastAsia="Calibri" w:hAnsi="Arial" w:cs="Arial"/>
          <w:bCs/>
          <w:sz w:val="20"/>
          <w:szCs w:val="20"/>
        </w:rPr>
        <w:t xml:space="preserve"> is expected to provide a range of public services and goods on behalf of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to local community members, tourists, school learners, students, conservation agencies, exhibitors, performers, cultural </w:t>
      </w:r>
      <w:proofErr w:type="spellStart"/>
      <w:r w:rsidRPr="00B852A8">
        <w:rPr>
          <w:rFonts w:ascii="Arial" w:eastAsia="Calibri" w:hAnsi="Arial" w:cs="Arial"/>
          <w:bCs/>
          <w:sz w:val="20"/>
          <w:szCs w:val="20"/>
        </w:rPr>
        <w:t>organisations</w:t>
      </w:r>
      <w:proofErr w:type="spellEnd"/>
      <w:r w:rsidRPr="00B852A8">
        <w:rPr>
          <w:rFonts w:ascii="Arial" w:eastAsia="Calibri" w:hAnsi="Arial" w:cs="Arial"/>
          <w:bCs/>
          <w:sz w:val="20"/>
          <w:szCs w:val="20"/>
        </w:rPr>
        <w:t xml:space="preserve">, traditional authorities, filming companies, event </w:t>
      </w:r>
      <w:proofErr w:type="spellStart"/>
      <w:r w:rsidRPr="00B852A8">
        <w:rPr>
          <w:rFonts w:ascii="Arial" w:eastAsia="Calibri" w:hAnsi="Arial" w:cs="Arial"/>
          <w:bCs/>
          <w:sz w:val="20"/>
          <w:szCs w:val="20"/>
        </w:rPr>
        <w:t>organisers</w:t>
      </w:r>
      <w:proofErr w:type="spellEnd"/>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w:t>
      </w:r>
      <w:proofErr w:type="spellStart"/>
      <w:r w:rsidRPr="00B852A8">
        <w:rPr>
          <w:rFonts w:ascii="Arial" w:eastAsia="Calibri" w:hAnsi="Arial" w:cs="Arial"/>
          <w:bCs/>
          <w:sz w:val="20"/>
          <w:szCs w:val="20"/>
        </w:rPr>
        <w:t>Camissa</w:t>
      </w:r>
      <w:proofErr w:type="spellEnd"/>
      <w:r w:rsidRPr="00B852A8">
        <w:rPr>
          <w:rFonts w:ascii="Arial" w:eastAsia="Calibri" w:hAnsi="Arial" w:cs="Arial"/>
          <w:bCs/>
          <w:sz w:val="20"/>
          <w:szCs w:val="20"/>
        </w:rPr>
        <w:t xml:space="preserve">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6AF4FAB3" w14:textId="56FDBC61"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1BB7B08A"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5E83B910" w14:textId="77777777" w:rsidR="00686A4B" w:rsidRDefault="008F058E" w:rsidP="008F058E">
      <w:pPr>
        <w:pStyle w:val="ListParagraph"/>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objective is to </w:t>
      </w:r>
      <w:r w:rsidR="00686A4B">
        <w:rPr>
          <w:rFonts w:ascii="Arial" w:eastAsia="Calibri" w:hAnsi="Arial" w:cs="Arial"/>
          <w:bCs/>
          <w:sz w:val="20"/>
          <w:szCs w:val="20"/>
        </w:rPr>
        <w:t>update/edit, print and install vinyl signage at the Military Museum</w:t>
      </w:r>
    </w:p>
    <w:p w14:paraId="741A30CE" w14:textId="231101ED" w:rsidR="00B64D48" w:rsidRPr="00B852A8" w:rsidRDefault="00047945"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w:t>
      </w:r>
      <w:r w:rsidR="008F058E" w:rsidRPr="00B852A8">
        <w:rPr>
          <w:rFonts w:ascii="Arial" w:eastAsia="Calibri" w:hAnsi="Arial" w:cs="Arial"/>
          <w:color w:val="000000"/>
          <w:sz w:val="20"/>
          <w:szCs w:val="20"/>
          <w:lang w:val="en"/>
        </w:rPr>
        <w:t xml:space="preserve"> </w:t>
      </w: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3166B615" w14:textId="153BCE9A" w:rsidR="008374DD" w:rsidRPr="008374DD" w:rsidRDefault="00686A4B">
      <w:pPr>
        <w:pStyle w:val="ListParagraph"/>
        <w:numPr>
          <w:ilvl w:val="0"/>
          <w:numId w:val="36"/>
        </w:numPr>
        <w:rPr>
          <w:rFonts w:ascii="Arial" w:hAnsi="Arial" w:cs="Arial"/>
          <w:b/>
          <w:sz w:val="20"/>
          <w:szCs w:val="20"/>
        </w:rPr>
      </w:pPr>
      <w:r>
        <w:rPr>
          <w:rFonts w:ascii="Arial" w:hAnsi="Arial" w:cs="Arial"/>
          <w:b/>
          <w:sz w:val="20"/>
          <w:szCs w:val="20"/>
        </w:rPr>
        <w:t>These will be finalized upon appointment of a service provider(s)</w:t>
      </w:r>
    </w:p>
    <w:p w14:paraId="381612E7" w14:textId="604D0C3B" w:rsidR="008374DD" w:rsidRDefault="008374DD" w:rsidP="006B26DB">
      <w:pPr>
        <w:ind w:left="360"/>
        <w:rPr>
          <w:rFonts w:ascii="Arial" w:hAnsi="Arial" w:cs="Arial"/>
          <w:b/>
          <w:sz w:val="20"/>
          <w:szCs w:val="20"/>
        </w:rPr>
      </w:pPr>
    </w:p>
    <w:p w14:paraId="06DB2F72" w14:textId="77777777" w:rsidR="006B26DB" w:rsidRPr="006B26DB" w:rsidRDefault="006B26DB" w:rsidP="006B26DB">
      <w:pPr>
        <w:ind w:left="360"/>
        <w:rPr>
          <w:rFonts w:ascii="Arial" w:hAnsi="Arial" w:cs="Arial"/>
          <w:b/>
          <w:sz w:val="20"/>
          <w:szCs w:val="20"/>
        </w:rPr>
      </w:pPr>
    </w:p>
    <w:p w14:paraId="34F89A12" w14:textId="12FB98A5"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0E645F20" w14:textId="5405C50B" w:rsidR="00374357" w:rsidRPr="00374357" w:rsidRDefault="00686A4B">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Pr>
          <w:rFonts w:ascii="Arial" w:eastAsia="Calibri" w:hAnsi="Arial" w:cs="Arial"/>
          <w:bCs/>
          <w:color w:val="000000"/>
          <w:sz w:val="20"/>
          <w:szCs w:val="20"/>
        </w:rPr>
        <w:t>None</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732E3FF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7777777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xml:space="preserve">, </w:t>
      </w:r>
      <w:proofErr w:type="gramStart"/>
      <w:r w:rsidRPr="00B852A8">
        <w:rPr>
          <w:rFonts w:ascii="Arial" w:eastAsia="Calibri" w:hAnsi="Arial" w:cs="Arial"/>
          <w:bCs/>
          <w:sz w:val="20"/>
          <w:szCs w:val="20"/>
        </w:rPr>
        <w:t>advice</w:t>
      </w:r>
      <w:proofErr w:type="gramEnd"/>
      <w:r w:rsidRPr="00B852A8">
        <w:rPr>
          <w:rFonts w:ascii="Arial" w:eastAsia="Calibri" w:hAnsi="Arial" w:cs="Arial"/>
          <w:bCs/>
          <w:sz w:val="20"/>
          <w:szCs w:val="20"/>
        </w:rPr>
        <w:t xml:space="preserve"> and reports generated and compiled by the Service Provider in the execution of services.</w:t>
      </w:r>
    </w:p>
    <w:p w14:paraId="204649D6" w14:textId="546437AA" w:rsidR="00D4283A"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549C3622" w14:textId="77777777" w:rsidR="00D4283A" w:rsidRPr="00B852A8" w:rsidRDefault="00D4283A" w:rsidP="008F058E">
      <w:pPr>
        <w:autoSpaceDE w:val="0"/>
        <w:autoSpaceDN w:val="0"/>
        <w:adjustRightInd w:val="0"/>
        <w:spacing w:line="360" w:lineRule="auto"/>
        <w:rPr>
          <w:rFonts w:ascii="Arial" w:eastAsia="Calibri" w:hAnsi="Arial" w:cs="Arial"/>
          <w:color w:val="000000"/>
          <w:sz w:val="20"/>
          <w:szCs w:val="20"/>
          <w:lang w:eastAsia="en-ZA"/>
        </w:rPr>
      </w:pPr>
    </w:p>
    <w:p w14:paraId="3948BEBC" w14:textId="77777777" w:rsidR="008F058E" w:rsidRPr="00B852A8" w:rsidRDefault="008F058E"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61C745BA" w14:textId="77777777" w:rsidR="008F058E" w:rsidRPr="00B852A8" w:rsidRDefault="008F058E">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34CAD4FA" w14:textId="77777777" w:rsidR="008F058E" w:rsidRPr="00B852A8" w:rsidRDefault="008F058E" w:rsidP="008F058E">
      <w:pPr>
        <w:autoSpaceDE w:val="0"/>
        <w:autoSpaceDN w:val="0"/>
        <w:adjustRightInd w:val="0"/>
        <w:spacing w:line="360" w:lineRule="auto"/>
        <w:rPr>
          <w:rFonts w:ascii="Arial" w:eastAsia="Calibri" w:hAnsi="Arial" w:cs="Arial"/>
          <w:color w:val="000000"/>
          <w:sz w:val="20"/>
          <w:szCs w:val="20"/>
          <w:lang w:eastAsia="en-ZA"/>
        </w:rPr>
      </w:pPr>
    </w:p>
    <w:p w14:paraId="7BB709D0" w14:textId="77777777" w:rsidR="00374357" w:rsidRPr="00B852A8" w:rsidRDefault="00374357" w:rsidP="008F058E">
      <w:pPr>
        <w:autoSpaceDE w:val="0"/>
        <w:autoSpaceDN w:val="0"/>
        <w:adjustRightInd w:val="0"/>
        <w:spacing w:line="360" w:lineRule="auto"/>
        <w:ind w:left="1418" w:hanging="709"/>
        <w:rPr>
          <w:rFonts w:ascii="Arial" w:eastAsia="Calibri" w:hAnsi="Arial" w:cs="Arial"/>
          <w:bCs/>
          <w:sz w:val="20"/>
          <w:szCs w:val="20"/>
        </w:rPr>
      </w:pPr>
    </w:p>
    <w:p w14:paraId="473D6C00" w14:textId="77777777" w:rsidR="008F058E" w:rsidRPr="00B852A8" w:rsidRDefault="008F058E"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5BB533CA" w:rsidR="00C6596F" w:rsidRPr="005D6B6D"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7876FD71" w14:textId="3CE56674" w:rsidR="006B1517" w:rsidRDefault="006B1517" w:rsidP="008F058E">
      <w:pPr>
        <w:spacing w:after="240" w:line="360" w:lineRule="auto"/>
        <w:contextualSpacing/>
        <w:rPr>
          <w:rFonts w:ascii="Arial" w:hAnsi="Arial" w:cs="Arial"/>
          <w:sz w:val="20"/>
          <w:szCs w:val="20"/>
        </w:rPr>
      </w:pPr>
    </w:p>
    <w:p w14:paraId="479844A9" w14:textId="378EDD0A" w:rsidR="00322E81" w:rsidRDefault="00322E81" w:rsidP="008F058E">
      <w:pPr>
        <w:spacing w:after="240" w:line="360" w:lineRule="auto"/>
        <w:contextualSpacing/>
        <w:rPr>
          <w:rFonts w:ascii="Arial" w:hAnsi="Arial" w:cs="Arial"/>
          <w:sz w:val="20"/>
          <w:szCs w:val="20"/>
        </w:rPr>
      </w:pPr>
    </w:p>
    <w:p w14:paraId="7EC293B5" w14:textId="09A9871C" w:rsidR="00322E81" w:rsidRDefault="00322E81" w:rsidP="008F058E">
      <w:pPr>
        <w:spacing w:after="240" w:line="360" w:lineRule="auto"/>
        <w:contextualSpacing/>
        <w:rPr>
          <w:rFonts w:ascii="Arial" w:hAnsi="Arial" w:cs="Arial"/>
          <w:sz w:val="20"/>
          <w:szCs w:val="20"/>
        </w:rPr>
      </w:pPr>
    </w:p>
    <w:p w14:paraId="47B0F67E" w14:textId="77777777" w:rsidR="00322E81" w:rsidRPr="00B852A8" w:rsidRDefault="00322E81" w:rsidP="008F058E">
      <w:pPr>
        <w:spacing w:after="240" w:line="360" w:lineRule="auto"/>
        <w:contextualSpacing/>
        <w:rPr>
          <w:rFonts w:ascii="Arial" w:hAnsi="Arial" w:cs="Arial"/>
          <w:sz w:val="20"/>
          <w:szCs w:val="20"/>
        </w:rPr>
      </w:pPr>
    </w:p>
    <w:p w14:paraId="16C011B5" w14:textId="61741D86" w:rsidR="006B1517" w:rsidRPr="00B852A8" w:rsidRDefault="006B1517" w:rsidP="008F058E">
      <w:pPr>
        <w:spacing w:after="240" w:line="360" w:lineRule="auto"/>
        <w:contextualSpacing/>
        <w:rPr>
          <w:rFonts w:ascii="Arial" w:hAnsi="Arial" w:cs="Arial"/>
          <w:sz w:val="20"/>
          <w:szCs w:val="20"/>
        </w:rPr>
      </w:pPr>
    </w:p>
    <w:p w14:paraId="3E9D968A" w14:textId="3EA50573" w:rsidR="006B1517" w:rsidRPr="00B852A8" w:rsidRDefault="006B1517" w:rsidP="008F058E">
      <w:pPr>
        <w:spacing w:after="240" w:line="360" w:lineRule="auto"/>
        <w:contextualSpacing/>
        <w:rPr>
          <w:rFonts w:ascii="Arial" w:hAnsi="Arial" w:cs="Arial"/>
          <w:sz w:val="20"/>
          <w:szCs w:val="20"/>
        </w:rPr>
      </w:pPr>
    </w:p>
    <w:p w14:paraId="5BCED408" w14:textId="28A92D25" w:rsidR="006B1517" w:rsidRPr="00B852A8" w:rsidRDefault="006B1517" w:rsidP="008F058E">
      <w:pPr>
        <w:spacing w:after="240" w:line="360" w:lineRule="auto"/>
        <w:contextualSpacing/>
        <w:rPr>
          <w:rFonts w:ascii="Arial" w:hAnsi="Arial" w:cs="Arial"/>
          <w:sz w:val="20"/>
          <w:szCs w:val="20"/>
        </w:rPr>
      </w:pPr>
    </w:p>
    <w:p w14:paraId="7D35B00A" w14:textId="0FAF7A67" w:rsidR="006B1517" w:rsidRPr="00B852A8" w:rsidRDefault="006B1517" w:rsidP="008F058E">
      <w:pPr>
        <w:spacing w:after="240" w:line="360" w:lineRule="auto"/>
        <w:contextualSpacing/>
        <w:rPr>
          <w:rFonts w:ascii="Arial" w:hAnsi="Arial" w:cs="Arial"/>
          <w:sz w:val="20"/>
          <w:szCs w:val="20"/>
        </w:rPr>
      </w:pPr>
    </w:p>
    <w:p w14:paraId="59F7842E" w14:textId="0796AC7C" w:rsidR="006B1517" w:rsidRPr="00B852A8" w:rsidRDefault="006B1517" w:rsidP="008F058E">
      <w:pPr>
        <w:spacing w:after="240" w:line="360" w:lineRule="auto"/>
        <w:contextualSpacing/>
        <w:rPr>
          <w:rFonts w:ascii="Arial" w:hAnsi="Arial" w:cs="Arial"/>
          <w:sz w:val="20"/>
          <w:szCs w:val="20"/>
        </w:rPr>
      </w:pPr>
    </w:p>
    <w:p w14:paraId="3A63C75F" w14:textId="20E45570" w:rsidR="006B1517" w:rsidRPr="00B852A8" w:rsidRDefault="006B1517" w:rsidP="008F058E">
      <w:pPr>
        <w:spacing w:after="240" w:line="360" w:lineRule="auto"/>
        <w:contextualSpacing/>
        <w:rPr>
          <w:rFonts w:ascii="Arial" w:hAnsi="Arial" w:cs="Arial"/>
          <w:sz w:val="20"/>
          <w:szCs w:val="20"/>
        </w:rPr>
      </w:pPr>
    </w:p>
    <w:p w14:paraId="72AE7FED" w14:textId="2B6EA9ED"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SECTION A                              restuarant</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0D48CF8D"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Calibri" w:hAnsi="Arial" w:cs="Arial"/>
                <w:sz w:val="20"/>
                <w:szCs w:val="20"/>
                <w:lang w:val="en-ZA"/>
              </w:rPr>
              <w:t xml:space="preserve">Supply </w:t>
            </w: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21C00264" w:rsidR="008F058E" w:rsidRPr="00B852A8" w:rsidRDefault="00097BD1" w:rsidP="005B509C">
            <w:pPr>
              <w:keepNext/>
              <w:keepLines/>
              <w:spacing w:before="240" w:after="240"/>
              <w:contextualSpacing/>
              <w:outlineLvl w:val="1"/>
              <w:rPr>
                <w:rFonts w:ascii="Arial" w:eastAsia="PMingLiU" w:hAnsi="Arial" w:cs="Arial"/>
                <w:b/>
                <w:bCs/>
                <w:caps/>
                <w:sz w:val="20"/>
                <w:szCs w:val="20"/>
              </w:rPr>
            </w:pPr>
            <w:proofErr w:type="spellStart"/>
            <w:r w:rsidRPr="00B852A8">
              <w:rPr>
                <w:rFonts w:ascii="Arial" w:eastAsia="PMingLiU" w:hAnsi="Arial" w:cs="Arial"/>
                <w:sz w:val="20"/>
                <w:szCs w:val="20"/>
              </w:rPr>
              <w:t>Licences</w:t>
            </w:r>
            <w:proofErr w:type="spellEnd"/>
            <w:r>
              <w:rPr>
                <w:rFonts w:ascii="Arial" w:eastAsia="PMingLiU" w:hAnsi="Arial" w:cs="Arial"/>
                <w:sz w:val="20"/>
                <w:szCs w:val="20"/>
              </w:rPr>
              <w:t xml:space="preserve"> </w:t>
            </w:r>
            <w:r w:rsidR="00CE43EA">
              <w:rPr>
                <w:rFonts w:ascii="Arial" w:eastAsia="PMingLiU" w:hAnsi="Arial" w:cs="Arial"/>
                <w:sz w:val="20"/>
                <w:szCs w:val="20"/>
              </w:rPr>
              <w:t>(</w:t>
            </w:r>
            <w:r>
              <w:rPr>
                <w:rFonts w:ascii="Arial" w:eastAsia="PMingLiU" w:hAnsi="Arial" w:cs="Arial"/>
                <w:sz w:val="20"/>
                <w:szCs w:val="20"/>
              </w:rPr>
              <w:t>if applicable)</w:t>
            </w: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FB9A7C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3065CDCA" w14:textId="0320848B"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sz w:val="20"/>
                <w:szCs w:val="20"/>
              </w:rPr>
              <w:t>Other (</w:t>
            </w:r>
            <w:r w:rsidR="006B1517" w:rsidRPr="00B852A8">
              <w:rPr>
                <w:rFonts w:ascii="Arial" w:eastAsia="PMingLiU" w:hAnsi="Arial" w:cs="Arial"/>
                <w:sz w:val="20"/>
                <w:szCs w:val="20"/>
              </w:rPr>
              <w:t>furnish details</w:t>
            </w:r>
            <w:r w:rsidR="006A202E" w:rsidRPr="00B852A8">
              <w:rPr>
                <w:rFonts w:ascii="Arial" w:eastAsia="PMingLiU" w:hAnsi="Arial" w:cs="Arial"/>
                <w:sz w:val="20"/>
                <w:szCs w:val="20"/>
              </w:rPr>
              <w:t>)</w:t>
            </w: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653DB1BF" w:rsidR="008F058E" w:rsidRDefault="008F058E" w:rsidP="008F058E">
      <w:pPr>
        <w:autoSpaceDE w:val="0"/>
        <w:autoSpaceDN w:val="0"/>
        <w:adjustRightInd w:val="0"/>
        <w:rPr>
          <w:rFonts w:ascii="Arial" w:eastAsia="Calibri" w:hAnsi="Arial" w:cs="Arial"/>
          <w:color w:val="000000"/>
          <w:sz w:val="20"/>
          <w:szCs w:val="20"/>
        </w:rPr>
      </w:pPr>
    </w:p>
    <w:p w14:paraId="0AD8DEBB"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0582C383" w14:textId="7F392092" w:rsidR="008F058E" w:rsidRDefault="008F058E" w:rsidP="008F058E">
      <w:pPr>
        <w:autoSpaceDE w:val="0"/>
        <w:autoSpaceDN w:val="0"/>
        <w:adjustRightInd w:val="0"/>
        <w:rPr>
          <w:rFonts w:ascii="Arial" w:eastAsia="Calibri" w:hAnsi="Arial" w:cs="Arial"/>
          <w:color w:val="000000"/>
          <w:sz w:val="20"/>
          <w:szCs w:val="20"/>
        </w:rPr>
      </w:pPr>
    </w:p>
    <w:p w14:paraId="4DA36E0F" w14:textId="7C651ACC" w:rsidR="00322E81" w:rsidRDefault="00322E81" w:rsidP="008F058E">
      <w:pPr>
        <w:autoSpaceDE w:val="0"/>
        <w:autoSpaceDN w:val="0"/>
        <w:adjustRightInd w:val="0"/>
        <w:rPr>
          <w:rFonts w:ascii="Arial" w:eastAsia="Calibri" w:hAnsi="Arial" w:cs="Arial"/>
          <w:color w:val="000000"/>
          <w:sz w:val="20"/>
          <w:szCs w:val="20"/>
        </w:rPr>
      </w:pPr>
    </w:p>
    <w:p w14:paraId="4DC20237" w14:textId="26DBC66F" w:rsidR="00686A4B" w:rsidRDefault="00686A4B" w:rsidP="008F058E">
      <w:pPr>
        <w:autoSpaceDE w:val="0"/>
        <w:autoSpaceDN w:val="0"/>
        <w:adjustRightInd w:val="0"/>
        <w:rPr>
          <w:rFonts w:ascii="Arial" w:eastAsia="Calibri" w:hAnsi="Arial" w:cs="Arial"/>
          <w:color w:val="000000"/>
          <w:sz w:val="20"/>
          <w:szCs w:val="20"/>
        </w:rPr>
      </w:pPr>
    </w:p>
    <w:p w14:paraId="58584A9E" w14:textId="4E337560" w:rsidR="00686A4B" w:rsidRDefault="00686A4B" w:rsidP="008F058E">
      <w:pPr>
        <w:autoSpaceDE w:val="0"/>
        <w:autoSpaceDN w:val="0"/>
        <w:adjustRightInd w:val="0"/>
        <w:rPr>
          <w:rFonts w:ascii="Arial" w:eastAsia="Calibri" w:hAnsi="Arial" w:cs="Arial"/>
          <w:color w:val="000000"/>
          <w:sz w:val="20"/>
          <w:szCs w:val="20"/>
        </w:rPr>
      </w:pPr>
    </w:p>
    <w:p w14:paraId="272AC5E2" w14:textId="77777777" w:rsidR="00686A4B" w:rsidRDefault="00686A4B" w:rsidP="008F058E">
      <w:pPr>
        <w:autoSpaceDE w:val="0"/>
        <w:autoSpaceDN w:val="0"/>
        <w:adjustRightInd w:val="0"/>
        <w:rPr>
          <w:rFonts w:ascii="Arial" w:eastAsia="Calibri" w:hAnsi="Arial" w:cs="Arial"/>
          <w:color w:val="000000"/>
          <w:sz w:val="20"/>
          <w:szCs w:val="20"/>
        </w:rPr>
      </w:pPr>
    </w:p>
    <w:p w14:paraId="5E7AC86A"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lastRenderedPageBreak/>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lastRenderedPageBreak/>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2611644"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2.25pt;height:33.75pt" o:ole="" fillcolor="window">
            <v:imagedata r:id="rId14" o:title=""/>
          </v:shape>
          <o:OLEObject Type="Embed" ProgID="Equation.3" ShapeID="_x0000_i1026" DrawAspect="Content" ObjectID="_1732611645"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 xml:space="preserve">disqualify the person from the bidding </w:t>
      </w:r>
      <w:proofErr w:type="gramStart"/>
      <w:r w:rsidRPr="00B852A8">
        <w:rPr>
          <w:rFonts w:ascii="Arial" w:hAnsi="Arial" w:cs="Arial"/>
          <w:snapToGrid w:val="0"/>
          <w:sz w:val="20"/>
          <w:szCs w:val="20"/>
          <w:lang w:val="en-GB"/>
        </w:rPr>
        <w:t>process;</w:t>
      </w:r>
      <w:proofErr w:type="gramEnd"/>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w:t>
      </w:r>
      <w:r w:rsidRPr="00B852A8">
        <w:rPr>
          <w:rFonts w:ascii="Arial" w:hAnsi="Arial" w:cs="Arial"/>
          <w:sz w:val="20"/>
          <w:szCs w:val="20"/>
        </w:rPr>
        <w:lastRenderedPageBreak/>
        <w:t xml:space="preserve">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 xml:space="preserve">means that portion of the bid price represented by the cost of components, parts or materials which have been or are still to be imported (whether by the supplier or its subcontractors) and which costs are inclusive of the costs </w:t>
      </w:r>
      <w:proofErr w:type="gramStart"/>
      <w:r w:rsidRPr="00B852A8">
        <w:rPr>
          <w:rFonts w:ascii="Arial" w:eastAsia="Arial" w:hAnsi="Arial" w:cs="Arial"/>
          <w:sz w:val="20"/>
          <w:szCs w:val="20"/>
        </w:rPr>
        <w:t>abroad,  plus</w:t>
      </w:r>
      <w:proofErr w:type="gramEnd"/>
      <w:r w:rsidRPr="00B852A8">
        <w:rPr>
          <w:rFonts w:ascii="Arial" w:eastAsia="Arial" w:hAnsi="Arial" w:cs="Arial"/>
          <w:sz w:val="20"/>
          <w:szCs w:val="20"/>
        </w:rPr>
        <w:t xml:space="preserve">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 xml:space="preserve">4.1 If yes, the rate(s) of exchange to be used in this bid to calculate the local content as prescribed in paragraph 1.6 of the general conditions must be the rate(s) published by </w:t>
      </w:r>
      <w:r w:rsidRPr="00B852A8">
        <w:rPr>
          <w:rFonts w:ascii="Arial" w:hAnsi="Arial" w:cs="Arial"/>
          <w:sz w:val="20"/>
          <w:szCs w:val="20"/>
        </w:rPr>
        <w:lastRenderedPageBreak/>
        <w:t>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1">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 xml:space="preserve">RESPONSIBILITY (CLOSE CORPORATION, </w:t>
            </w:r>
            <w:proofErr w:type="gramStart"/>
            <w:r w:rsidRPr="00B852A8">
              <w:rPr>
                <w:rFonts w:ascii="Arial" w:hAnsi="Arial" w:cs="Arial"/>
                <w:b/>
                <w:sz w:val="20"/>
                <w:szCs w:val="20"/>
              </w:rPr>
              <w:t>PARTNERSHIP</w:t>
            </w:r>
            <w:proofErr w:type="gramEnd"/>
            <w:r w:rsidRPr="00B852A8">
              <w:rPr>
                <w:rFonts w:ascii="Arial" w:hAnsi="Arial" w:cs="Arial"/>
                <w:b/>
                <w:sz w:val="20"/>
                <w:szCs w:val="20"/>
              </w:rPr>
              <w:t xml:space="preserve">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proofErr w:type="gramStart"/>
      <w:r w:rsidRPr="00B852A8">
        <w:rPr>
          <w:rFonts w:ascii="Arial" w:hAnsi="Arial" w:cs="Arial"/>
          <w:b/>
          <w:bCs/>
          <w:sz w:val="20"/>
          <w:szCs w:val="20"/>
        </w:rPr>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2"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0"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0"/>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1"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3"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2"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3"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4"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5"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lastRenderedPageBreak/>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proofErr w:type="gramStart"/>
      <w:r w:rsidRPr="00B852A8">
        <w:rPr>
          <w:rFonts w:ascii="Arial" w:hAnsi="Arial" w:cs="Arial"/>
          <w:sz w:val="20"/>
          <w:szCs w:val="20"/>
        </w:rPr>
        <w:t>In order to</w:t>
      </w:r>
      <w:proofErr w:type="gramEnd"/>
      <w:r w:rsidRPr="00B852A8">
        <w:rPr>
          <w:rFonts w:ascii="Arial" w:hAnsi="Arial" w:cs="Arial"/>
          <w:sz w:val="20"/>
          <w:szCs w:val="20"/>
        </w:rPr>
        <w:t xml:space="preserve">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lastRenderedPageBreak/>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lastRenderedPageBreak/>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49682CB"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D2477CB" w14:textId="3B147C9D"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FD7305" w14:textId="65325471"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DE53C8" w14:textId="2A410C9B"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C8D4DD5" w14:textId="73EFAEB4"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D0E36C9" w14:textId="77777777"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E5C3" w14:textId="77777777" w:rsidR="000930A1" w:rsidRDefault="000930A1">
      <w:r>
        <w:separator/>
      </w:r>
    </w:p>
  </w:endnote>
  <w:endnote w:type="continuationSeparator" w:id="0">
    <w:p w14:paraId="6E08B00A" w14:textId="77777777" w:rsidR="000930A1" w:rsidRDefault="0009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5F28" w14:textId="77777777" w:rsidR="000930A1" w:rsidRDefault="000930A1">
      <w:r>
        <w:separator/>
      </w:r>
    </w:p>
  </w:footnote>
  <w:footnote w:type="continuationSeparator" w:id="0">
    <w:p w14:paraId="054A4175" w14:textId="77777777" w:rsidR="000930A1" w:rsidRDefault="0009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1"/>
  </w:num>
  <w:num w:numId="3" w16cid:durableId="1921209517">
    <w:abstractNumId w:val="16"/>
  </w:num>
  <w:num w:numId="4" w16cid:durableId="1518735963">
    <w:abstractNumId w:val="13"/>
  </w:num>
  <w:num w:numId="5" w16cid:durableId="913854445">
    <w:abstractNumId w:val="22"/>
  </w:num>
  <w:num w:numId="6" w16cid:durableId="2139226348">
    <w:abstractNumId w:val="31"/>
  </w:num>
  <w:num w:numId="7" w16cid:durableId="307370665">
    <w:abstractNumId w:val="35"/>
  </w:num>
  <w:num w:numId="8" w16cid:durableId="1795056360">
    <w:abstractNumId w:val="0"/>
  </w:num>
  <w:num w:numId="9" w16cid:durableId="364141503">
    <w:abstractNumId w:val="7"/>
  </w:num>
  <w:num w:numId="10" w16cid:durableId="1370763381">
    <w:abstractNumId w:val="32"/>
  </w:num>
  <w:num w:numId="11" w16cid:durableId="70003411">
    <w:abstractNumId w:val="24"/>
  </w:num>
  <w:num w:numId="12" w16cid:durableId="423770064">
    <w:abstractNumId w:val="11"/>
  </w:num>
  <w:num w:numId="13" w16cid:durableId="1146820766">
    <w:abstractNumId w:val="15"/>
  </w:num>
  <w:num w:numId="14" w16cid:durableId="492911783">
    <w:abstractNumId w:val="28"/>
  </w:num>
  <w:num w:numId="15" w16cid:durableId="131757996">
    <w:abstractNumId w:val="27"/>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0"/>
  </w:num>
  <w:num w:numId="21" w16cid:durableId="1670937529">
    <w:abstractNumId w:val="33"/>
  </w:num>
  <w:num w:numId="22" w16cid:durableId="1132019190">
    <w:abstractNumId w:val="12"/>
  </w:num>
  <w:num w:numId="23" w16cid:durableId="538782040">
    <w:abstractNumId w:val="1"/>
  </w:num>
  <w:num w:numId="24" w16cid:durableId="1293901624">
    <w:abstractNumId w:val="3"/>
  </w:num>
  <w:num w:numId="25" w16cid:durableId="623997293">
    <w:abstractNumId w:val="23"/>
  </w:num>
  <w:num w:numId="26" w16cid:durableId="1309743173">
    <w:abstractNumId w:val="29"/>
  </w:num>
  <w:num w:numId="27" w16cid:durableId="994338658">
    <w:abstractNumId w:val="5"/>
  </w:num>
  <w:num w:numId="28" w16cid:durableId="1316030623">
    <w:abstractNumId w:val="17"/>
  </w:num>
  <w:num w:numId="29" w16cid:durableId="1585648528">
    <w:abstractNumId w:val="14"/>
  </w:num>
  <w:num w:numId="30" w16cid:durableId="2145540408">
    <w:abstractNumId w:val="25"/>
  </w:num>
  <w:num w:numId="31" w16cid:durableId="1637565747">
    <w:abstractNumId w:val="26"/>
  </w:num>
  <w:num w:numId="32" w16cid:durableId="2028170970">
    <w:abstractNumId w:val="2"/>
  </w:num>
  <w:num w:numId="33" w16cid:durableId="278921772">
    <w:abstractNumId w:val="18"/>
  </w:num>
  <w:num w:numId="34" w16cid:durableId="548539386">
    <w:abstractNumId w:val="9"/>
  </w:num>
  <w:num w:numId="35" w16cid:durableId="1565025457">
    <w:abstractNumId w:val="34"/>
  </w:num>
  <w:num w:numId="36" w16cid:durableId="3847772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47945"/>
    <w:rsid w:val="0007352C"/>
    <w:rsid w:val="00075356"/>
    <w:rsid w:val="0008657F"/>
    <w:rsid w:val="000930A1"/>
    <w:rsid w:val="00096636"/>
    <w:rsid w:val="00097BD1"/>
    <w:rsid w:val="000A005A"/>
    <w:rsid w:val="000A2815"/>
    <w:rsid w:val="000E37D0"/>
    <w:rsid w:val="000F1895"/>
    <w:rsid w:val="00106615"/>
    <w:rsid w:val="00177017"/>
    <w:rsid w:val="001953F1"/>
    <w:rsid w:val="001B10F8"/>
    <w:rsid w:val="001C2D4A"/>
    <w:rsid w:val="001C391D"/>
    <w:rsid w:val="001E0615"/>
    <w:rsid w:val="001F19A0"/>
    <w:rsid w:val="00201256"/>
    <w:rsid w:val="00201BE9"/>
    <w:rsid w:val="00220117"/>
    <w:rsid w:val="002373B2"/>
    <w:rsid w:val="00282D06"/>
    <w:rsid w:val="00284D2F"/>
    <w:rsid w:val="002A0E08"/>
    <w:rsid w:val="002D4CE4"/>
    <w:rsid w:val="002E0047"/>
    <w:rsid w:val="002E4C2E"/>
    <w:rsid w:val="002F0C01"/>
    <w:rsid w:val="00300314"/>
    <w:rsid w:val="00322E81"/>
    <w:rsid w:val="0032471B"/>
    <w:rsid w:val="00334FA5"/>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A1719"/>
    <w:rsid w:val="004B44C4"/>
    <w:rsid w:val="00500B89"/>
    <w:rsid w:val="0050629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8B4"/>
    <w:rsid w:val="00671D7E"/>
    <w:rsid w:val="006830FF"/>
    <w:rsid w:val="00686A4B"/>
    <w:rsid w:val="006A202E"/>
    <w:rsid w:val="006B1517"/>
    <w:rsid w:val="006B26DB"/>
    <w:rsid w:val="006B4D0F"/>
    <w:rsid w:val="006F1BDF"/>
    <w:rsid w:val="006F65E2"/>
    <w:rsid w:val="00732570"/>
    <w:rsid w:val="0073328E"/>
    <w:rsid w:val="00744B07"/>
    <w:rsid w:val="0075013C"/>
    <w:rsid w:val="00751F50"/>
    <w:rsid w:val="00761EF4"/>
    <w:rsid w:val="00764DD5"/>
    <w:rsid w:val="00771F7B"/>
    <w:rsid w:val="00782748"/>
    <w:rsid w:val="00811C0C"/>
    <w:rsid w:val="008374DD"/>
    <w:rsid w:val="00837F0C"/>
    <w:rsid w:val="0087390A"/>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720E"/>
    <w:rsid w:val="00B121E3"/>
    <w:rsid w:val="00B20812"/>
    <w:rsid w:val="00B64D48"/>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D0505"/>
    <w:rsid w:val="00CE43EA"/>
    <w:rsid w:val="00D12483"/>
    <w:rsid w:val="00D2074D"/>
    <w:rsid w:val="00D30AB7"/>
    <w:rsid w:val="00D4283A"/>
    <w:rsid w:val="00D52DF4"/>
    <w:rsid w:val="00D572D6"/>
    <w:rsid w:val="00DD33CC"/>
    <w:rsid w:val="00E0434E"/>
    <w:rsid w:val="00E20864"/>
    <w:rsid w:val="00E661A6"/>
    <w:rsid w:val="00E67070"/>
    <w:rsid w:val="00EB2EE4"/>
    <w:rsid w:val="00EC1A69"/>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11407</Words>
  <Characters>65023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3</cp:revision>
  <dcterms:created xsi:type="dcterms:W3CDTF">2022-12-15T10:14:00Z</dcterms:created>
  <dcterms:modified xsi:type="dcterms:W3CDTF">2022-12-15T10:14:00Z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