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1DB279E9"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w:t>
      </w:r>
      <w:r w:rsidR="00A323EF">
        <w:rPr>
          <w:rFonts w:cs="Arial"/>
          <w:b/>
          <w:bCs/>
          <w:sz w:val="20"/>
          <w:szCs w:val="20"/>
        </w:rPr>
        <w:t>WIMS 077885</w:t>
      </w:r>
      <w:r w:rsidR="00AE44BB" w:rsidRPr="009B35EB">
        <w:rPr>
          <w:rFonts w:cs="Arial"/>
          <w:b/>
          <w:bCs/>
          <w:sz w:val="20"/>
          <w:szCs w:val="20"/>
        </w:rPr>
        <w:t>W</w:t>
      </w:r>
    </w:p>
    <w:p w14:paraId="603DB3AC" w14:textId="43F005BD" w:rsidR="000123F9" w:rsidRPr="003969EE" w:rsidRDefault="00B55C5F" w:rsidP="00A323EF">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KZN: DEPARTMENT OF</w:t>
      </w:r>
      <w:r w:rsidR="000123F9">
        <w:rPr>
          <w:rFonts w:cs="Arial"/>
          <w:b/>
          <w:sz w:val="20"/>
          <w:szCs w:val="20"/>
        </w:rPr>
        <w:t xml:space="preserve"> </w:t>
      </w:r>
      <w:r w:rsidR="00A323EF">
        <w:rPr>
          <w:rFonts w:cs="Arial"/>
          <w:b/>
          <w:sz w:val="20"/>
          <w:szCs w:val="20"/>
        </w:rPr>
        <w:t>COGTA: NDWEDWE: MAVELA TAC:  DEMOLISH AND REBUILD: APPOINTMENT OF PROFESSIONAL ENGINEERING SURVEYOR</w:t>
      </w:r>
      <w:r w:rsidR="005472AD">
        <w:rPr>
          <w:rFonts w:cs="Arial"/>
          <w:b/>
          <w:sz w:val="20"/>
          <w:szCs w:val="20"/>
        </w:rPr>
        <w:t xml:space="preserve"> :RE-SUBMISSION</w:t>
      </w:r>
    </w:p>
    <w:p w14:paraId="34B95F7C" w14:textId="34C950E4"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A323EF">
        <w:rPr>
          <w:rFonts w:ascii="Arial" w:hAnsi="Arial" w:cs="Arial"/>
          <w:sz w:val="20"/>
          <w:szCs w:val="20"/>
        </w:rPr>
        <w:t>N/</w:t>
      </w:r>
      <w:r w:rsidR="007C44D4">
        <w:rPr>
          <w:rFonts w:ascii="Arial" w:hAnsi="Arial" w:cs="Arial"/>
          <w:sz w:val="20"/>
          <w:szCs w:val="20"/>
        </w:rPr>
        <w:t>A</w:t>
      </w:r>
    </w:p>
    <w:p w14:paraId="4690E419" w14:textId="4B848F78"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E80EB8">
        <w:rPr>
          <w:rFonts w:cs="Arial"/>
          <w:sz w:val="20"/>
          <w:szCs w:val="20"/>
        </w:rPr>
        <w:t xml:space="preserve">     </w:t>
      </w:r>
      <w:r w:rsidR="00A323EF">
        <w:rPr>
          <w:rFonts w:cs="Arial"/>
          <w:sz w:val="20"/>
          <w:szCs w:val="20"/>
        </w:rPr>
        <w:t>NDWEDWE</w:t>
      </w:r>
    </w:p>
    <w:p w14:paraId="3F8B7AEF" w14:textId="21B2900E"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A323EF">
        <w:rPr>
          <w:rFonts w:ascii="Arial" w:hAnsi="Arial" w:cs="Arial"/>
          <w:sz w:val="20"/>
          <w:szCs w:val="20"/>
        </w:rPr>
        <w:t>N/A</w:t>
      </w:r>
    </w:p>
    <w:p w14:paraId="64F7F338" w14:textId="603B5AF8"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Closing Date</w:t>
      </w:r>
      <w:r w:rsidRPr="003969EE">
        <w:rPr>
          <w:rFonts w:ascii="Arial" w:hAnsi="Arial" w:cs="Arial"/>
          <w:sz w:val="20"/>
          <w:szCs w:val="20"/>
        </w:rPr>
        <w:tab/>
        <w:t xml:space="preserve">: </w:t>
      </w:r>
      <w:r w:rsidR="00C63F71" w:rsidRPr="003969EE">
        <w:rPr>
          <w:rFonts w:ascii="Arial" w:hAnsi="Arial" w:cs="Arial"/>
          <w:sz w:val="20"/>
          <w:szCs w:val="20"/>
        </w:rPr>
        <w:tab/>
      </w:r>
      <w:r w:rsidR="007C44D4">
        <w:rPr>
          <w:rFonts w:ascii="Arial" w:hAnsi="Arial" w:cs="Arial"/>
          <w:sz w:val="20"/>
          <w:szCs w:val="20"/>
        </w:rPr>
        <w:t>01 December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Time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14179BF0" w14:textId="405DAD1B" w:rsidR="00EB120E" w:rsidRPr="00C270A9" w:rsidRDefault="00325FA9" w:rsidP="00C270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00052A54" w:rsidRPr="003969EE">
        <w:rPr>
          <w:rFonts w:cs="Arial"/>
          <w:sz w:val="20"/>
          <w:szCs w:val="20"/>
        </w:rPr>
        <w:t xml:space="preserve">The complete bid document can be downloaded  from the e-Tender Portal </w:t>
      </w:r>
      <w:r w:rsidR="00C270A9">
        <w:rPr>
          <w:rFonts w:cs="Arial"/>
          <w:sz w:val="20"/>
          <w:szCs w:val="20"/>
        </w:rPr>
        <w:t>and Departmental website</w:t>
      </w:r>
      <w:r w:rsidR="00A323EF">
        <w:rPr>
          <w:rFonts w:cs="Arial"/>
          <w:sz w:val="20"/>
          <w:szCs w:val="20"/>
        </w:rPr>
        <w:t xml:space="preserve"> at no cost.</w:t>
      </w:r>
    </w:p>
    <w:p w14:paraId="346ECFF2" w14:textId="096B23DC" w:rsidR="0012048D" w:rsidRPr="003969EE" w:rsidRDefault="00325FA9" w:rsidP="00C270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color w:val="FF0000"/>
          <w:sz w:val="20"/>
          <w:szCs w:val="20"/>
        </w:rPr>
        <w:tab/>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C270A9" w:rsidRDefault="0012048D" w:rsidP="0012048D">
      <w:pPr>
        <w:pStyle w:val="NoSpacing"/>
        <w:jc w:val="both"/>
        <w:rPr>
          <w:rFonts w:ascii="Arial" w:hAnsi="Arial" w:cs="Arial"/>
          <w:b/>
          <w:sz w:val="20"/>
          <w:szCs w:val="20"/>
          <w:u w:val="single"/>
        </w:rPr>
      </w:pPr>
      <w:r w:rsidRPr="00C270A9">
        <w:rPr>
          <w:rFonts w:ascii="Arial" w:hAnsi="Arial" w:cs="Arial"/>
          <w:b/>
          <w:sz w:val="20"/>
          <w:szCs w:val="20"/>
          <w:u w:val="thick"/>
          <w:lang w:val="en-GB"/>
        </w:rPr>
        <w:t xml:space="preserve">Compulsory Pre-Tender Briefing Meeting/ Bid  Clarification Meeting </w:t>
      </w:r>
    </w:p>
    <w:p w14:paraId="3AD6D329" w14:textId="77777777" w:rsidR="0012048D" w:rsidRPr="00C270A9" w:rsidRDefault="0012048D" w:rsidP="0012048D">
      <w:pPr>
        <w:pStyle w:val="NoSpacing"/>
        <w:ind w:left="3600" w:hanging="3600"/>
        <w:jc w:val="both"/>
        <w:rPr>
          <w:rFonts w:ascii="Arial" w:hAnsi="Arial" w:cs="Arial"/>
          <w:b/>
          <w:sz w:val="20"/>
          <w:szCs w:val="20"/>
          <w:u w:val="single"/>
        </w:rPr>
      </w:pPr>
    </w:p>
    <w:p w14:paraId="2FE4EC59" w14:textId="756FF2AF" w:rsidR="00B55C5F" w:rsidRPr="00C270A9" w:rsidRDefault="00A323EF" w:rsidP="00A323EF">
      <w:pPr>
        <w:pStyle w:val="NoSpacing"/>
        <w:jc w:val="both"/>
        <w:rPr>
          <w:rFonts w:cs="Arial"/>
          <w:sz w:val="20"/>
          <w:szCs w:val="20"/>
        </w:rPr>
      </w:pPr>
      <w:r>
        <w:rPr>
          <w:rFonts w:ascii="Arial" w:hAnsi="Arial" w:cs="Arial"/>
          <w:bCs/>
          <w:sz w:val="20"/>
          <w:szCs w:val="20"/>
        </w:rPr>
        <w:t>No</w:t>
      </w:r>
      <w:r w:rsidR="003D70CD" w:rsidRPr="00C270A9">
        <w:rPr>
          <w:rFonts w:ascii="Arial" w:hAnsi="Arial" w:cs="Arial"/>
          <w:bCs/>
          <w:sz w:val="20"/>
          <w:szCs w:val="20"/>
        </w:rPr>
        <w:t xml:space="preserve"> </w:t>
      </w:r>
      <w:r w:rsidR="0012048D" w:rsidRPr="00C270A9">
        <w:rPr>
          <w:rFonts w:ascii="Arial" w:hAnsi="Arial" w:cs="Arial"/>
          <w:bCs/>
          <w:sz w:val="20"/>
          <w:szCs w:val="20"/>
        </w:rPr>
        <w:t xml:space="preserve">compulsory </w:t>
      </w:r>
      <w:r w:rsidR="003D70CD" w:rsidRPr="00C270A9">
        <w:rPr>
          <w:rFonts w:ascii="Arial" w:hAnsi="Arial" w:cs="Arial"/>
          <w:bCs/>
          <w:sz w:val="20"/>
          <w:szCs w:val="20"/>
        </w:rPr>
        <w:t>pre-</w:t>
      </w:r>
      <w:r w:rsidR="00BE4C9E" w:rsidRPr="00C270A9">
        <w:rPr>
          <w:rFonts w:ascii="Arial" w:hAnsi="Arial" w:cs="Arial"/>
          <w:bCs/>
          <w:sz w:val="20"/>
          <w:szCs w:val="20"/>
        </w:rPr>
        <w:t>tender briefing</w:t>
      </w:r>
      <w:r w:rsidR="0012048D" w:rsidRPr="00C270A9">
        <w:rPr>
          <w:rFonts w:ascii="Arial" w:hAnsi="Arial" w:cs="Arial"/>
          <w:bCs/>
          <w:sz w:val="20"/>
          <w:szCs w:val="20"/>
        </w:rPr>
        <w:t xml:space="preserve"> meeting will be held</w:t>
      </w:r>
      <w:r>
        <w:rPr>
          <w:rFonts w:ascii="Arial" w:hAnsi="Arial" w:cs="Arial"/>
          <w:bCs/>
          <w:sz w:val="20"/>
          <w:szCs w:val="20"/>
        </w:rPr>
        <w:t>.</w:t>
      </w:r>
      <w:r w:rsidR="0012048D" w:rsidRPr="00C270A9">
        <w:rPr>
          <w:rFonts w:ascii="Arial" w:hAnsi="Arial" w:cs="Arial"/>
          <w:bCs/>
          <w:sz w:val="20"/>
          <w:szCs w:val="20"/>
        </w:rPr>
        <w:t xml:space="preserve"> </w:t>
      </w:r>
    </w:p>
    <w:p w14:paraId="017A452E" w14:textId="77777777" w:rsidR="00FA0B06" w:rsidRPr="00C270A9" w:rsidRDefault="00FA0B06" w:rsidP="00FA0B06">
      <w:pPr>
        <w:rPr>
          <w:rFonts w:cs="Arial"/>
          <w:sz w:val="20"/>
          <w:szCs w:val="20"/>
        </w:rPr>
      </w:pPr>
    </w:p>
    <w:p w14:paraId="4ABCB8C5" w14:textId="68E7CE4F"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7C44D4">
        <w:rPr>
          <w:rFonts w:cs="Arial"/>
          <w:b/>
          <w:sz w:val="20"/>
          <w:szCs w:val="20"/>
        </w:rPr>
        <w:t>01 December 2023</w:t>
      </w:r>
      <w:r w:rsidR="00D60DC1" w:rsidRPr="00C270A9">
        <w:rPr>
          <w:rFonts w:cs="Arial"/>
          <w:b/>
          <w:sz w:val="20"/>
          <w:szCs w:val="20"/>
        </w:rPr>
        <w:t xml:space="preserve"> </w:t>
      </w:r>
      <w:r w:rsidRPr="00C270A9">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2040994D"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r>
      <w:r w:rsidR="00A323EF">
        <w:rPr>
          <w:rFonts w:cs="Arial"/>
          <w:b/>
          <w:sz w:val="20"/>
          <w:szCs w:val="20"/>
        </w:rPr>
        <w:t>90</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44D9FE80"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A323EF">
        <w:rPr>
          <w:rFonts w:cs="Arial"/>
          <w:b/>
          <w:sz w:val="20"/>
          <w:szCs w:val="20"/>
        </w:rPr>
        <w:t>N/A</w:t>
      </w:r>
      <w:r w:rsidRPr="003969EE">
        <w:rPr>
          <w:rFonts w:cs="Arial"/>
          <w:b/>
          <w:sz w:val="20"/>
          <w:szCs w:val="20"/>
        </w:rPr>
        <w:t xml:space="preserve">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40B5E0B1" w:rsidR="00BE3499" w:rsidRPr="003969EE" w:rsidRDefault="00FA0B06" w:rsidP="00FA0B06">
      <w:pPr>
        <w:rPr>
          <w:rFonts w:cs="Arial"/>
          <w:b/>
          <w:sz w:val="20"/>
          <w:szCs w:val="20"/>
        </w:rPr>
      </w:pPr>
      <w:r w:rsidRPr="003969EE">
        <w:rPr>
          <w:rFonts w:cs="Arial"/>
          <w:b/>
          <w:sz w:val="20"/>
          <w:szCs w:val="20"/>
        </w:rPr>
        <w:t xml:space="preserve">Tel: </w:t>
      </w:r>
      <w:r w:rsidR="00A323EF">
        <w:rPr>
          <w:rFonts w:cs="Arial"/>
          <w:b/>
          <w:sz w:val="20"/>
          <w:szCs w:val="20"/>
        </w:rPr>
        <w:t>072 513 8726</w:t>
      </w:r>
      <w:r w:rsidR="00052A54" w:rsidRPr="003969EE">
        <w:rPr>
          <w:rFonts w:cs="Arial"/>
          <w:b/>
          <w:sz w:val="20"/>
          <w:szCs w:val="20"/>
        </w:rPr>
        <w:t xml:space="preserve">/ Mr </w:t>
      </w:r>
      <w:r w:rsidR="00A323EF">
        <w:rPr>
          <w:rFonts w:cs="Arial"/>
          <w:b/>
          <w:sz w:val="20"/>
          <w:szCs w:val="20"/>
        </w:rPr>
        <w:t>N Koobair</w:t>
      </w:r>
      <w:r w:rsidR="00052A54" w:rsidRPr="003969EE">
        <w:rPr>
          <w:rFonts w:cs="Arial"/>
          <w:b/>
          <w:sz w:val="20"/>
          <w:szCs w:val="20"/>
        </w:rPr>
        <w:t xml:space="preserve"> (</w:t>
      </w:r>
      <w:r w:rsidR="00A323EF">
        <w:rPr>
          <w:rFonts w:cs="Arial"/>
          <w:b/>
          <w:sz w:val="20"/>
          <w:szCs w:val="20"/>
        </w:rPr>
        <w:t>Nivaan.koobair</w:t>
      </w:r>
      <w:r w:rsidR="00052A54" w:rsidRPr="003969EE">
        <w:rPr>
          <w:rFonts w:cs="Arial"/>
          <w:b/>
          <w:sz w:val="20"/>
          <w:szCs w:val="20"/>
        </w:rPr>
        <w:t>@kznworks.gov.za)</w:t>
      </w: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194ED75A" w:rsidR="00BE3499" w:rsidRPr="003969EE"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w:t>
      </w: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71D05C37" w14:textId="77777777" w:rsidR="00A323EF" w:rsidRDefault="00222BA2" w:rsidP="00A323EF">
      <w:pPr>
        <w:pStyle w:val="ListParagraph"/>
        <w:numPr>
          <w:ilvl w:val="0"/>
          <w:numId w:val="13"/>
        </w:numPr>
        <w:spacing w:line="240" w:lineRule="auto"/>
        <w:rPr>
          <w:rFonts w:cs="Calibri"/>
          <w:bCs/>
          <w:sz w:val="18"/>
          <w:szCs w:val="18"/>
        </w:rPr>
      </w:pPr>
      <w:r>
        <w:rPr>
          <w:rFonts w:cs="Calibri"/>
          <w:bCs/>
          <w:sz w:val="18"/>
          <w:szCs w:val="18"/>
        </w:rPr>
        <w:t xml:space="preserve">Only Bidders registered on the Central Suppliers database and </w:t>
      </w:r>
      <w:r w:rsidR="00A323EF">
        <w:rPr>
          <w:rFonts w:cs="Calibri"/>
          <w:bCs/>
          <w:sz w:val="18"/>
          <w:szCs w:val="18"/>
        </w:rPr>
        <w:t>registered on the South African Geomatics Council as a GPR. ES (Professional Engineering Surveyor).</w:t>
      </w:r>
      <w:r>
        <w:rPr>
          <w:rFonts w:cs="Calibri"/>
          <w:bCs/>
          <w:sz w:val="18"/>
          <w:szCs w:val="18"/>
        </w:rPr>
        <w:t xml:space="preserve"> </w:t>
      </w:r>
    </w:p>
    <w:p w14:paraId="616E8BE9" w14:textId="77777777" w:rsidR="00A323EF" w:rsidRPr="00A323EF" w:rsidRDefault="00A323EF" w:rsidP="00A323EF">
      <w:pPr>
        <w:pStyle w:val="ListParagraph"/>
        <w:rPr>
          <w:rFonts w:cs="Calibri"/>
          <w:bCs/>
          <w:sz w:val="18"/>
          <w:szCs w:val="18"/>
        </w:rPr>
      </w:pPr>
    </w:p>
    <w:p w14:paraId="6CCB0C3D" w14:textId="48077A95" w:rsidR="00BE3499" w:rsidRPr="003969EE" w:rsidRDefault="00BE3499" w:rsidP="00A323EF">
      <w:pPr>
        <w:pStyle w:val="ListParagraph"/>
        <w:numPr>
          <w:ilvl w:val="0"/>
          <w:numId w:val="13"/>
        </w:numPr>
        <w:spacing w:line="240" w:lineRule="auto"/>
        <w:rPr>
          <w:rFonts w:cs="Calibri"/>
          <w:bCs/>
          <w:sz w:val="18"/>
          <w:szCs w:val="18"/>
        </w:rPr>
      </w:pPr>
      <w:r w:rsidRPr="003969EE">
        <w:rPr>
          <w:rFonts w:cs="Calibri"/>
          <w:bCs/>
          <w:sz w:val="18"/>
          <w:szCs w:val="18"/>
        </w:rPr>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FB2F7E6"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00A323EF">
        <w:rPr>
          <w:rFonts w:cs="Calibri"/>
          <w:bCs/>
          <w:sz w:val="18"/>
          <w:szCs w:val="18"/>
        </w:rPr>
        <w:t>.</w:t>
      </w:r>
      <w:r w:rsidRPr="003969EE">
        <w:rPr>
          <w:rFonts w:cs="Calibri"/>
          <w:bCs/>
          <w:sz w:val="18"/>
          <w:szCs w:val="18"/>
        </w:rPr>
        <w:br/>
      </w:r>
    </w:p>
    <w:p w14:paraId="3EF04881" w14:textId="76054144" w:rsidR="00F76696" w:rsidRPr="00C270A9" w:rsidRDefault="00BE3499" w:rsidP="00C270A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7BE0C5B2" w14:textId="77777777" w:rsidR="00BE3499" w:rsidRPr="003969EE" w:rsidRDefault="00BE3499" w:rsidP="00BE3499">
      <w:pPr>
        <w:pStyle w:val="ListParagraph"/>
        <w:ind w:left="0"/>
        <w:rPr>
          <w:rFonts w:cs="Calibri"/>
          <w:bCs/>
          <w:sz w:val="18"/>
          <w:szCs w:val="18"/>
        </w:rPr>
      </w:pPr>
    </w:p>
    <w:p w14:paraId="790D479B" w14:textId="0E9B1E53"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C270A9">
        <w:rPr>
          <w:rFonts w:cs="Calibri"/>
          <w:bCs/>
          <w:sz w:val="18"/>
          <w:szCs w:val="18"/>
        </w:rPr>
        <w:t>2</w:t>
      </w:r>
      <w:r w:rsidRPr="003969EE">
        <w:rPr>
          <w:rFonts w:cs="Calibri"/>
          <w:bCs/>
          <w:sz w:val="18"/>
          <w:szCs w:val="18"/>
        </w:rPr>
        <w:t>.</w:t>
      </w:r>
      <w:r w:rsidRPr="003969EE">
        <w:rPr>
          <w:rFonts w:cs="Calibri"/>
          <w:bCs/>
          <w:sz w:val="18"/>
          <w:szCs w:val="18"/>
        </w:rPr>
        <w:tab/>
      </w:r>
      <w:r w:rsidR="00A323EF">
        <w:rPr>
          <w:rFonts w:cs="Calibri"/>
          <w:bCs/>
          <w:sz w:val="18"/>
          <w:szCs w:val="18"/>
        </w:rPr>
        <w:t xml:space="preserve">Failure to submit all statutory documents as listed under Appendix B of the document will lead to immediate disqualification of the tenderer. </w:t>
      </w:r>
    </w:p>
    <w:p w14:paraId="0D80EE96" w14:textId="77777777" w:rsidR="00BE3499" w:rsidRPr="003969EE" w:rsidRDefault="00BE3499" w:rsidP="00BE3499">
      <w:pPr>
        <w:pStyle w:val="ListParagraph"/>
        <w:ind w:left="709" w:hanging="709"/>
        <w:rPr>
          <w:rFonts w:cs="Calibri"/>
          <w:bCs/>
          <w:sz w:val="18"/>
          <w:szCs w:val="18"/>
        </w:rPr>
      </w:pPr>
    </w:p>
    <w:p w14:paraId="264DABEA" w14:textId="7AE745E7"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C270A9">
        <w:rPr>
          <w:rFonts w:cs="Calibri"/>
          <w:bCs/>
          <w:sz w:val="18"/>
          <w:szCs w:val="18"/>
        </w:rPr>
        <w:t>3</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841129" w14:paraId="3C12DC8C" w14:textId="77777777" w:rsidTr="00841129">
        <w:tc>
          <w:tcPr>
            <w:tcW w:w="4625" w:type="dxa"/>
          </w:tcPr>
          <w:p w14:paraId="6C89DC90" w14:textId="00F84E8C" w:rsidR="00841129" w:rsidRPr="003969EE" w:rsidRDefault="00841129" w:rsidP="003F2443">
            <w:pPr>
              <w:pStyle w:val="ListParagraph"/>
              <w:ind w:left="0"/>
              <w:rPr>
                <w:rFonts w:cs="Calibri"/>
                <w:bCs/>
                <w:sz w:val="20"/>
                <w:szCs w:val="20"/>
              </w:rPr>
            </w:pPr>
            <w:r w:rsidRPr="003969EE">
              <w:rPr>
                <w:rFonts w:cs="Calibri"/>
                <w:bCs/>
                <w:sz w:val="20"/>
                <w:szCs w:val="20"/>
              </w:rPr>
              <w:t xml:space="preserve">1)Ownership </w:t>
            </w:r>
            <w:r w:rsidR="001A4D0B" w:rsidRPr="003969EE">
              <w:rPr>
                <w:rFonts w:cs="Calibri"/>
                <w:bCs/>
                <w:sz w:val="20"/>
                <w:szCs w:val="20"/>
              </w:rPr>
              <w:t xml:space="preserve">by </w:t>
            </w:r>
            <w:r w:rsidR="00A323EF">
              <w:rPr>
                <w:rFonts w:cs="Calibri"/>
                <w:bCs/>
                <w:sz w:val="20"/>
                <w:szCs w:val="20"/>
              </w:rPr>
              <w:t>Black People</w:t>
            </w:r>
          </w:p>
        </w:tc>
        <w:tc>
          <w:tcPr>
            <w:tcW w:w="4578" w:type="dxa"/>
          </w:tcPr>
          <w:p w14:paraId="7FDF7EDD" w14:textId="3B8FF61B" w:rsidR="00841129" w:rsidRPr="003969EE" w:rsidRDefault="001A4D0B" w:rsidP="003F2443">
            <w:pPr>
              <w:pStyle w:val="ListParagraph"/>
              <w:ind w:left="0"/>
              <w:rPr>
                <w:rFonts w:cs="Calibri"/>
                <w:bCs/>
                <w:sz w:val="20"/>
                <w:szCs w:val="20"/>
              </w:rPr>
            </w:pPr>
            <w:r w:rsidRPr="003969EE">
              <w:rPr>
                <w:rFonts w:cs="Calibri"/>
                <w:bCs/>
                <w:sz w:val="20"/>
                <w:szCs w:val="20"/>
              </w:rPr>
              <w:t xml:space="preserve">  </w:t>
            </w:r>
            <w:r w:rsidR="00A323EF">
              <w:rPr>
                <w:rFonts w:cs="Calibri"/>
                <w:bCs/>
                <w:sz w:val="20"/>
                <w:szCs w:val="20"/>
              </w:rPr>
              <w:t>2</w:t>
            </w:r>
            <w:r w:rsidR="00617784">
              <w:rPr>
                <w:rFonts w:cs="Calibri"/>
                <w:bCs/>
                <w:sz w:val="20"/>
                <w:szCs w:val="20"/>
              </w:rPr>
              <w:t>0</w:t>
            </w:r>
            <w:r w:rsidRPr="003969EE">
              <w:rPr>
                <w:rFonts w:cs="Calibri"/>
                <w:bCs/>
                <w:sz w:val="20"/>
                <w:szCs w:val="20"/>
              </w:rPr>
              <w:t xml:space="preserve"> </w:t>
            </w:r>
            <w:r w:rsidR="00841129" w:rsidRPr="003969EE">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1"/>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6452" w14:textId="77777777" w:rsidR="00690355" w:rsidRDefault="00690355" w:rsidP="00B22844">
      <w:pPr>
        <w:spacing w:line="240" w:lineRule="auto"/>
      </w:pPr>
      <w:r>
        <w:separator/>
      </w:r>
    </w:p>
  </w:endnote>
  <w:endnote w:type="continuationSeparator" w:id="0">
    <w:p w14:paraId="3FF40D2A" w14:textId="77777777" w:rsidR="00690355" w:rsidRDefault="00690355"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BD48" w14:textId="77777777" w:rsidR="00690355" w:rsidRDefault="00690355" w:rsidP="00B22844">
      <w:pPr>
        <w:spacing w:line="240" w:lineRule="auto"/>
      </w:pPr>
      <w:r>
        <w:separator/>
      </w:r>
    </w:p>
  </w:footnote>
  <w:footnote w:type="continuationSeparator" w:id="0">
    <w:p w14:paraId="606A8316" w14:textId="77777777" w:rsidR="00690355" w:rsidRDefault="00690355"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23F9"/>
    <w:rsid w:val="00017854"/>
    <w:rsid w:val="00023187"/>
    <w:rsid w:val="000333CE"/>
    <w:rsid w:val="00044B0A"/>
    <w:rsid w:val="00052A54"/>
    <w:rsid w:val="000827A2"/>
    <w:rsid w:val="00084EF3"/>
    <w:rsid w:val="0008536E"/>
    <w:rsid w:val="00093900"/>
    <w:rsid w:val="00094498"/>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5FDC"/>
    <w:rsid w:val="00222BA2"/>
    <w:rsid w:val="002312BB"/>
    <w:rsid w:val="002353AF"/>
    <w:rsid w:val="00240EA9"/>
    <w:rsid w:val="002468B2"/>
    <w:rsid w:val="002603B9"/>
    <w:rsid w:val="0026670D"/>
    <w:rsid w:val="00276E84"/>
    <w:rsid w:val="0028597D"/>
    <w:rsid w:val="00297790"/>
    <w:rsid w:val="002A0833"/>
    <w:rsid w:val="002A19B7"/>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5FC3"/>
    <w:rsid w:val="00537146"/>
    <w:rsid w:val="00541DB6"/>
    <w:rsid w:val="005464CA"/>
    <w:rsid w:val="005472AD"/>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3FE"/>
    <w:rsid w:val="0061462E"/>
    <w:rsid w:val="00617784"/>
    <w:rsid w:val="00623DEB"/>
    <w:rsid w:val="00633B3A"/>
    <w:rsid w:val="006376CA"/>
    <w:rsid w:val="00674771"/>
    <w:rsid w:val="00690355"/>
    <w:rsid w:val="00691ED3"/>
    <w:rsid w:val="006B6A12"/>
    <w:rsid w:val="006B7A95"/>
    <w:rsid w:val="006F10E2"/>
    <w:rsid w:val="006F69F7"/>
    <w:rsid w:val="007020FD"/>
    <w:rsid w:val="007202DF"/>
    <w:rsid w:val="00732708"/>
    <w:rsid w:val="00735102"/>
    <w:rsid w:val="007419DF"/>
    <w:rsid w:val="007501FE"/>
    <w:rsid w:val="007533E4"/>
    <w:rsid w:val="007614A0"/>
    <w:rsid w:val="00766118"/>
    <w:rsid w:val="007779AB"/>
    <w:rsid w:val="0078244E"/>
    <w:rsid w:val="007B43BC"/>
    <w:rsid w:val="007B6605"/>
    <w:rsid w:val="007C0F80"/>
    <w:rsid w:val="007C44D4"/>
    <w:rsid w:val="007D1AFD"/>
    <w:rsid w:val="007D2D55"/>
    <w:rsid w:val="007D38D6"/>
    <w:rsid w:val="007D461F"/>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17E8"/>
    <w:rsid w:val="009A23D2"/>
    <w:rsid w:val="009A2812"/>
    <w:rsid w:val="009A5FF6"/>
    <w:rsid w:val="009A6CA2"/>
    <w:rsid w:val="009B35EB"/>
    <w:rsid w:val="009B4CD7"/>
    <w:rsid w:val="009C2551"/>
    <w:rsid w:val="009C3B3E"/>
    <w:rsid w:val="009D0C3F"/>
    <w:rsid w:val="009E2E38"/>
    <w:rsid w:val="009E6B79"/>
    <w:rsid w:val="009F1E6C"/>
    <w:rsid w:val="009F30D3"/>
    <w:rsid w:val="00A0189A"/>
    <w:rsid w:val="00A13FA3"/>
    <w:rsid w:val="00A27F87"/>
    <w:rsid w:val="00A31AEA"/>
    <w:rsid w:val="00A323EF"/>
    <w:rsid w:val="00A32DCB"/>
    <w:rsid w:val="00A33038"/>
    <w:rsid w:val="00A34D13"/>
    <w:rsid w:val="00A4310D"/>
    <w:rsid w:val="00A55CC2"/>
    <w:rsid w:val="00A578E3"/>
    <w:rsid w:val="00A71DB0"/>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C9E"/>
    <w:rsid w:val="00BE7446"/>
    <w:rsid w:val="00BF4990"/>
    <w:rsid w:val="00C10538"/>
    <w:rsid w:val="00C11777"/>
    <w:rsid w:val="00C12E96"/>
    <w:rsid w:val="00C14312"/>
    <w:rsid w:val="00C270A9"/>
    <w:rsid w:val="00C414E2"/>
    <w:rsid w:val="00C601F9"/>
    <w:rsid w:val="00C63F71"/>
    <w:rsid w:val="00C813CE"/>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0EB8"/>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66175"/>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AA18129F8714E9561E21C8C3B5906" ma:contentTypeVersion="7" ma:contentTypeDescription="Create a new document." ma:contentTypeScope="" ma:versionID="96d2473a321ab700e54aefe9c66d012a">
  <xsd:schema xmlns:xsd="http://www.w3.org/2001/XMLSchema" xmlns:xs="http://www.w3.org/2001/XMLSchema" xmlns:p="http://schemas.microsoft.com/office/2006/metadata/properties" xmlns:ns3="d810550d-27e7-4f57-811c-5932134f6f5f" xmlns:ns4="e932284b-d2a4-4f27-bcd9-2c281b9167a4" targetNamespace="http://schemas.microsoft.com/office/2006/metadata/properties" ma:root="true" ma:fieldsID="e52e5ced36b8765ad05731efa4482d89" ns3:_="" ns4:_="">
    <xsd:import namespace="d810550d-27e7-4f57-811c-5932134f6f5f"/>
    <xsd:import namespace="e932284b-d2a4-4f27-bcd9-2c281b9167a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0550d-27e7-4f57-811c-5932134f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2284b-d2a4-4f27-bcd9-2c281b916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10550d-27e7-4f57-811c-5932134f6f5f" xsi:nil="true"/>
  </documentManagement>
</p:properties>
</file>

<file path=customXml/itemProps1.xml><?xml version="1.0" encoding="utf-8"?>
<ds:datastoreItem xmlns:ds="http://schemas.openxmlformats.org/officeDocument/2006/customXml" ds:itemID="{76DC4324-EE8F-4AFD-996C-8E8EC516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0550d-27e7-4f57-811c-5932134f6f5f"/>
    <ds:schemaRef ds:uri="e932284b-d2a4-4f27-bcd9-2c281b916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infopath/2007/PartnerControls"/>
    <ds:schemaRef ds:uri="http://www.w3.org/XML/1998/namespace"/>
    <ds:schemaRef ds:uri="http://purl.org/dc/elements/1.1/"/>
    <ds:schemaRef ds:uri="e932284b-d2a4-4f27-bcd9-2c281b9167a4"/>
    <ds:schemaRef ds:uri="http://purl.org/dc/dcmitype/"/>
    <ds:schemaRef ds:uri="http://schemas.microsoft.com/office/2006/documentManagement/types"/>
    <ds:schemaRef ds:uri="http://purl.org/dc/terms/"/>
    <ds:schemaRef ds:uri="http://schemas.openxmlformats.org/package/2006/metadata/core-properties"/>
    <ds:schemaRef ds:uri="d810550d-27e7-4f57-811c-5932134f6f5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Nomfundo Motha</cp:lastModifiedBy>
  <cp:revision>2</cp:revision>
  <cp:lastPrinted>2023-11-27T12:10:00Z</cp:lastPrinted>
  <dcterms:created xsi:type="dcterms:W3CDTF">2023-11-27T12:20:00Z</dcterms:created>
  <dcterms:modified xsi:type="dcterms:W3CDTF">2023-11-27T12:20:00Z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0x01010084EAA18129F8714E9561E21C8C3B5906</vt:lpwstr>
  </property>
</Properties>
</file>