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1F3553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w:t>
            </w:r>
            <w:r w:rsidR="00A13DDC">
              <w:rPr>
                <w:rFonts w:ascii="Tahoma" w:hAnsi="Tahoma" w:cs="Tahoma"/>
                <w:b/>
                <w:sz w:val="18"/>
                <w:szCs w:val="18"/>
              </w:rPr>
              <w:t>50</w:t>
            </w:r>
            <w:r w:rsidR="0075069A">
              <w:rPr>
                <w:rFonts w:ascii="Tahoma" w:hAnsi="Tahoma" w:cs="Tahoma"/>
                <w:b/>
                <w:sz w:val="18"/>
                <w:szCs w:val="18"/>
              </w:rPr>
              <w:t>7</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F7011A1"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75069A">
              <w:rPr>
                <w:rFonts w:ascii="Tahoma" w:hAnsi="Tahoma" w:cs="Tahoma"/>
                <w:sz w:val="18"/>
                <w:szCs w:val="18"/>
                <w:lang w:val="en-US"/>
              </w:rPr>
              <w:t xml:space="preserve"> </w:t>
            </w:r>
            <w:r w:rsidR="0075069A" w:rsidRPr="0075069A">
              <w:rPr>
                <w:rFonts w:ascii="Tahoma" w:hAnsi="Tahoma" w:cs="Tahoma"/>
                <w:sz w:val="18"/>
                <w:szCs w:val="18"/>
                <w:lang w:val="en-US"/>
              </w:rPr>
              <w:t>Clinical Psychologist</w:t>
            </w:r>
            <w:r w:rsidR="0075069A">
              <w:rPr>
                <w:rFonts w:ascii="Tahoma" w:hAnsi="Tahoma" w:cs="Tahoma"/>
                <w:sz w:val="18"/>
                <w:szCs w:val="18"/>
                <w:lang w:val="en-US"/>
              </w:rPr>
              <w:t xml:space="preserve"> </w:t>
            </w:r>
            <w:r w:rsidR="00D11C96">
              <w:rPr>
                <w:rFonts w:ascii="Tahoma" w:hAnsi="Tahoma" w:cs="Tahoma"/>
                <w:sz w:val="18"/>
                <w:szCs w:val="18"/>
                <w:lang w:val="en-US"/>
              </w:rPr>
              <w:t>to conduct a detail</w:t>
            </w:r>
            <w:r w:rsidR="008605F2">
              <w:rPr>
                <w:rFonts w:ascii="Tahoma" w:hAnsi="Tahoma" w:cs="Tahoma"/>
                <w:sz w:val="18"/>
                <w:szCs w:val="18"/>
                <w:lang w:val="en-US"/>
              </w:rPr>
              <w:t>ed</w:t>
            </w:r>
            <w:r w:rsidR="00D11C96">
              <w:rPr>
                <w:rFonts w:ascii="Tahoma" w:hAnsi="Tahoma" w:cs="Tahoma"/>
                <w:sz w:val="18"/>
                <w:szCs w:val="18"/>
                <w:lang w:val="en-US"/>
              </w:rPr>
              <w:t xml:space="preserve"> </w:t>
            </w:r>
            <w:r w:rsidR="00A13DDC">
              <w:rPr>
                <w:rFonts w:ascii="Tahoma" w:hAnsi="Tahoma" w:cs="Tahoma"/>
                <w:sz w:val="18"/>
                <w:szCs w:val="18"/>
                <w:lang w:val="en-US"/>
              </w:rPr>
              <w:t>assessment on RAF</w:t>
            </w:r>
            <w:r w:rsidR="00D11C96">
              <w:rPr>
                <w:rFonts w:ascii="Tahoma" w:hAnsi="Tahoma" w:cs="Tahoma"/>
                <w:sz w:val="18"/>
                <w:szCs w:val="18"/>
                <w:lang w:val="en-US"/>
              </w:rPr>
              <w:t xml:space="preserve">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02B98ED" w:rsidR="00606057" w:rsidRPr="00766895" w:rsidRDefault="00A13DDC" w:rsidP="0043222B">
            <w:pPr>
              <w:spacing w:line="360" w:lineRule="auto"/>
              <w:rPr>
                <w:rFonts w:ascii="Tahoma" w:hAnsi="Tahoma" w:cs="Tahoma"/>
                <w:b/>
                <w:bCs/>
                <w:sz w:val="18"/>
                <w:szCs w:val="18"/>
              </w:rPr>
            </w:pPr>
            <w:r>
              <w:rPr>
                <w:rFonts w:ascii="Tahoma" w:hAnsi="Tahoma" w:cs="Tahoma"/>
                <w:b/>
                <w:bCs/>
                <w:sz w:val="18"/>
                <w:szCs w:val="18"/>
              </w:rPr>
              <w:t>2</w:t>
            </w:r>
            <w:r w:rsidR="002F5657">
              <w:rPr>
                <w:rFonts w:ascii="Tahoma" w:hAnsi="Tahoma" w:cs="Tahoma"/>
                <w:b/>
                <w:bCs/>
                <w:sz w:val="18"/>
                <w:szCs w:val="18"/>
              </w:rPr>
              <w:t>0</w:t>
            </w:r>
            <w:r w:rsidR="0013057B">
              <w:rPr>
                <w:rFonts w:ascii="Tahoma" w:hAnsi="Tahoma" w:cs="Tahoma"/>
                <w:b/>
                <w:bCs/>
                <w:sz w:val="18"/>
                <w:szCs w:val="18"/>
              </w:rPr>
              <w:t xml:space="preserve"> February</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FB2BF17" w:rsidR="00EB431B" w:rsidRPr="00766895" w:rsidRDefault="002F5657" w:rsidP="00D325A0">
            <w:pPr>
              <w:spacing w:line="360" w:lineRule="auto"/>
              <w:rPr>
                <w:rFonts w:ascii="Tahoma" w:hAnsi="Tahoma" w:cs="Tahoma"/>
                <w:b/>
                <w:bCs/>
                <w:sz w:val="18"/>
                <w:szCs w:val="18"/>
              </w:rPr>
            </w:pPr>
            <w:r>
              <w:rPr>
                <w:rFonts w:ascii="Tahoma" w:hAnsi="Tahoma" w:cs="Tahoma"/>
                <w:b/>
                <w:bCs/>
                <w:sz w:val="18"/>
                <w:szCs w:val="18"/>
              </w:rPr>
              <w:t>Monday, 02</w:t>
            </w:r>
            <w:r w:rsidR="00E27872">
              <w:rPr>
                <w:rFonts w:ascii="Tahoma" w:hAnsi="Tahoma" w:cs="Tahoma"/>
                <w:b/>
                <w:bCs/>
                <w:sz w:val="18"/>
                <w:szCs w:val="18"/>
              </w:rPr>
              <w:t xml:space="preserve">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068A360F"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an Ophthalmologist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5B8C5853" w14:textId="77777777" w:rsidR="00A13DDC" w:rsidRPr="00A13DDC" w:rsidRDefault="00A13DDC" w:rsidP="00A13DDC">
      <w:pPr>
        <w:spacing w:line="360" w:lineRule="auto"/>
        <w:ind w:left="360"/>
        <w:rPr>
          <w:rFonts w:ascii="Tahoma" w:hAnsi="Tahoma" w:cs="Tahoma"/>
          <w:b/>
          <w:sz w:val="18"/>
          <w:szCs w:val="18"/>
        </w:rPr>
      </w:pPr>
      <w:bookmarkStart w:id="18" w:name="_Toc2171289"/>
      <w:bookmarkEnd w:id="6"/>
      <w:bookmarkEnd w:id="7"/>
      <w:bookmarkEnd w:id="8"/>
      <w:bookmarkEnd w:id="9"/>
      <w:bookmarkEnd w:id="10"/>
      <w:bookmarkEnd w:id="11"/>
      <w:r w:rsidRPr="00A13DDC">
        <w:rPr>
          <w:rFonts w:ascii="Tahoma" w:hAnsi="Tahoma" w:cs="Tahoma"/>
          <w:b/>
          <w:sz w:val="18"/>
          <w:szCs w:val="18"/>
        </w:rPr>
        <w:t>The required expert should</w:t>
      </w:r>
    </w:p>
    <w:p w14:paraId="1A8529F7"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Assess the claimant.</w:t>
      </w:r>
    </w:p>
    <w:p w14:paraId="01A7AECB"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 xml:space="preserve">Compile a medico legal report to assist with estimating past and future value of loss of earnings. </w:t>
      </w:r>
    </w:p>
    <w:p w14:paraId="18E94EDB"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Attend to joint minutes together with the Plaintiff’s attorneys Clinical Psychologist.</w:t>
      </w:r>
    </w:p>
    <w:p w14:paraId="2DF45BB8" w14:textId="77777777" w:rsidR="00A13DDC" w:rsidRPr="0075069A" w:rsidRDefault="00A13DDC"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Testify in court.</w:t>
      </w:r>
    </w:p>
    <w:p w14:paraId="76C2EC99" w14:textId="771D86EC" w:rsidR="004F2617" w:rsidRPr="00C05A0A" w:rsidRDefault="004F2617" w:rsidP="009D18B9">
      <w:pPr>
        <w:pStyle w:val="ListParagraph"/>
        <w:numPr>
          <w:ilvl w:val="0"/>
          <w:numId w:val="14"/>
        </w:numPr>
        <w:rPr>
          <w:rFonts w:ascii="Tahoma" w:hAnsi="Tahoma" w:cs="Tahoma"/>
          <w:bCs/>
          <w:sz w:val="18"/>
          <w:szCs w:val="18"/>
        </w:rPr>
      </w:pPr>
      <w:r>
        <w:rPr>
          <w:rFonts w:ascii="Tahoma" w:hAnsi="Tahoma" w:cs="Tahoma"/>
          <w:bCs/>
          <w:sz w:val="18"/>
          <w:szCs w:val="18"/>
        </w:rPr>
        <w:t xml:space="preserve">The </w:t>
      </w:r>
      <w:r w:rsidR="0075069A" w:rsidRPr="0075069A">
        <w:rPr>
          <w:rFonts w:ascii="Tahoma" w:hAnsi="Tahoma" w:cs="Tahoma"/>
          <w:bCs/>
          <w:sz w:val="18"/>
          <w:szCs w:val="18"/>
        </w:rPr>
        <w:t>Clinical Psychologist</w:t>
      </w:r>
      <w:r w:rsidR="0075069A">
        <w:rPr>
          <w:rFonts w:ascii="Tahoma" w:hAnsi="Tahoma" w:cs="Tahoma"/>
          <w:bCs/>
          <w:sz w:val="18"/>
          <w:szCs w:val="18"/>
        </w:rPr>
        <w:t xml:space="preserve"> </w:t>
      </w:r>
      <w:r>
        <w:rPr>
          <w:rFonts w:ascii="Tahoma" w:hAnsi="Tahoma" w:cs="Tahoma"/>
          <w:bCs/>
          <w:sz w:val="18"/>
          <w:szCs w:val="18"/>
        </w:rPr>
        <w:t>must be based in Limpopo (Polokwane)</w:t>
      </w:r>
    </w:p>
    <w:p w14:paraId="3EA36346" w14:textId="41DB3E7D"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Background Information</w:t>
      </w:r>
    </w:p>
    <w:p w14:paraId="1D24510B" w14:textId="77777777" w:rsidR="00A13DDC" w:rsidRPr="00A13DDC"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Review of medical, school, and developmental history.</w:t>
      </w:r>
    </w:p>
    <w:p w14:paraId="1545D9F5" w14:textId="77777777" w:rsidR="00A13DDC" w:rsidRPr="00A13DDC"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Obtaining collateral information and relevant documents from parents/guardians, teachers, and available school reports, both pre- and post-accident.</w:t>
      </w:r>
    </w:p>
    <w:p w14:paraId="7DEF4272" w14:textId="2EEFDFA8" w:rsidR="00A13DDC" w:rsidRPr="0075069A"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Pre- and post-accident</w:t>
      </w:r>
      <w:r w:rsidR="0075069A">
        <w:rPr>
          <w:rFonts w:ascii="Tahoma" w:hAnsi="Tahoma" w:cs="Tahoma"/>
          <w:bCs/>
          <w:sz w:val="18"/>
          <w:szCs w:val="18"/>
        </w:rPr>
        <w:t xml:space="preserve"> </w:t>
      </w:r>
      <w:r w:rsidR="0075069A" w:rsidRPr="00A13DDC">
        <w:rPr>
          <w:rFonts w:ascii="Tahoma" w:hAnsi="Tahoma" w:cs="Tahoma"/>
          <w:bCs/>
          <w:sz w:val="18"/>
          <w:szCs w:val="18"/>
        </w:rPr>
        <w:t>behaviour</w:t>
      </w:r>
      <w:r w:rsidRPr="00A13DDC">
        <w:rPr>
          <w:rFonts w:ascii="Tahoma" w:hAnsi="Tahoma" w:cs="Tahoma"/>
          <w:bCs/>
          <w:sz w:val="18"/>
          <w:szCs w:val="18"/>
        </w:rPr>
        <w:t>.</w:t>
      </w:r>
    </w:p>
    <w:p w14:paraId="5ED518AE" w14:textId="3736DBB8" w:rsidR="00A13DDC" w:rsidRPr="00A13DDC" w:rsidRDefault="00A13DDC" w:rsidP="00A13DDC">
      <w:pPr>
        <w:spacing w:before="100" w:after="100" w:line="360" w:lineRule="auto"/>
        <w:ind w:left="360"/>
        <w:outlineLvl w:val="2"/>
        <w:rPr>
          <w:rFonts w:ascii="Tahoma" w:hAnsi="Tahoma" w:cs="Tahoma"/>
          <w:b/>
          <w:bCs/>
          <w:sz w:val="18"/>
          <w:szCs w:val="18"/>
        </w:rPr>
      </w:pPr>
      <w:r>
        <w:rPr>
          <w:rFonts w:ascii="Tahoma" w:hAnsi="Tahoma" w:cs="Tahoma"/>
          <w:b/>
          <w:bCs/>
          <w:sz w:val="18"/>
          <w:szCs w:val="18"/>
        </w:rPr>
        <w:t xml:space="preserve"> </w:t>
      </w:r>
      <w:r w:rsidRPr="00A13DDC">
        <w:rPr>
          <w:rFonts w:ascii="Tahoma" w:hAnsi="Tahoma" w:cs="Tahoma"/>
          <w:b/>
          <w:bCs/>
          <w:sz w:val="18"/>
          <w:szCs w:val="18"/>
        </w:rPr>
        <w:t>Clinical Interview</w:t>
      </w:r>
    </w:p>
    <w:p w14:paraId="3020C26C" w14:textId="77777777" w:rsidR="00A13DDC" w:rsidRPr="00A13DDC"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With the claimant and parents/guardians.</w:t>
      </w:r>
    </w:p>
    <w:p w14:paraId="456C2821" w14:textId="33654C8B" w:rsidR="0075069A" w:rsidRPr="0075069A"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Exploring developmental milestones, family circumstances, personality, and behaviour before and after the accident.</w:t>
      </w:r>
    </w:p>
    <w:p w14:paraId="60C10690" w14:textId="77777777" w:rsidR="0075069A" w:rsidRPr="00C05A0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Cognitive / Intellectual Assessment</w:t>
      </w:r>
    </w:p>
    <w:p w14:paraId="6825BA1F"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Standardised psychometric tests (e.g., IQ tests, memory, attention, processing speed).</w:t>
      </w:r>
    </w:p>
    <w:p w14:paraId="0A62221D"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Establishing whether cognitive abilities have been affected by the accident.</w:t>
      </w:r>
    </w:p>
    <w:p w14:paraId="71C366C2" w14:textId="77777777" w:rsid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Identifying strengths and weaknesses relevant to learning and future studies.</w:t>
      </w:r>
    </w:p>
    <w:p w14:paraId="5AE0AC61" w14:textId="77777777" w:rsidR="0075069A" w:rsidRPr="00C05A0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Educational / Scholastic Assessment</w:t>
      </w:r>
    </w:p>
    <w:p w14:paraId="7841F7A7"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Testing in areas such as reading, writing, spelling, mathematics, and comprehension.</w:t>
      </w:r>
    </w:p>
    <w:p w14:paraId="15C6A986"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Determining current grade or age level versus expected grade or age level.</w:t>
      </w:r>
    </w:p>
    <w:p w14:paraId="74078D34" w14:textId="72A2AF8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Identifying any learning delays or barriers.</w:t>
      </w:r>
    </w:p>
    <w:p w14:paraId="090A98D1" w14:textId="77777777" w:rsidR="00A13DDC" w:rsidRPr="00C05A0A" w:rsidRDefault="00A13DDC" w:rsidP="00A13DDC">
      <w:pPr>
        <w:spacing w:before="100" w:after="100" w:line="360" w:lineRule="auto"/>
        <w:outlineLvl w:val="2"/>
        <w:rPr>
          <w:rFonts w:ascii="Tahoma" w:hAnsi="Tahoma" w:cs="Tahoma"/>
          <w:b/>
          <w:bCs/>
          <w:sz w:val="18"/>
          <w:szCs w:val="18"/>
        </w:rPr>
      </w:pPr>
      <w:r w:rsidRPr="00C05A0A">
        <w:rPr>
          <w:rFonts w:ascii="Tahoma" w:hAnsi="Tahoma" w:cs="Tahoma"/>
          <w:b/>
          <w:bCs/>
          <w:sz w:val="18"/>
          <w:szCs w:val="18"/>
        </w:rPr>
        <w:t xml:space="preserve">      </w:t>
      </w:r>
      <w:r w:rsidRPr="00A13DDC">
        <w:rPr>
          <w:rFonts w:ascii="Tahoma" w:hAnsi="Tahoma" w:cs="Tahoma"/>
          <w:b/>
          <w:bCs/>
          <w:sz w:val="18"/>
          <w:szCs w:val="18"/>
        </w:rPr>
        <w:t>Neuropsychological Screening</w:t>
      </w:r>
      <w:r w:rsidRPr="00C05A0A">
        <w:rPr>
          <w:rFonts w:ascii="Tahoma" w:hAnsi="Tahoma" w:cs="Tahoma"/>
          <w:b/>
          <w:bCs/>
          <w:sz w:val="18"/>
          <w:szCs w:val="18"/>
          <w:u w:val="single"/>
        </w:rPr>
        <w:t xml:space="preserve"> </w:t>
      </w:r>
    </w:p>
    <w:p w14:paraId="76954E8F" w14:textId="77777777" w:rsidR="00A13DDC" w:rsidRPr="00A13DDC" w:rsidRDefault="00A13DDC" w:rsidP="009D18B9">
      <w:pPr>
        <w:pStyle w:val="ListParagraph"/>
        <w:numPr>
          <w:ilvl w:val="0"/>
          <w:numId w:val="14"/>
        </w:numPr>
        <w:rPr>
          <w:rFonts w:ascii="Tahoma" w:hAnsi="Tahoma" w:cs="Tahoma"/>
          <w:bCs/>
          <w:sz w:val="18"/>
          <w:szCs w:val="18"/>
        </w:rPr>
      </w:pPr>
      <w:r w:rsidRPr="00A13DDC">
        <w:rPr>
          <w:rFonts w:ascii="Tahoma" w:hAnsi="Tahoma" w:cs="Tahoma"/>
          <w:bCs/>
          <w:sz w:val="18"/>
          <w:szCs w:val="18"/>
        </w:rPr>
        <w:t>Assessment of concentration, executive functioning, and problem-solving.</w:t>
      </w:r>
    </w:p>
    <w:p w14:paraId="652BDC9D" w14:textId="77777777" w:rsidR="00A13DDC" w:rsidRPr="0075069A" w:rsidRDefault="00A13DDC" w:rsidP="009D18B9">
      <w:pPr>
        <w:pStyle w:val="ListParagraph"/>
        <w:numPr>
          <w:ilvl w:val="0"/>
          <w:numId w:val="14"/>
        </w:numPr>
        <w:spacing w:line="360" w:lineRule="auto"/>
        <w:rPr>
          <w:rFonts w:ascii="Tahoma" w:hAnsi="Tahoma" w:cs="Tahoma"/>
          <w:b/>
          <w:bCs/>
          <w:sz w:val="18"/>
          <w:szCs w:val="18"/>
          <w:u w:val="single"/>
        </w:rPr>
      </w:pPr>
      <w:r w:rsidRPr="00A13DDC">
        <w:rPr>
          <w:rFonts w:ascii="Tahoma" w:hAnsi="Tahoma" w:cs="Tahoma"/>
          <w:bCs/>
          <w:sz w:val="18"/>
          <w:szCs w:val="18"/>
        </w:rPr>
        <w:t>Useful if there was a head injury or suspected neurological involvement.</w:t>
      </w:r>
    </w:p>
    <w:p w14:paraId="101BB831" w14:textId="77777777" w:rsidR="0075069A" w:rsidRPr="00A13DDC" w:rsidRDefault="0075069A" w:rsidP="0075069A">
      <w:pPr>
        <w:pStyle w:val="ListParagraph"/>
        <w:spacing w:line="360" w:lineRule="auto"/>
        <w:rPr>
          <w:rFonts w:ascii="Tahoma" w:hAnsi="Tahoma" w:cs="Tahoma"/>
          <w:b/>
          <w:bCs/>
          <w:sz w:val="18"/>
          <w:szCs w:val="18"/>
          <w:u w:val="single"/>
        </w:rPr>
      </w:pPr>
    </w:p>
    <w:p w14:paraId="4FE21E1D" w14:textId="77777777" w:rsidR="0075069A" w:rsidRPr="00C05A0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Emotional and Behavioural Assessment</w:t>
      </w:r>
    </w:p>
    <w:p w14:paraId="30AA28EF"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lastRenderedPageBreak/>
        <w:t>Questionnaires, projective media and/or interviews to assess self-esteem, mood, anxiety, motivation.</w:t>
      </w:r>
    </w:p>
    <w:p w14:paraId="0AF12FF8"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Evaluating whether psychological/emotional difficulties impact learning and functioning.</w:t>
      </w:r>
    </w:p>
    <w:p w14:paraId="61C9FA15"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 xml:space="preserve">Considering the possible impact of treatment. </w:t>
      </w:r>
    </w:p>
    <w:p w14:paraId="7A4B0E0A" w14:textId="77777777" w:rsidR="0075069A" w:rsidRPr="00C05A0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 xml:space="preserve">Opinion on Likely Educational Attainment and Support Required </w:t>
      </w:r>
    </w:p>
    <w:p w14:paraId="2C66977C"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Considering likely pre-accident academic trajectory.</w:t>
      </w:r>
    </w:p>
    <w:p w14:paraId="76CE41A4"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Comparing current functioning and limitations with likely pre-accident outcomes.</w:t>
      </w:r>
    </w:p>
    <w:p w14:paraId="61B9295C"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 xml:space="preserve">Formulating realistic educational pathways. </w:t>
      </w:r>
    </w:p>
    <w:p w14:paraId="1774A722"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Recommending suitable accommodations or support (e.g., remedial assistance, special concessions).</w:t>
      </w:r>
    </w:p>
    <w:p w14:paraId="713C8EBA"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 xml:space="preserve">Commenting on whether the </w:t>
      </w:r>
      <w:proofErr w:type="spellStart"/>
      <w:r w:rsidRPr="0075069A">
        <w:rPr>
          <w:rFonts w:ascii="Tahoma" w:hAnsi="Tahoma" w:cs="Tahoma"/>
          <w:bCs/>
          <w:sz w:val="18"/>
          <w:szCs w:val="18"/>
        </w:rPr>
        <w:t>Injured’s</w:t>
      </w:r>
      <w:proofErr w:type="spellEnd"/>
      <w:r w:rsidRPr="0075069A">
        <w:rPr>
          <w:rFonts w:ascii="Tahoma" w:hAnsi="Tahoma" w:cs="Tahoma"/>
          <w:bCs/>
          <w:sz w:val="18"/>
          <w:szCs w:val="18"/>
        </w:rPr>
        <w:t xml:space="preserve"> school performance and progression were negatively affected post-accident.</w:t>
      </w:r>
    </w:p>
    <w:p w14:paraId="17F25087" w14:textId="48B06E8B"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Projecting likely educational attainment with and without the accident.</w:t>
      </w:r>
    </w:p>
    <w:p w14:paraId="4607FE4B" w14:textId="77777777" w:rsidR="0075069A" w:rsidRPr="0075069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Report Writing</w:t>
      </w:r>
    </w:p>
    <w:p w14:paraId="3BB36660"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Comprehensive medico-legal report summarising findings.</w:t>
      </w:r>
    </w:p>
    <w:p w14:paraId="6C6B56A0" w14:textId="77777777" w:rsidR="0075069A" w:rsidRPr="0075069A"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 xml:space="preserve">Clear conclusions about how the injuries affect education based on factual, evidence-driven information about the claimant and the wider educational context in South Africa. </w:t>
      </w:r>
    </w:p>
    <w:p w14:paraId="7B80163F" w14:textId="4F3CB70F" w:rsidR="0075069A" w:rsidRPr="009D18B9" w:rsidRDefault="0075069A" w:rsidP="009D18B9">
      <w:pPr>
        <w:pStyle w:val="ListParagraph"/>
        <w:numPr>
          <w:ilvl w:val="0"/>
          <w:numId w:val="14"/>
        </w:numPr>
        <w:rPr>
          <w:rFonts w:ascii="Tahoma" w:hAnsi="Tahoma" w:cs="Tahoma"/>
          <w:bCs/>
          <w:sz w:val="18"/>
          <w:szCs w:val="18"/>
        </w:rPr>
      </w:pPr>
      <w:r w:rsidRPr="0075069A">
        <w:rPr>
          <w:rFonts w:ascii="Tahoma" w:hAnsi="Tahoma" w:cs="Tahoma"/>
          <w:bCs/>
          <w:sz w:val="18"/>
          <w:szCs w:val="18"/>
        </w:rPr>
        <w:t>Recommendations regarding education that assist the court/RAF in quantifying loss of earnings and future employability.</w:t>
      </w:r>
    </w:p>
    <w:p w14:paraId="358AFC9C" w14:textId="38E97EE3" w:rsidR="0075069A" w:rsidRPr="0075069A" w:rsidRDefault="0075069A" w:rsidP="0075069A">
      <w:pPr>
        <w:spacing w:before="100" w:after="100" w:line="360" w:lineRule="auto"/>
        <w:ind w:left="360"/>
        <w:outlineLvl w:val="2"/>
        <w:rPr>
          <w:rFonts w:ascii="Tahoma" w:hAnsi="Tahoma" w:cs="Tahoma"/>
          <w:b/>
          <w:sz w:val="18"/>
          <w:szCs w:val="18"/>
          <w:u w:val="single"/>
        </w:rPr>
      </w:pPr>
      <w:r w:rsidRPr="0075069A">
        <w:rPr>
          <w:rFonts w:ascii="Tahoma" w:hAnsi="Tahoma" w:cs="Tahoma"/>
          <w:b/>
          <w:bCs/>
          <w:sz w:val="18"/>
          <w:szCs w:val="18"/>
        </w:rPr>
        <w:t>The type of information the Clinical Psychologist would likely testify about:</w:t>
      </w:r>
    </w:p>
    <w:p w14:paraId="3009AC96" w14:textId="77777777" w:rsidR="0075069A" w:rsidRPr="0075069A" w:rsidRDefault="0075069A" w:rsidP="0075069A">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Qualifications and Role</w:t>
      </w:r>
    </w:p>
    <w:p w14:paraId="7E2ECE01"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Their professional background, qualifications, and experience.</w:t>
      </w:r>
    </w:p>
    <w:p w14:paraId="7A1BF458"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The purpose of their assessment: to evaluate the educational likelihoods of the claimant and how the accident affected.</w:t>
      </w:r>
    </w:p>
    <w:p w14:paraId="36490E14" w14:textId="61FB2088" w:rsidR="0075069A" w:rsidRPr="009D18B9" w:rsidRDefault="0075069A" w:rsidP="009D18B9">
      <w:pPr>
        <w:spacing w:before="100" w:after="100" w:line="360" w:lineRule="auto"/>
        <w:ind w:left="360"/>
        <w:outlineLvl w:val="2"/>
        <w:rPr>
          <w:rFonts w:ascii="Tahoma" w:hAnsi="Tahoma" w:cs="Tahoma"/>
          <w:b/>
          <w:bCs/>
          <w:sz w:val="18"/>
          <w:szCs w:val="18"/>
        </w:rPr>
      </w:pPr>
      <w:r w:rsidRPr="0075069A">
        <w:rPr>
          <w:rFonts w:ascii="Tahoma" w:hAnsi="Tahoma" w:cs="Tahoma"/>
          <w:b/>
          <w:bCs/>
          <w:sz w:val="18"/>
          <w:szCs w:val="18"/>
        </w:rPr>
        <w:t>Background of the Claimant</w:t>
      </w:r>
    </w:p>
    <w:p w14:paraId="2BADDED9"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Age of claimant at the time of the accident and now.</w:t>
      </w:r>
    </w:p>
    <w:p w14:paraId="484AEC8B"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Pre-accident developmental, medical, educational, and family history.</w:t>
      </w:r>
    </w:p>
    <w:p w14:paraId="1EF10321" w14:textId="0FA461B6"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Any socio-economic factors relevant to schooling trajectory.</w:t>
      </w:r>
    </w:p>
    <w:p w14:paraId="1F11D1BF"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Nature of the Injuries</w:t>
      </w:r>
    </w:p>
    <w:p w14:paraId="09A84E2D"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Injuries sustained in the accident (especially head injuries, orthopedic injuries, or psychological trauma).</w:t>
      </w:r>
    </w:p>
    <w:p w14:paraId="18CBDA42"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How those injuries are typically expected to impact learning and development.</w:t>
      </w:r>
    </w:p>
    <w:p w14:paraId="6D71F9A4" w14:textId="72482B22"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Referral to medical records or other experts (e.g., Neurosurgeon, ).</w:t>
      </w:r>
    </w:p>
    <w:p w14:paraId="48830C9A"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Assessment Conducted</w:t>
      </w:r>
    </w:p>
    <w:p w14:paraId="66874BE1"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Tests administered (e.g., IQ test, scholastic achievement test, attention/concentration measures) with a clear indication to the choice of assessment battery and norms used.</w:t>
      </w:r>
    </w:p>
    <w:p w14:paraId="6F76F211"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Observations during the assessment (motivation, behaviour, cooperation, fatigue).</w:t>
      </w:r>
    </w:p>
    <w:p w14:paraId="217A7A48" w14:textId="2A75E62D"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Reliability and validity of results.</w:t>
      </w:r>
    </w:p>
    <w:p w14:paraId="72B1D8FF"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Findings</w:t>
      </w:r>
    </w:p>
    <w:p w14:paraId="2BDE9B5C"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Cognitive functioning (intelligence, memory, processing speed, concentration).</w:t>
      </w:r>
    </w:p>
    <w:p w14:paraId="15FAE17B"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Academic performance (reading, writing, maths, comprehension compared to peers).</w:t>
      </w:r>
    </w:p>
    <w:p w14:paraId="54A8E2FB"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Emotional/psychological functioning (anxiety, depression, low confidence, behavioural difficulties).</w:t>
      </w:r>
    </w:p>
    <w:p w14:paraId="3FCB217D" w14:textId="5E8F6DAB"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Any regression or delay compared to expected developmental milestones.</w:t>
      </w:r>
    </w:p>
    <w:p w14:paraId="6ED099BD"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Impact of Accident</w:t>
      </w:r>
    </w:p>
    <w:p w14:paraId="53A6E5FD"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 xml:space="preserve">Pre- vs. post-accident comparison of  cognitive behavioural </w:t>
      </w:r>
    </w:p>
    <w:p w14:paraId="44D1FE57"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Whether the claimant is likely to have required remedial classes, repetition of grades, or dropped out earlier than expected.</w:t>
      </w:r>
    </w:p>
    <w:p w14:paraId="47172ADE"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Whether the accident limited access to higher education or training opportunities.</w:t>
      </w:r>
    </w:p>
    <w:p w14:paraId="2C822180" w14:textId="77777777" w:rsidR="009D18B9" w:rsidRDefault="009D18B9" w:rsidP="009D18B9">
      <w:pPr>
        <w:spacing w:before="100" w:after="100" w:line="360" w:lineRule="auto"/>
        <w:outlineLvl w:val="2"/>
        <w:rPr>
          <w:rFonts w:ascii="Tahoma" w:hAnsi="Tahoma" w:cs="Tahoma"/>
          <w:sz w:val="18"/>
          <w:szCs w:val="18"/>
        </w:rPr>
      </w:pPr>
    </w:p>
    <w:p w14:paraId="15E51D4F" w14:textId="2DFBB601"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Projected Educational and Career Pathways</w:t>
      </w:r>
    </w:p>
    <w:p w14:paraId="11A20EAF"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lastRenderedPageBreak/>
        <w:t xml:space="preserve">What the claimant would likely have achieved without the accident (e.g., Matric + tertiary qualification with clear, evidence-driven reasoning behind the opinion </w:t>
      </w:r>
    </w:p>
    <w:p w14:paraId="1119FEC8"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What the claimant is now realistically capable of achieving with the accident (e.g., limited to basic schooling, restricted career choices, lower-skilled employment).</w:t>
      </w:r>
    </w:p>
    <w:p w14:paraId="2D5002C4"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 xml:space="preserve">Whether or not the accident resulted in a delay in completing their education. </w:t>
      </w:r>
    </w:p>
    <w:p w14:paraId="7186F74F"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Recommendations</w:t>
      </w:r>
    </w:p>
    <w:p w14:paraId="61CA974B"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Emotional support required (remedial classes, special concessions).</w:t>
      </w:r>
    </w:p>
    <w:p w14:paraId="0DC24E3F" w14:textId="7D65B8E8"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Referral to other experts (industrial psychologist, occupational therapist, neurologist) for final quantification of loss of earnings.</w:t>
      </w:r>
    </w:p>
    <w:p w14:paraId="72408599" w14:textId="77777777" w:rsidR="0075069A" w:rsidRPr="009D18B9" w:rsidRDefault="0075069A" w:rsidP="009D18B9">
      <w:pPr>
        <w:spacing w:before="100" w:after="100" w:line="360" w:lineRule="auto"/>
        <w:ind w:left="360"/>
        <w:outlineLvl w:val="2"/>
        <w:rPr>
          <w:rFonts w:ascii="Tahoma" w:hAnsi="Tahoma" w:cs="Tahoma"/>
          <w:b/>
          <w:bCs/>
          <w:sz w:val="18"/>
          <w:szCs w:val="18"/>
        </w:rPr>
      </w:pPr>
      <w:r w:rsidRPr="009D18B9">
        <w:rPr>
          <w:rFonts w:ascii="Tahoma" w:hAnsi="Tahoma" w:cs="Tahoma"/>
          <w:b/>
          <w:bCs/>
          <w:sz w:val="18"/>
          <w:szCs w:val="18"/>
        </w:rPr>
        <w:t>Conclusion</w:t>
      </w:r>
    </w:p>
    <w:p w14:paraId="3052400F"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Clear, impartial, evidence-driven summary of how the accident compromised educational attainment (if at all).</w:t>
      </w:r>
    </w:p>
    <w:p w14:paraId="5E70547E" w14:textId="77777777" w:rsidR="0075069A" w:rsidRPr="009D18B9" w:rsidRDefault="0075069A" w:rsidP="009D18B9">
      <w:pPr>
        <w:pStyle w:val="ListParagraph"/>
        <w:numPr>
          <w:ilvl w:val="0"/>
          <w:numId w:val="14"/>
        </w:numPr>
        <w:rPr>
          <w:rFonts w:ascii="Tahoma" w:hAnsi="Tahoma" w:cs="Tahoma"/>
          <w:bCs/>
          <w:sz w:val="18"/>
          <w:szCs w:val="18"/>
        </w:rPr>
      </w:pPr>
      <w:r w:rsidRPr="009D18B9">
        <w:rPr>
          <w:rFonts w:ascii="Tahoma" w:hAnsi="Tahoma" w:cs="Tahoma"/>
          <w:bCs/>
          <w:sz w:val="18"/>
          <w:szCs w:val="18"/>
        </w:rPr>
        <w:t>Comparison of likely pre- and post-accident educational attainment.</w:t>
      </w:r>
    </w:p>
    <w:p w14:paraId="166645D6" w14:textId="77777777" w:rsidR="0075069A" w:rsidRDefault="0075069A" w:rsidP="0075069A"/>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9D18B9">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626D9B38"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 xml:space="preserve">for the </w:t>
            </w:r>
            <w:r w:rsidR="009D18B9">
              <w:rPr>
                <w:rFonts w:ascii="Tahoma" w:eastAsia="Calibri" w:hAnsi="Tahoma" w:cs="Tahoma"/>
                <w:sz w:val="18"/>
                <w:szCs w:val="18"/>
                <w:lang w:val="en-GB" w:eastAsia="en-ZA"/>
              </w:rPr>
              <w:t>Clinical Psychologist</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D18B9">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D18B9">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9D18B9">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62FB7A9" w:rsidR="002E183A" w:rsidRDefault="00382AE0"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Assessment of the Claimant</w:t>
            </w:r>
            <w:r w:rsidR="000B00A8">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2E4E027E" w:rsidR="002E183A" w:rsidRPr="000B00A8" w:rsidRDefault="006A25C9" w:rsidP="002B79AA">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Clinical Psychologist</w:t>
            </w:r>
            <w:r w:rsidR="00382AE0">
              <w:rPr>
                <w:rFonts w:ascii="Tahoma" w:hAnsi="Tahoma" w:cs="Tahoma"/>
                <w:sz w:val="18"/>
                <w:szCs w:val="18"/>
                <w:lang w:val="en-US"/>
              </w:rPr>
              <w:t xml:space="preserve"> testifying in court</w:t>
            </w:r>
            <w:r w:rsidR="000B00A8" w:rsidRPr="000B00A8">
              <w:rPr>
                <w:rFonts w:ascii="Tahoma" w:hAnsi="Tahoma" w:cs="Tahoma"/>
                <w:sz w:val="18"/>
                <w:szCs w:val="18"/>
                <w:lang w:val="en-US"/>
              </w:rPr>
              <w:t xml:space="preserve">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4CFD31A1" w:rsidR="002E183A" w:rsidRPr="000B00A8" w:rsidRDefault="00382AE0" w:rsidP="002B79AA">
            <w:pPr>
              <w:spacing w:before="100" w:beforeAutospacing="1" w:after="100" w:afterAutospacing="1"/>
              <w:outlineLvl w:val="0"/>
              <w:rPr>
                <w:rFonts w:ascii="Tahoma" w:hAnsi="Tahoma" w:cs="Tahoma"/>
                <w:kern w:val="36"/>
                <w:sz w:val="18"/>
                <w:szCs w:val="18"/>
              </w:rPr>
            </w:pPr>
            <w:r w:rsidRPr="00C05A0A">
              <w:rPr>
                <w:rFonts w:ascii="Tahoma" w:hAnsi="Tahoma" w:cs="Tahoma"/>
                <w:sz w:val="18"/>
                <w:szCs w:val="18"/>
              </w:rPr>
              <w:t>Comprehensive medico-legal</w:t>
            </w:r>
            <w:r>
              <w:rPr>
                <w:rFonts w:ascii="Tahoma" w:hAnsi="Tahoma" w:cs="Tahoma"/>
                <w:sz w:val="18"/>
                <w:szCs w:val="18"/>
              </w:rPr>
              <w:t xml:space="preserve"> Report</w:t>
            </w:r>
            <w:r w:rsidRPr="00C05A0A">
              <w:rPr>
                <w:rFonts w:ascii="Tahoma" w:hAnsi="Tahoma" w:cs="Tahoma"/>
                <w:sz w:val="18"/>
                <w:szCs w:val="18"/>
              </w:rPr>
              <w:t xml:space="preserve"> </w:t>
            </w:r>
            <w:r w:rsidRPr="000B00A8">
              <w:rPr>
                <w:rFonts w:ascii="Tahoma" w:hAnsi="Tahoma" w:cs="Tahoma"/>
                <w:sz w:val="18"/>
                <w:szCs w:val="18"/>
                <w:lang w:val="en-US"/>
              </w:rPr>
              <w:t>(as per above specifications)</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8D3F37" w14:paraId="0D85789D" w14:textId="77777777" w:rsidTr="002B79AA">
        <w:trPr>
          <w:trHeight w:val="501"/>
        </w:trPr>
        <w:tc>
          <w:tcPr>
            <w:tcW w:w="553" w:type="dxa"/>
          </w:tcPr>
          <w:p w14:paraId="5D18CB6A" w14:textId="24B0A14A" w:rsidR="008D3F37" w:rsidRDefault="008D3F37"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B4087CA" w14:textId="27D2CA1D" w:rsidR="008D3F37" w:rsidRPr="00C05A0A" w:rsidRDefault="008D3F37" w:rsidP="002B79AA">
            <w:pPr>
              <w:spacing w:before="100" w:beforeAutospacing="1" w:after="100" w:afterAutospacing="1"/>
              <w:outlineLvl w:val="0"/>
              <w:rPr>
                <w:rFonts w:ascii="Tahoma" w:hAnsi="Tahoma" w:cs="Tahoma"/>
                <w:sz w:val="18"/>
                <w:szCs w:val="18"/>
              </w:rPr>
            </w:pPr>
            <w:r>
              <w:rPr>
                <w:rFonts w:ascii="Tahoma" w:hAnsi="Tahoma" w:cs="Tahoma"/>
                <w:sz w:val="18"/>
                <w:szCs w:val="18"/>
              </w:rPr>
              <w:t>Other Cost</w:t>
            </w:r>
          </w:p>
        </w:tc>
        <w:tc>
          <w:tcPr>
            <w:tcW w:w="2034" w:type="dxa"/>
          </w:tcPr>
          <w:p w14:paraId="15A6018A" w14:textId="5CA079FF" w:rsidR="008D3F37" w:rsidRPr="000B00A8" w:rsidRDefault="008D3F37"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021" w:type="dxa"/>
          </w:tcPr>
          <w:p w14:paraId="1C95C49B" w14:textId="77777777" w:rsidR="008D3F37" w:rsidRDefault="008D3F37" w:rsidP="002B79AA">
            <w:pPr>
              <w:spacing w:after="200" w:line="360" w:lineRule="auto"/>
              <w:rPr>
                <w:rFonts w:ascii="Tahoma" w:hAnsi="Tahoma" w:cs="Tahoma"/>
                <w:b/>
                <w:sz w:val="18"/>
                <w:szCs w:val="18"/>
                <w:lang w:eastAsia="en-ZA"/>
              </w:rPr>
            </w:pPr>
          </w:p>
        </w:tc>
        <w:tc>
          <w:tcPr>
            <w:tcW w:w="2020" w:type="dxa"/>
          </w:tcPr>
          <w:p w14:paraId="38A42E00" w14:textId="77777777" w:rsidR="008D3F37" w:rsidRDefault="008D3F37"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6892" w14:textId="77777777" w:rsidR="00192D78" w:rsidRDefault="00192D78">
      <w:r>
        <w:separator/>
      </w:r>
    </w:p>
  </w:endnote>
  <w:endnote w:type="continuationSeparator" w:id="0">
    <w:p w14:paraId="610E3DA9" w14:textId="77777777" w:rsidR="00192D78" w:rsidRDefault="001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8BFD86D" w:rsidR="0043222B" w:rsidRPr="00C625A0" w:rsidRDefault="0075069A" w:rsidP="00CE7D27">
    <w:pPr>
      <w:pStyle w:val="Footer"/>
      <w:tabs>
        <w:tab w:val="clear" w:pos="4153"/>
      </w:tabs>
      <w:rPr>
        <w:rFonts w:ascii="Tahoma" w:hAnsi="Tahoma" w:cs="Tahoma"/>
        <w:bCs/>
        <w:sz w:val="18"/>
        <w:szCs w:val="18"/>
        <w:lang w:val="en-ZA"/>
      </w:rPr>
    </w:pPr>
    <w:r w:rsidRPr="0075069A">
      <w:rPr>
        <w:rFonts w:ascii="Tahoma" w:hAnsi="Tahoma" w:cs="Tahoma"/>
        <w:bCs/>
        <w:sz w:val="18"/>
        <w:szCs w:val="18"/>
        <w:lang w:val="en-ZA"/>
      </w:rPr>
      <w:t>PR10114507 - Appointment of Clinical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64D5" w14:textId="77777777" w:rsidR="00192D78" w:rsidRDefault="00192D78">
      <w:r>
        <w:separator/>
      </w:r>
    </w:p>
  </w:footnote>
  <w:footnote w:type="continuationSeparator" w:id="0">
    <w:p w14:paraId="644068F6" w14:textId="77777777" w:rsidR="00192D78" w:rsidRDefault="0019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0C57E7"/>
    <w:multiLevelType w:val="hybridMultilevel"/>
    <w:tmpl w:val="10B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9"/>
  </w:num>
  <w:num w:numId="3" w16cid:durableId="57175828">
    <w:abstractNumId w:val="7"/>
  </w:num>
  <w:num w:numId="4" w16cid:durableId="732001554">
    <w:abstractNumId w:val="4"/>
  </w:num>
  <w:num w:numId="5" w16cid:durableId="1544290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12"/>
  </w:num>
  <w:num w:numId="8" w16cid:durableId="1915969152">
    <w:abstractNumId w:val="1"/>
  </w:num>
  <w:num w:numId="9" w16cid:durableId="1723287274">
    <w:abstractNumId w:val="10"/>
  </w:num>
  <w:num w:numId="10" w16cid:durableId="83927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824469147">
    <w:abstractNumId w:val="5"/>
  </w:num>
  <w:num w:numId="14" w16cid:durableId="5644309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2D78"/>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657"/>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2AE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617"/>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AF2"/>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25C9"/>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69A"/>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09A0"/>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F3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18B9"/>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3DDC"/>
    <w:rsid w:val="00A14D86"/>
    <w:rsid w:val="00A1549C"/>
    <w:rsid w:val="00A1577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CC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D5C"/>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7DF"/>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11</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16092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2026-02-20T13:54:00Z</dcterms:created>
  <dcterms:modified xsi:type="dcterms:W3CDTF">2026-02-20T13:54:00Z</dcterms:modified>
</cp:coreProperties>
</file>