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Is this a cloud or on-premise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iPaaS, DRaaS, SECaaS, FaaS,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Refer to RFP:</w:t>
            </w:r>
            <w:r w:rsidR="00D65E2B" w:rsidRPr="00C9667B">
              <w:rPr>
                <w:rFonts w:cs="Arial"/>
                <w:sz w:val="22"/>
              </w:rPr>
              <w:t xml:space="preserve">Any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w:t>
            </w:r>
            <w:r w:rsidRPr="00C9667B">
              <w:rPr>
                <w:rFonts w:cs="Arial"/>
                <w:sz w:val="22"/>
              </w:rPr>
              <w:t xml:space="preserve"> </w:t>
            </w:r>
            <w:r w:rsidRPr="00C9667B">
              <w:rPr>
                <w:rFonts w:cs="Arial"/>
                <w:b/>
                <w:bCs/>
                <w:sz w:val="22"/>
              </w:rPr>
              <w:t xml:space="preserve"> requirements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There should be a back to back undertaking to comply with the terms</w:t>
            </w:r>
          </w:p>
        </w:tc>
        <w:tc>
          <w:tcPr>
            <w:tcW w:w="1227" w:type="pct"/>
            <w:tcBorders>
              <w:top w:val="single" w:sz="4" w:space="0" w:color="auto"/>
              <w:left w:val="single" w:sz="4" w:space="0" w:color="auto"/>
              <w:bottom w:val="single" w:sz="4" w:space="0" w:color="auto"/>
              <w:right w:val="single" w:sz="4" w:space="0" w:color="auto"/>
            </w:tcBorders>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t xml:space="preserve">Please specify the location where all systems are located and advise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access such facilities  and to audit it.</w:t>
            </w:r>
          </w:p>
        </w:tc>
        <w:tc>
          <w:tcPr>
            <w:tcW w:w="1227" w:type="pct"/>
            <w:tcBorders>
              <w:top w:val="single" w:sz="4" w:space="0" w:color="auto"/>
              <w:left w:val="single" w:sz="4" w:space="0" w:color="auto"/>
              <w:bottom w:val="single" w:sz="4" w:space="0" w:color="auto"/>
              <w:right w:val="single" w:sz="4" w:space="0" w:color="auto"/>
            </w:tcBorders>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Supplier to make available all of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Proof for compliance to security best practise such as annual attestation documentation/ security certifications such as  ISO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location of the data centre where the data will be physically stored;</w:t>
            </w:r>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who may have access to the data;</w:t>
            </w:r>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2217D42" w14:textId="0968DA80" w:rsidR="00964979" w:rsidRPr="00C9667B" w:rsidRDefault="00E629BA" w:rsidP="0025558C">
            <w:pPr>
              <w:pStyle w:val="Clause3Sub"/>
              <w:rPr>
                <w:rFonts w:cs="Arial"/>
                <w:sz w:val="22"/>
                <w:szCs w:val="22"/>
              </w:rPr>
            </w:pPr>
            <w:r w:rsidRPr="00C9667B">
              <w:rPr>
                <w:rFonts w:cs="Arial"/>
                <w:sz w:val="22"/>
                <w:szCs w:val="22"/>
              </w:rPr>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FA3669C" w14:textId="32E9250E" w:rsidR="00964979" w:rsidRPr="00C9667B" w:rsidRDefault="00615099" w:rsidP="0025558C">
            <w:pPr>
              <w:pStyle w:val="Clause3Sub"/>
              <w:rPr>
                <w:rFonts w:cs="Arial"/>
                <w:sz w:val="22"/>
                <w:szCs w:val="22"/>
              </w:rPr>
            </w:pPr>
            <w:r w:rsidRPr="00C9667B">
              <w:rPr>
                <w:rFonts w:cs="Arial"/>
                <w:sz w:val="22"/>
                <w:szCs w:val="22"/>
              </w:rPr>
              <w:t>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5582DE" w14:textId="43720A16" w:rsidR="00964979" w:rsidRPr="00C9667B" w:rsidRDefault="00801AF5" w:rsidP="0025558C">
            <w:pPr>
              <w:pStyle w:val="Clause3Sub"/>
              <w:rPr>
                <w:rFonts w:cs="Arial"/>
                <w:sz w:val="22"/>
                <w:szCs w:val="22"/>
              </w:rPr>
            </w:pPr>
            <w:r w:rsidRPr="00C9667B">
              <w:rPr>
                <w:rFonts w:cs="Arial"/>
                <w:sz w:val="22"/>
                <w:szCs w:val="22"/>
              </w:rPr>
              <w:t>Supplier shall further be required to adhere to ESKOM’s data retention policies, and to make data and information available so as to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Eg Database</w:t>
            </w:r>
          </w:p>
        </w:tc>
        <w:tc>
          <w:tcPr>
            <w:tcW w:w="1227" w:type="pct"/>
            <w:tcBorders>
              <w:top w:val="single" w:sz="4" w:space="0" w:color="auto"/>
              <w:left w:val="single" w:sz="4" w:space="0" w:color="auto"/>
              <w:bottom w:val="single" w:sz="4" w:space="0" w:color="auto"/>
              <w:right w:val="single" w:sz="4" w:space="0" w:color="auto"/>
            </w:tcBorders>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If the Supplier shares this information with their affiliates for processing reasons, is this 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cyber attacks  </w:t>
            </w:r>
            <w:r w:rsidRPr="00C9667B">
              <w:rPr>
                <w:rFonts w:cs="Arial"/>
                <w:color w:val="000000"/>
                <w:sz w:val="22"/>
                <w:szCs w:val="22"/>
              </w:rPr>
              <w:t>in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r w:rsidRPr="00C9667B">
              <w:rPr>
                <w:rFonts w:cs="Arial"/>
                <w:sz w:val="22"/>
                <w:szCs w:val="22"/>
              </w:rPr>
              <w:t>in order to</w:t>
            </w:r>
            <w:bookmarkEnd w:id="15"/>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Does Supplier comply with the location requirements that might be imposed on 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Location of Data Centers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dictate the jurisdiction and law governing the data. For example, personal information located in Europe may be governed by European law, regardless of the contract terms. This is a concern even if the data centre is located in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object</w:t>
            </w:r>
          </w:p>
        </w:tc>
        <w:tc>
          <w:tcPr>
            <w:tcW w:w="1227" w:type="pct"/>
            <w:tcBorders>
              <w:top w:val="single" w:sz="4" w:space="0" w:color="auto"/>
              <w:left w:val="single" w:sz="4" w:space="0" w:color="auto"/>
              <w:bottom w:val="single" w:sz="4" w:space="0" w:color="auto"/>
              <w:right w:val="single" w:sz="4" w:space="0" w:color="auto"/>
            </w:tcBorders>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08921" w14:textId="5CAED52A" w:rsidR="00A868D0" w:rsidRPr="00C9667B" w:rsidRDefault="00A868D0" w:rsidP="0025558C">
            <w:pPr>
              <w:pStyle w:val="Clause3Sub"/>
              <w:rPr>
                <w:rFonts w:cs="Arial"/>
                <w:sz w:val="22"/>
                <w:szCs w:val="22"/>
              </w:rPr>
            </w:pPr>
            <w:r w:rsidRPr="00C9667B">
              <w:rPr>
                <w:rFonts w:cs="Arial"/>
                <w:sz w:val="22"/>
                <w:szCs w:val="22"/>
              </w:rPr>
              <w:t>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ESKOM with notice in advance. ESKOM should be given time to conduct due diligence with regard to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r w:rsidRPr="00C9667B">
              <w:rPr>
                <w:rFonts w:cs="Arial"/>
                <w:spacing w:val="-2"/>
                <w:sz w:val="22"/>
                <w:szCs w:val="22"/>
              </w:rPr>
              <w:t>in the event that</w:t>
            </w:r>
            <w:bookmarkEnd w:id="20"/>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r w:rsidRPr="00C9667B">
              <w:rPr>
                <w:rFonts w:cs="Arial"/>
                <w:sz w:val="22"/>
                <w:szCs w:val="22"/>
              </w:rPr>
              <w:t>In the event that</w:t>
            </w:r>
            <w:bookmarkEnd w:id="22"/>
            <w:r w:rsidRPr="00C9667B">
              <w:rPr>
                <w:rFonts w:cs="Arial"/>
                <w:sz w:val="22"/>
                <w:szCs w:val="22"/>
              </w:rPr>
              <w:t xml:space="preserve"> the Supplier terminates the </w:t>
            </w:r>
            <w:r w:rsidR="00A355F0" w:rsidRPr="00C9667B">
              <w:rPr>
                <w:rFonts w:cs="Arial"/>
                <w:sz w:val="22"/>
                <w:szCs w:val="22"/>
              </w:rPr>
              <w:t>service, ESKOM</w:t>
            </w:r>
            <w:r w:rsidRPr="00C9667B">
              <w:rPr>
                <w:rFonts w:cs="Arial"/>
                <w:sz w:val="22"/>
                <w:szCs w:val="22"/>
              </w:rPr>
              <w:t xml:space="preserve">  should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this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r w:rsidRPr="00C9667B">
              <w:rPr>
                <w:rFonts w:cs="Arial"/>
                <w:spacing w:val="-2"/>
                <w:sz w:val="22"/>
                <w:szCs w:val="22"/>
              </w:rPr>
              <w:t>in the event that</w:t>
            </w:r>
            <w:bookmarkEnd w:id="23"/>
            <w:r w:rsidRPr="00C9667B">
              <w:rPr>
                <w:rFonts w:cs="Arial"/>
                <w:spacing w:val="-2"/>
                <w:sz w:val="22"/>
                <w:szCs w:val="22"/>
              </w:rPr>
              <w:t xml:space="preserve"> the Supplier of 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t xml:space="preserve">a server being down;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data loss or corruption;</w:t>
            </w:r>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the failure of a telecommunications link;</w:t>
            </w:r>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t>Supplier to advise what mechanisms it has in place to enable ESKOM access to services and ESKOM data in the event that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r w:rsidRPr="00C9667B">
              <w:rPr>
                <w:rFonts w:cs="Arial"/>
                <w:sz w:val="22"/>
                <w:szCs w:val="22"/>
              </w:rPr>
              <w:t>is able to</w:t>
            </w:r>
            <w:bookmarkEnd w:id="26"/>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 xml:space="preserve">ESKOM requires assurance from the Supplier that ESKOM can rely on the services. Supplier will be required to provide ESKOM with (i)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service response time;</w:t>
            </w:r>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simultaneous visitors;</w:t>
            </w:r>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problem response time and resolution time;</w:t>
            </w:r>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r w:rsidRPr="00C9667B">
              <w:rPr>
                <w:rFonts w:cs="Arial"/>
                <w:sz w:val="22"/>
                <w:szCs w:val="22"/>
              </w:rPr>
              <w:t>as a result of</w:t>
            </w:r>
            <w:bookmarkEnd w:id="30"/>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r w:rsidRPr="00C9667B">
              <w:rPr>
                <w:rFonts w:cs="Arial"/>
                <w:sz w:val="22"/>
                <w:szCs w:val="22"/>
              </w:rPr>
              <w:t>so as to</w:t>
            </w:r>
            <w:bookmarkEnd w:id="31"/>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breach, </w:t>
            </w:r>
            <w:r w:rsidRPr="00C9667B">
              <w:rPr>
                <w:rFonts w:cs="Arial"/>
                <w:sz w:val="22"/>
                <w:szCs w:val="22"/>
              </w:rPr>
              <w:t xml:space="preserve"> should be fully indemnified, protecting the customer from out-of-pocket costs or expenses related to recovery of the data and compliance 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employees, </w:t>
            </w:r>
            <w:r w:rsidRPr="00C9667B">
              <w:rPr>
                <w:rFonts w:cs="Arial"/>
                <w:sz w:val="22"/>
                <w:szCs w:val="22"/>
              </w:rPr>
              <w:t xml:space="preserve"> its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r w:rsidRPr="00C9667B">
              <w:rPr>
                <w:rFonts w:cs="Arial"/>
                <w:sz w:val="22"/>
                <w:szCs w:val="22"/>
              </w:rPr>
              <w:t>in the event that</w:t>
            </w:r>
            <w:bookmarkEnd w:id="34"/>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Do your information security and privacy policies align with industry standards (ISO-27001/17/18, NIST Cyber Security Framework, ISO-22307, CoBIT,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How will you authenticate Eskom users: If passwords are used, describe password complexity requirements, and how passwords are protected. If SSO is supported, 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t>Does your application enable custom granular permissions and roles to be created? Please describe the roles available.</w:t>
            </w:r>
          </w:p>
        </w:tc>
        <w:tc>
          <w:tcPr>
            <w:tcW w:w="4678" w:type="dxa"/>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Mulesoft,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74A6" w14:textId="77777777" w:rsidR="00E34BCD" w:rsidRDefault="00E34BCD" w:rsidP="006F27F5">
      <w:pPr>
        <w:spacing w:after="0" w:line="240" w:lineRule="auto"/>
      </w:pPr>
      <w:r>
        <w:separator/>
      </w:r>
    </w:p>
  </w:endnote>
  <w:endnote w:type="continuationSeparator" w:id="0">
    <w:p w14:paraId="2C37D675" w14:textId="77777777" w:rsidR="00E34BCD" w:rsidRDefault="00E34BCD"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8520" w14:textId="77777777" w:rsidR="00E34BCD" w:rsidRDefault="00E34BCD" w:rsidP="006F27F5">
      <w:pPr>
        <w:spacing w:after="0" w:line="240" w:lineRule="auto"/>
      </w:pPr>
      <w:r>
        <w:separator/>
      </w:r>
    </w:p>
  </w:footnote>
  <w:footnote w:type="continuationSeparator" w:id="0">
    <w:p w14:paraId="7E7278F2" w14:textId="77777777" w:rsidR="00E34BCD" w:rsidRDefault="00E34BCD"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719"/>
      <w:gridCol w:w="568"/>
      <w:gridCol w:w="850"/>
    </w:tblGrid>
    <w:tr w:rsidR="00DE0B21" w:rsidRPr="00116E60" w14:paraId="0DDD0497" w14:textId="77777777" w:rsidTr="00306541">
      <w:trPr>
        <w:cantSplit/>
        <w:trHeight w:val="379"/>
      </w:trPr>
      <w:tc>
        <w:tcPr>
          <w:tcW w:w="3261" w:type="dxa"/>
          <w:vMerge w:val="restart"/>
          <w:vAlign w:val="bottom"/>
        </w:tcPr>
        <w:p w14:paraId="2A83D638" w14:textId="77777777" w:rsidR="00DE0B21" w:rsidRPr="003914DE" w:rsidRDefault="00A2402C"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43727477"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719" w:type="dxa"/>
          <w:vAlign w:val="center"/>
        </w:tcPr>
        <w:p w14:paraId="614AF0BD" w14:textId="6EDE9398" w:rsidR="00DE0B21" w:rsidRPr="003914DE" w:rsidRDefault="00306541" w:rsidP="00DE0B21">
          <w:pPr>
            <w:tabs>
              <w:tab w:val="left" w:pos="1970"/>
            </w:tabs>
            <w:rPr>
              <w:b/>
            </w:rPr>
          </w:pPr>
          <w:r w:rsidRPr="000C0950">
            <w:rPr>
              <w:b/>
            </w:rPr>
            <w:t>559-1789391746</w:t>
          </w:r>
        </w:p>
      </w:tc>
      <w:tc>
        <w:tcPr>
          <w:tcW w:w="568" w:type="dxa"/>
          <w:vAlign w:val="center"/>
        </w:tcPr>
        <w:p w14:paraId="13026EDC" w14:textId="77777777" w:rsidR="00DE0B21" w:rsidRPr="003914DE" w:rsidRDefault="00DE0B21" w:rsidP="00DE0B21">
          <w:pPr>
            <w:rPr>
              <w:b/>
            </w:rPr>
          </w:pPr>
          <w:r>
            <w:rPr>
              <w:b/>
            </w:rPr>
            <w:t>Rev</w:t>
          </w:r>
        </w:p>
      </w:tc>
      <w:tc>
        <w:tcPr>
          <w:tcW w:w="850" w:type="dxa"/>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vAlign w:val="center"/>
        </w:tcPr>
        <w:p w14:paraId="568CE9D7" w14:textId="77777777" w:rsidR="00DE0B21" w:rsidRPr="003914DE" w:rsidRDefault="00DE0B21" w:rsidP="00DE0B21">
          <w:pPr>
            <w:rPr>
              <w:b/>
            </w:rPr>
          </w:pPr>
          <w:r w:rsidRPr="003914DE">
            <w:rPr>
              <w:b/>
            </w:rPr>
            <w:t>Review Date</w:t>
          </w:r>
        </w:p>
      </w:tc>
      <w:tc>
        <w:tcPr>
          <w:tcW w:w="3137" w:type="dxa"/>
          <w:gridSpan w:val="3"/>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7777777" w:rsidR="000E6B02" w:rsidRPr="00B350EB" w:rsidRDefault="43484CAA" w:rsidP="43484CAA">
    <w:pPr>
      <w:jc w:val="both"/>
      <w:rPr>
        <w:rFonts w:cs="Arial"/>
        <w:b/>
        <w:bCs/>
        <w:sz w:val="24"/>
        <w:szCs w:val="24"/>
        <w:lang w:eastAsia="en-GB"/>
      </w:rPr>
    </w:pPr>
    <w:r w:rsidRPr="43484CAA">
      <w:rPr>
        <w:rFonts w:cs="Arial"/>
        <w:b/>
        <w:bCs/>
        <w:sz w:val="24"/>
        <w:szCs w:val="24"/>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654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17C0"/>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2D89"/>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2AC0"/>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E66C6"/>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4F6369A0"/>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5c3f406e4272793e9ee28b2e9f172351">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f4e9c2acae154a59d04314aef4c0b38"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2.xml><?xml version="1.0" encoding="utf-8"?>
<ds:datastoreItem xmlns:ds="http://schemas.openxmlformats.org/officeDocument/2006/customXml" ds:itemID="{9F5DCF8E-EDEF-4493-A71D-4213B8FB4D4A}">
  <ds:schemaRefs>
    <ds:schemaRef ds:uri="http://purl.org/dc/terms/"/>
    <ds:schemaRef ds:uri="http://purl.org/dc/elements/1.1/"/>
    <ds:schemaRef ds:uri="http://www.w3.org/XML/1998/namespace"/>
    <ds:schemaRef ds:uri="4efed9b1-1c9e-4d15-bbe0-b7b819c88069"/>
    <ds:schemaRef ds:uri="http://schemas.microsoft.com/office/infopath/2007/PartnerControls"/>
    <ds:schemaRef ds:uri="http://schemas.openxmlformats.org/package/2006/metadata/core-properties"/>
    <ds:schemaRef ds:uri="485827c2-f495-4d19-952f-5e9b6f9e0b50"/>
    <ds:schemaRef ds:uri="http://schemas.microsoft.com/office/2006/documentManagement/typ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4.xml><?xml version="1.0" encoding="utf-8"?>
<ds:datastoreItem xmlns:ds="http://schemas.openxmlformats.org/officeDocument/2006/customXml" ds:itemID="{6866EE7D-9F7C-4484-A9CB-53BC8682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17a35c-9c67-4dda-b948-74ee3b80cf57}" enabled="1" method="Privileged" siteId="{93aedbdc-cc67-4652-aa12-d250a876ae79}"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5059</Words>
  <Characters>28020</Characters>
  <Application>Microsoft Office Word</Application>
  <DocSecurity>0</DocSecurity>
  <Lines>1139</Lines>
  <Paragraphs>335</Paragraphs>
  <ScaleCrop>false</ScaleCrop>
  <Company>Eskom</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Portia Mafoane</cp:lastModifiedBy>
  <cp:revision>3</cp:revision>
  <cp:lastPrinted>2017-07-13T06:37:00Z</cp:lastPrinted>
  <dcterms:created xsi:type="dcterms:W3CDTF">2026-06-23T11:44:00Z</dcterms:created>
  <dcterms:modified xsi:type="dcterms:W3CDTF">2026-06-23T11:45:00Z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